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theme/theme1.xml" ContentType="application/vnd.openxmlformats-officedocument.theme+xml"/>
</Types>
</file>

<file path=_rels/.rels><?xml version="1.0" encoding="UTF-8" standalone="yes"?><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Body"/>
        <w:jc w:val="center"/>
        <w:rPr>
          <w:b w:val="1"/>
          <w:bCs w:val="1"/>
          <w:sz w:val="24"/>
          <w:szCs w:val="24"/>
        </w:rPr>
      </w:pPr>
      <w:r>
        <w:rPr>
          <w:b w:val="1"/>
          <w:bCs w:val="1"/>
          <w:sz w:val="24"/>
          <w:szCs w:val="24"/>
          <w:rtl w:val="0"/>
          <w:lang w:val="en-US"/>
        </w:rPr>
        <w:t>Declaraci</w:t>
      </w:r>
      <w:r>
        <w:rPr>
          <w:b w:val="1"/>
          <w:bCs w:val="1"/>
          <w:sz w:val="24"/>
          <w:szCs w:val="24"/>
          <w:rtl w:val="0"/>
          <w:lang w:val="en-US"/>
        </w:rPr>
        <w:t>ó</w:t>
      </w:r>
      <w:r>
        <w:rPr>
          <w:b w:val="1"/>
          <w:bCs w:val="1"/>
          <w:sz w:val="24"/>
          <w:szCs w:val="24"/>
          <w:rtl w:val="0"/>
          <w:lang w:val="en-US"/>
        </w:rPr>
        <w:t>n de alerta sanitaria por Malaria</w:t>
      </w:r>
    </w:p>
    <w:p>
      <w:pPr>
        <w:pStyle w:val="Body"/>
        <w:jc w:val="both"/>
      </w:pPr>
    </w:p>
    <w:p>
      <w:pPr>
        <w:pStyle w:val="Body"/>
        <w:jc w:val="both"/>
      </w:pPr>
    </w:p>
    <w:p>
      <w:pPr>
        <w:pStyle w:val="Body"/>
        <w:jc w:val="both"/>
      </w:pPr>
      <w:r>
        <w:rPr>
          <w:rtl w:val="0"/>
          <w:lang w:val="en-US"/>
        </w:rPr>
        <w:t>La malaria es una enfermedad ocasionada por un par</w:t>
      </w:r>
      <w:r>
        <w:rPr>
          <w:rtl w:val="0"/>
          <w:lang w:val="en-US"/>
        </w:rPr>
        <w:t>á</w:t>
      </w:r>
      <w:r>
        <w:rPr>
          <w:rtl w:val="0"/>
          <w:lang w:val="en-US"/>
        </w:rPr>
        <w:t>sito del g</w:t>
      </w:r>
      <w:r>
        <w:rPr>
          <w:rtl w:val="0"/>
          <w:lang w:val="en-US"/>
        </w:rPr>
        <w:t>é</w:t>
      </w:r>
      <w:r>
        <w:rPr>
          <w:rtl w:val="0"/>
          <w:lang w:val="en-US"/>
        </w:rPr>
        <w:t xml:space="preserve">nero </w:t>
      </w:r>
      <w:r>
        <w:rPr>
          <w:i w:val="1"/>
          <w:iCs w:val="1"/>
          <w:rtl w:val="0"/>
          <w:lang w:val="en-US"/>
        </w:rPr>
        <w:t>Plasmodium sp.</w:t>
      </w:r>
      <w:r>
        <w:rPr>
          <w:rtl w:val="0"/>
          <w:lang w:val="en-US"/>
        </w:rPr>
        <w:t xml:space="preserve"> que se transmite por la picadura del mosquito del genero </w:t>
      </w:r>
      <w:r>
        <w:rPr>
          <w:i w:val="1"/>
          <w:iCs w:val="1"/>
          <w:rtl w:val="0"/>
          <w:lang w:val="en-US"/>
        </w:rPr>
        <w:t>Anopheles sp.</w:t>
      </w:r>
      <w:r>
        <w:rPr>
          <w:rtl w:val="0"/>
          <w:lang w:val="en-US"/>
        </w:rPr>
        <w:t xml:space="preserve"> en zonas menores de 500 metros sobre el nivel del mar. En algunos casos puede ser mortal.</w:t>
      </w:r>
    </w:p>
    <w:p>
      <w:pPr>
        <w:pStyle w:val="Body"/>
        <w:jc w:val="both"/>
      </w:pPr>
    </w:p>
    <w:p>
      <w:pPr>
        <w:pStyle w:val="Body"/>
        <w:jc w:val="both"/>
      </w:pPr>
      <w:r>
        <w:rPr>
          <w:rtl w:val="0"/>
          <w:lang w:val="en-US"/>
        </w:rPr>
        <w:t>Las personas sospechosas de tener Malaria tienen los siguientes s</w:t>
      </w:r>
      <w:r>
        <w:rPr>
          <w:rtl w:val="0"/>
          <w:lang w:val="en-US"/>
        </w:rPr>
        <w:t>í</w:t>
      </w:r>
      <w:r>
        <w:rPr>
          <w:rtl w:val="0"/>
          <w:lang w:val="en-US"/>
        </w:rPr>
        <w:t>ntomas y signos:</w:t>
      </w:r>
    </w:p>
    <w:p>
      <w:pPr>
        <w:pStyle w:val="Body"/>
        <w:spacing w:after="60"/>
        <w:jc w:val="both"/>
      </w:pPr>
    </w:p>
    <w:p>
      <w:pPr>
        <w:pStyle w:val="Body"/>
        <w:numPr>
          <w:ilvl w:val="0"/>
          <w:numId w:val="2"/>
        </w:numPr>
        <w:spacing w:after="60"/>
        <w:jc w:val="both"/>
        <w:rPr>
          <w:lang w:val="en-US"/>
        </w:rPr>
      </w:pPr>
      <w:r>
        <w:rPr>
          <w:rtl w:val="0"/>
          <w:lang w:val="en-US"/>
        </w:rPr>
        <w:t>Fiebre intermitente</w:t>
      </w:r>
    </w:p>
    <w:p>
      <w:pPr>
        <w:pStyle w:val="Body"/>
        <w:numPr>
          <w:ilvl w:val="0"/>
          <w:numId w:val="2"/>
        </w:numPr>
        <w:spacing w:after="60"/>
        <w:jc w:val="both"/>
        <w:rPr>
          <w:lang w:val="pt-PT"/>
        </w:rPr>
      </w:pPr>
      <w:r>
        <w:rPr>
          <w:rtl w:val="0"/>
          <w:lang w:val="pt-PT"/>
        </w:rPr>
        <w:t>Escalofr</w:t>
      </w:r>
      <w:r>
        <w:rPr>
          <w:rtl w:val="0"/>
        </w:rPr>
        <w:t>í</w:t>
      </w:r>
      <w:r>
        <w:rPr>
          <w:rtl w:val="0"/>
        </w:rPr>
        <w:t>os</w:t>
      </w:r>
    </w:p>
    <w:p>
      <w:pPr>
        <w:pStyle w:val="Body"/>
        <w:numPr>
          <w:ilvl w:val="0"/>
          <w:numId w:val="2"/>
        </w:numPr>
        <w:spacing w:after="60"/>
        <w:jc w:val="both"/>
        <w:rPr>
          <w:lang w:val="es-ES_tradnl"/>
        </w:rPr>
      </w:pPr>
      <w:r>
        <w:rPr>
          <w:rtl w:val="0"/>
          <w:lang w:val="es-ES_tradnl"/>
        </w:rPr>
        <w:t>Sudoraci</w:t>
      </w:r>
      <w:r>
        <w:rPr>
          <w:rtl w:val="0"/>
          <w:lang w:val="es-ES_tradnl"/>
        </w:rPr>
        <w:t>ó</w:t>
      </w:r>
      <w:r>
        <w:rPr>
          <w:rtl w:val="0"/>
        </w:rPr>
        <w:t>n</w:t>
      </w:r>
    </w:p>
    <w:p>
      <w:pPr>
        <w:pStyle w:val="Body"/>
        <w:numPr>
          <w:ilvl w:val="0"/>
          <w:numId w:val="2"/>
        </w:numPr>
        <w:spacing w:after="60"/>
        <w:jc w:val="both"/>
        <w:rPr>
          <w:lang w:val="es-ES_tradnl"/>
        </w:rPr>
      </w:pPr>
      <w:r>
        <w:rPr>
          <w:rtl w:val="0"/>
          <w:lang w:val="es-ES_tradnl"/>
        </w:rPr>
        <w:t xml:space="preserve">Dolor de cabeza </w:t>
      </w:r>
    </w:p>
    <w:p>
      <w:pPr>
        <w:pStyle w:val="Body"/>
        <w:numPr>
          <w:ilvl w:val="0"/>
          <w:numId w:val="2"/>
        </w:numPr>
        <w:spacing w:after="60"/>
        <w:jc w:val="both"/>
        <w:rPr>
          <w:lang w:val="pt-PT"/>
        </w:rPr>
      </w:pPr>
      <w:r>
        <w:rPr>
          <w:rtl w:val="0"/>
          <w:lang w:val="pt-PT"/>
        </w:rPr>
        <w:t xml:space="preserve">Dolor muscular </w:t>
      </w:r>
    </w:p>
    <w:p>
      <w:pPr>
        <w:pStyle w:val="Body"/>
        <w:spacing w:after="60"/>
        <w:jc w:val="both"/>
      </w:pPr>
    </w:p>
    <w:p>
      <w:pPr>
        <w:pStyle w:val="Body"/>
        <w:jc w:val="both"/>
      </w:pPr>
      <w:r>
        <w:rPr>
          <w:rtl w:val="0"/>
          <w:lang w:val="en-US"/>
        </w:rPr>
        <w:t>D</w:t>
      </w:r>
      <w:r>
        <w:rPr>
          <w:rtl w:val="0"/>
          <w:lang w:val="es-ES_tradnl"/>
        </w:rPr>
        <w:t>espu</w:t>
      </w:r>
      <w:r>
        <w:rPr>
          <w:rtl w:val="0"/>
          <w:lang w:val="fr-FR"/>
        </w:rPr>
        <w:t>é</w:t>
      </w:r>
      <w:r>
        <w:rPr>
          <w:rtl w:val="0"/>
          <w:lang w:val="es-ES_tradnl"/>
        </w:rPr>
        <w:t xml:space="preserve">s de un lapso sin </w:t>
      </w:r>
      <w:r>
        <w:rPr>
          <w:rtl w:val="0"/>
          <w:lang w:val="en-US"/>
        </w:rPr>
        <w:t>fi</w:t>
      </w:r>
      <w:r>
        <w:rPr>
          <w:rtl w:val="0"/>
          <w:lang w:val="es-ES_tradnl"/>
        </w:rPr>
        <w:t>ebre puede repetirse el ciclo de escalofr</w:t>
      </w:r>
      <w:r>
        <w:rPr>
          <w:rtl w:val="0"/>
        </w:rPr>
        <w:t>í</w:t>
      </w:r>
      <w:r>
        <w:rPr>
          <w:rtl w:val="0"/>
          <w:lang w:val="pt-PT"/>
        </w:rPr>
        <w:t xml:space="preserve">os, </w:t>
      </w:r>
      <w:r>
        <w:rPr>
          <w:rtl w:val="0"/>
          <w:lang w:val="en-US"/>
        </w:rPr>
        <w:t>fi</w:t>
      </w:r>
      <w:r>
        <w:rPr>
          <w:rtl w:val="0"/>
          <w:lang w:val="es-ES_tradnl"/>
        </w:rPr>
        <w:t>ebre y sudores todos los d</w:t>
      </w:r>
      <w:r>
        <w:rPr>
          <w:rtl w:val="0"/>
        </w:rPr>
        <w:t>í</w:t>
      </w:r>
      <w:r>
        <w:rPr>
          <w:rtl w:val="0"/>
          <w:lang w:val="es-ES_tradnl"/>
        </w:rPr>
        <w:t>as, en d</w:t>
      </w:r>
      <w:r>
        <w:rPr>
          <w:rtl w:val="0"/>
        </w:rPr>
        <w:t>í</w:t>
      </w:r>
      <w:r>
        <w:rPr>
          <w:rtl w:val="0"/>
          <w:lang w:val="pt-PT"/>
        </w:rPr>
        <w:t>as alternos o cada tercer d</w:t>
      </w:r>
      <w:r>
        <w:rPr>
          <w:rtl w:val="0"/>
        </w:rPr>
        <w:t>í</w:t>
      </w:r>
      <w:r>
        <w:rPr>
          <w:rtl w:val="0"/>
        </w:rPr>
        <w:t>a</w:t>
      </w:r>
      <w:r>
        <w:rPr>
          <w:rtl w:val="0"/>
          <w:lang w:val="en-US"/>
        </w:rPr>
        <w:t>.</w:t>
      </w:r>
    </w:p>
    <w:p>
      <w:pPr>
        <w:pStyle w:val="Body"/>
        <w:jc w:val="both"/>
      </w:pPr>
    </w:p>
    <w:p>
      <w:pPr>
        <w:pStyle w:val="Body"/>
        <w:jc w:val="both"/>
      </w:pPr>
      <w:r>
        <w:rPr>
          <w:rtl w:val="0"/>
          <w:lang w:val="en-US"/>
        </w:rPr>
        <w:t>Costa Rica no present</w:t>
      </w:r>
      <w:r>
        <w:rPr>
          <w:rtl w:val="0"/>
          <w:lang w:val="en-US"/>
        </w:rPr>
        <w:t xml:space="preserve">ó </w:t>
      </w:r>
      <w:r>
        <w:rPr>
          <w:rtl w:val="0"/>
          <w:lang w:val="en-US"/>
        </w:rPr>
        <w:t>transmisi</w:t>
      </w:r>
      <w:r>
        <w:rPr>
          <w:rtl w:val="0"/>
          <w:lang w:val="en-US"/>
        </w:rPr>
        <w:t>ó</w:t>
      </w:r>
      <w:r>
        <w:rPr>
          <w:rtl w:val="0"/>
          <w:lang w:val="en-US"/>
        </w:rPr>
        <w:t>n en los a</w:t>
      </w:r>
      <w:r>
        <w:rPr>
          <w:rtl w:val="0"/>
          <w:lang w:val="en-US"/>
        </w:rPr>
        <w:t>ñ</w:t>
      </w:r>
      <w:r>
        <w:rPr>
          <w:rtl w:val="0"/>
          <w:lang w:val="en-US"/>
        </w:rPr>
        <w:t>os 2012 al 2015, sin embargo, este a</w:t>
      </w:r>
      <w:r>
        <w:rPr>
          <w:rtl w:val="0"/>
          <w:lang w:val="en-US"/>
        </w:rPr>
        <w:t>ñ</w:t>
      </w:r>
      <w:r>
        <w:rPr>
          <w:rtl w:val="0"/>
          <w:lang w:val="en-US"/>
        </w:rPr>
        <w:t>o se han presentado 4 casos de transmisi</w:t>
      </w:r>
      <w:r>
        <w:rPr>
          <w:rtl w:val="0"/>
          <w:lang w:val="en-US"/>
        </w:rPr>
        <w:t>ó</w:t>
      </w:r>
      <w:r>
        <w:rPr>
          <w:rtl w:val="0"/>
          <w:lang w:val="en-US"/>
        </w:rPr>
        <w:t>n aut</w:t>
      </w:r>
      <w:r>
        <w:rPr>
          <w:rtl w:val="0"/>
          <w:lang w:val="en-US"/>
        </w:rPr>
        <w:t>ó</w:t>
      </w:r>
      <w:r>
        <w:rPr>
          <w:rtl w:val="0"/>
          <w:lang w:val="en-US"/>
        </w:rPr>
        <w:t>ctona en Matina, 3 en Sarapiqu</w:t>
      </w:r>
      <w:r>
        <w:rPr>
          <w:rtl w:val="0"/>
          <w:lang w:val="en-US"/>
        </w:rPr>
        <w:t xml:space="preserve">í </w:t>
      </w:r>
      <w:r>
        <w:rPr>
          <w:rtl w:val="0"/>
          <w:lang w:val="en-US"/>
        </w:rPr>
        <w:t>y m</w:t>
      </w:r>
      <w:r>
        <w:rPr>
          <w:rtl w:val="0"/>
          <w:lang w:val="en-US"/>
        </w:rPr>
        <w:t>á</w:t>
      </w:r>
      <w:r>
        <w:rPr>
          <w:rtl w:val="0"/>
          <w:lang w:val="en-US"/>
        </w:rPr>
        <w:t>s recientemente 2 en Pital de San Carlos.</w:t>
      </w:r>
    </w:p>
    <w:p>
      <w:pPr>
        <w:pStyle w:val="Body"/>
        <w:jc w:val="both"/>
      </w:pPr>
    </w:p>
    <w:p>
      <w:pPr>
        <w:pStyle w:val="Body"/>
        <w:jc w:val="both"/>
      </w:pPr>
      <w:r>
        <w:rPr>
          <w:rtl w:val="0"/>
          <w:lang w:val="en-US"/>
        </w:rPr>
        <w:t>Debido a la alta tasa de migraci</w:t>
      </w:r>
      <w:r>
        <w:rPr>
          <w:rtl w:val="0"/>
          <w:lang w:val="en-US"/>
        </w:rPr>
        <w:t>ó</w:t>
      </w:r>
      <w:r>
        <w:rPr>
          <w:rtl w:val="0"/>
          <w:lang w:val="en-US"/>
        </w:rPr>
        <w:t>n constante entre Costa Rica y Nicaragua, debida en su mayor</w:t>
      </w:r>
      <w:r>
        <w:rPr>
          <w:rtl w:val="0"/>
          <w:lang w:val="en-US"/>
        </w:rPr>
        <w:t>í</w:t>
      </w:r>
      <w:r>
        <w:rPr>
          <w:rtl w:val="0"/>
          <w:lang w:val="en-US"/>
        </w:rPr>
        <w:t>a a motivos laborales, y tomando en cuenta que ese pa</w:t>
      </w:r>
      <w:r>
        <w:rPr>
          <w:rtl w:val="0"/>
          <w:lang w:val="en-US"/>
        </w:rPr>
        <w:t>í</w:t>
      </w:r>
      <w:r>
        <w:rPr>
          <w:rtl w:val="0"/>
          <w:lang w:val="en-US"/>
        </w:rPr>
        <w:t>s es zona de alta endemicidad  y que recientemente ha reportado una cantidad elevada de casos, se decide declarar Alerta Sanitaria por riesgo incrementado de transmisi</w:t>
      </w:r>
      <w:r>
        <w:rPr>
          <w:rtl w:val="0"/>
          <w:lang w:val="en-US"/>
        </w:rPr>
        <w:t>ó</w:t>
      </w:r>
      <w:r>
        <w:rPr>
          <w:rtl w:val="0"/>
          <w:lang w:val="en-US"/>
        </w:rPr>
        <w:t>n de Malaria en Costa Rica.</w:t>
      </w:r>
    </w:p>
    <w:p>
      <w:pPr>
        <w:pStyle w:val="Body"/>
        <w:jc w:val="both"/>
      </w:pPr>
    </w:p>
    <w:p>
      <w:pPr>
        <w:pStyle w:val="Body"/>
        <w:jc w:val="both"/>
      </w:pPr>
      <w:r>
        <w:rPr>
          <w:rtl w:val="0"/>
          <w:lang w:val="en-US"/>
        </w:rPr>
        <w:t>El pa</w:t>
      </w:r>
      <w:r>
        <w:rPr>
          <w:rtl w:val="0"/>
          <w:lang w:val="en-US"/>
        </w:rPr>
        <w:t>í</w:t>
      </w:r>
      <w:r>
        <w:rPr>
          <w:rtl w:val="0"/>
          <w:lang w:val="en-US"/>
        </w:rPr>
        <w:t>s cuenta con una Norma</w:t>
      </w:r>
      <w:r>
        <w:rPr>
          <w:vertAlign w:val="superscript"/>
        </w:rPr>
        <w:footnoteReference w:id="1"/>
      </w:r>
      <w:r>
        <w:rPr>
          <w:rtl w:val="0"/>
          <w:lang w:val="en-US"/>
        </w:rPr>
        <w:t xml:space="preserve"> y un Plan Nacional para el control de la Malaria</w:t>
      </w:r>
      <w:r>
        <w:rPr>
          <w:vertAlign w:val="superscript"/>
        </w:rPr>
        <w:footnoteReference w:id="2"/>
      </w:r>
      <w:r>
        <w:rPr>
          <w:rtl w:val="0"/>
          <w:lang w:val="en-US"/>
        </w:rPr>
        <w:t xml:space="preserve">, los cuales deben ser acatados de forma permanente. </w:t>
      </w:r>
    </w:p>
    <w:p>
      <w:pPr>
        <w:pStyle w:val="Body"/>
        <w:jc w:val="both"/>
      </w:pPr>
    </w:p>
    <w:p>
      <w:pPr>
        <w:pStyle w:val="Body"/>
        <w:jc w:val="both"/>
      </w:pPr>
      <w:r>
        <w:rPr>
          <w:rtl w:val="0"/>
          <w:lang w:val="en-US"/>
        </w:rPr>
        <w:t>Sin embargo, la presente alerta sanitaria enfatiza los siguientes componentes, tomando en cuenta que como objetivo general se debe garantizar en todo momento la fluidez del proceso desde la detecci</w:t>
      </w:r>
      <w:r>
        <w:rPr>
          <w:rtl w:val="0"/>
          <w:lang w:val="en-US"/>
        </w:rPr>
        <w:t>ó</w:t>
      </w:r>
      <w:r>
        <w:rPr>
          <w:rtl w:val="0"/>
          <w:lang w:val="en-US"/>
        </w:rPr>
        <w:t>n oportuna y notificaci</w:t>
      </w:r>
      <w:r>
        <w:rPr>
          <w:rtl w:val="0"/>
          <w:lang w:val="en-US"/>
        </w:rPr>
        <w:t>ó</w:t>
      </w:r>
      <w:r>
        <w:rPr>
          <w:rtl w:val="0"/>
          <w:lang w:val="en-US"/>
        </w:rPr>
        <w:t>n hasta el tratamiento y remisi</w:t>
      </w:r>
      <w:r>
        <w:rPr>
          <w:rtl w:val="0"/>
          <w:lang w:val="en-US"/>
        </w:rPr>
        <w:t>ó</w:t>
      </w:r>
      <w:r>
        <w:rPr>
          <w:rtl w:val="0"/>
          <w:lang w:val="en-US"/>
        </w:rPr>
        <w:t>n:</w:t>
      </w:r>
    </w:p>
    <w:p>
      <w:pPr>
        <w:pStyle w:val="Body"/>
        <w:jc w:val="both"/>
      </w:pPr>
    </w:p>
    <w:p>
      <w:pPr>
        <w:pStyle w:val="Body"/>
        <w:numPr>
          <w:ilvl w:val="1"/>
          <w:numId w:val="4"/>
        </w:numPr>
        <w:jc w:val="both"/>
        <w:rPr>
          <w:lang w:val="en-US"/>
        </w:rPr>
      </w:pPr>
      <w:r>
        <w:rPr>
          <w:rtl w:val="0"/>
          <w:lang w:val="en-US"/>
        </w:rPr>
        <w:t>Incremento de las acciones de vigilancia y captaci</w:t>
      </w:r>
      <w:r>
        <w:rPr>
          <w:rtl w:val="0"/>
          <w:lang w:val="en-US"/>
        </w:rPr>
        <w:t>ó</w:t>
      </w:r>
      <w:r>
        <w:rPr>
          <w:rtl w:val="0"/>
          <w:lang w:val="en-US"/>
        </w:rPr>
        <w:t>n de casos sospechosos de Malaria en todo el territorio nacional, pero especialmente en las zonas denominadas mal</w:t>
      </w:r>
      <w:r>
        <w:rPr>
          <w:rtl w:val="0"/>
          <w:lang w:val="en-US"/>
        </w:rPr>
        <w:t>á</w:t>
      </w:r>
      <w:r>
        <w:rPr>
          <w:rtl w:val="0"/>
          <w:lang w:val="en-US"/>
        </w:rPr>
        <w:t>ricas, por debajo de los 500 metros sobre el nivel del mar.</w:t>
      </w:r>
    </w:p>
    <w:p>
      <w:pPr>
        <w:pStyle w:val="Body"/>
        <w:ind w:left="720"/>
        <w:jc w:val="both"/>
      </w:pPr>
    </w:p>
    <w:p>
      <w:pPr>
        <w:pStyle w:val="Body"/>
        <w:numPr>
          <w:ilvl w:val="1"/>
          <w:numId w:val="4"/>
        </w:numPr>
        <w:jc w:val="both"/>
        <w:rPr>
          <w:lang w:val="en-US"/>
        </w:rPr>
      </w:pPr>
      <w:r>
        <w:rPr>
          <w:rtl w:val="0"/>
          <w:lang w:val="en-US"/>
        </w:rPr>
        <w:t>Incremento de las acciones de comunicaci</w:t>
      </w:r>
      <w:r>
        <w:rPr>
          <w:rtl w:val="0"/>
          <w:lang w:val="en-US"/>
        </w:rPr>
        <w:t>ó</w:t>
      </w:r>
      <w:r>
        <w:rPr>
          <w:rtl w:val="0"/>
          <w:lang w:val="en-US"/>
        </w:rPr>
        <w:t>n y sensibilizaci</w:t>
      </w:r>
      <w:r>
        <w:rPr>
          <w:rtl w:val="0"/>
          <w:lang w:val="en-US"/>
        </w:rPr>
        <w:t>ó</w:t>
      </w:r>
      <w:r>
        <w:rPr>
          <w:rtl w:val="0"/>
          <w:lang w:val="en-US"/>
        </w:rPr>
        <w:t>n a la poblaci</w:t>
      </w:r>
      <w:r>
        <w:rPr>
          <w:rtl w:val="0"/>
          <w:lang w:val="en-US"/>
        </w:rPr>
        <w:t>ó</w:t>
      </w:r>
      <w:r>
        <w:rPr>
          <w:rtl w:val="0"/>
          <w:lang w:val="en-US"/>
        </w:rPr>
        <w:t>n y al personal de salud sobre s</w:t>
      </w:r>
      <w:r>
        <w:rPr>
          <w:rtl w:val="0"/>
          <w:lang w:val="en-US"/>
        </w:rPr>
        <w:t>í</w:t>
      </w:r>
      <w:r>
        <w:rPr>
          <w:rtl w:val="0"/>
          <w:lang w:val="en-US"/>
        </w:rPr>
        <w:t>ntomas y signos compatibles con la Malaria y de las medidas mas importantes para prevenir casos y evitar su propagaci</w:t>
      </w:r>
      <w:r>
        <w:rPr>
          <w:rtl w:val="0"/>
          <w:lang w:val="en-US"/>
        </w:rPr>
        <w:t>ó</w:t>
      </w:r>
      <w:r>
        <w:rPr>
          <w:rtl w:val="0"/>
          <w:lang w:val="en-US"/>
        </w:rPr>
        <w:t>n interna.</w:t>
      </w:r>
    </w:p>
    <w:p>
      <w:pPr>
        <w:pStyle w:val="Body"/>
        <w:jc w:val="both"/>
      </w:pPr>
    </w:p>
    <w:p>
      <w:pPr>
        <w:pStyle w:val="Body"/>
        <w:numPr>
          <w:ilvl w:val="1"/>
          <w:numId w:val="4"/>
        </w:numPr>
        <w:jc w:val="both"/>
        <w:rPr>
          <w:lang w:val="en-US"/>
        </w:rPr>
      </w:pPr>
      <w:r>
        <w:rPr>
          <w:rtl w:val="0"/>
          <w:lang w:val="en-US"/>
        </w:rPr>
        <w:t>Preparaci</w:t>
      </w:r>
      <w:r>
        <w:rPr>
          <w:rtl w:val="0"/>
          <w:lang w:val="en-US"/>
        </w:rPr>
        <w:t>ó</w:t>
      </w:r>
      <w:r>
        <w:rPr>
          <w:rtl w:val="0"/>
          <w:lang w:val="en-US"/>
        </w:rPr>
        <w:t>n de los servicios de salud para la atenci</w:t>
      </w:r>
      <w:r>
        <w:rPr>
          <w:rtl w:val="0"/>
          <w:lang w:val="en-US"/>
        </w:rPr>
        <w:t>ó</w:t>
      </w:r>
      <w:r>
        <w:rPr>
          <w:rtl w:val="0"/>
          <w:lang w:val="en-US"/>
        </w:rPr>
        <w:t>n de casos.</w:t>
      </w:r>
    </w:p>
    <w:p>
      <w:pPr>
        <w:pStyle w:val="Body"/>
        <w:jc w:val="both"/>
      </w:pPr>
    </w:p>
    <w:p>
      <w:pPr>
        <w:pStyle w:val="Body"/>
        <w:jc w:val="both"/>
      </w:pPr>
    </w:p>
    <w:p>
      <w:pPr>
        <w:pStyle w:val="Body"/>
        <w:jc w:val="both"/>
      </w:pPr>
      <w:r>
        <w:rPr>
          <w:rtl w:val="0"/>
          <w:lang w:val="en-US"/>
        </w:rPr>
        <w:t>Dentro del componente de vigilancia, las acciones espec</w:t>
      </w:r>
      <w:r>
        <w:rPr>
          <w:rtl w:val="0"/>
          <w:lang w:val="en-US"/>
        </w:rPr>
        <w:t>í</w:t>
      </w:r>
      <w:r>
        <w:rPr>
          <w:rtl w:val="0"/>
          <w:lang w:val="en-US"/>
        </w:rPr>
        <w:t>ficas que deben ser ejecutadas son:</w:t>
      </w:r>
    </w:p>
    <w:p>
      <w:pPr>
        <w:pStyle w:val="Body"/>
        <w:jc w:val="both"/>
      </w:pPr>
    </w:p>
    <w:p>
      <w:pPr>
        <w:pStyle w:val="Body"/>
        <w:spacing w:after="140"/>
        <w:ind w:left="720"/>
        <w:jc w:val="both"/>
      </w:pPr>
      <w:r>
        <w:rPr>
          <w:rtl w:val="0"/>
          <w:lang w:val="en-US"/>
        </w:rPr>
        <w:t>1.1. Notificaci</w:t>
      </w:r>
      <w:r>
        <w:rPr>
          <w:rtl w:val="0"/>
          <w:lang w:val="en-US"/>
        </w:rPr>
        <w:t>ó</w:t>
      </w:r>
      <w:r>
        <w:rPr>
          <w:rtl w:val="0"/>
          <w:lang w:val="en-US"/>
        </w:rPr>
        <w:t xml:space="preserve">n obligatoria al Ministerio de Salud de cada caso sospechoso en las </w:t>
        <w:tab/>
        <w:t xml:space="preserve"> </w:t>
        <w:tab/>
        <w:t xml:space="preserve"> siguientes 24 horas de detectado el mismo.</w:t>
      </w:r>
    </w:p>
    <w:p>
      <w:pPr>
        <w:pStyle w:val="Body"/>
        <w:spacing w:after="140"/>
        <w:ind w:left="720"/>
        <w:jc w:val="both"/>
      </w:pPr>
      <w:r>
        <w:rPr>
          <w:rtl w:val="0"/>
          <w:lang w:val="en-US"/>
        </w:rPr>
        <w:t>1.2. Investigaci</w:t>
      </w:r>
      <w:r>
        <w:rPr>
          <w:rtl w:val="0"/>
          <w:lang w:val="en-US"/>
        </w:rPr>
        <w:t>ó</w:t>
      </w:r>
      <w:r>
        <w:rPr>
          <w:rtl w:val="0"/>
          <w:lang w:val="en-US"/>
        </w:rPr>
        <w:t>n epidemiol</w:t>
      </w:r>
      <w:r>
        <w:rPr>
          <w:rtl w:val="0"/>
          <w:lang w:val="en-US"/>
        </w:rPr>
        <w:t>ó</w:t>
      </w:r>
      <w:r>
        <w:rPr>
          <w:rtl w:val="0"/>
          <w:lang w:val="en-US"/>
        </w:rPr>
        <w:t xml:space="preserve">gica del 100% de los casos y focos en menos de 48 horas </w:t>
        <w:tab/>
        <w:t>de detectado el mismo.</w:t>
      </w:r>
    </w:p>
    <w:p>
      <w:pPr>
        <w:pStyle w:val="Body"/>
        <w:spacing w:after="140"/>
        <w:ind w:left="720"/>
        <w:jc w:val="both"/>
      </w:pPr>
      <w:r>
        <w:rPr>
          <w:rtl w:val="0"/>
          <w:lang w:val="en-US"/>
        </w:rPr>
        <w:t>1.3. An</w:t>
      </w:r>
      <w:r>
        <w:rPr>
          <w:rtl w:val="0"/>
          <w:lang w:val="en-US"/>
        </w:rPr>
        <w:t>á</w:t>
      </w:r>
      <w:r>
        <w:rPr>
          <w:rtl w:val="0"/>
          <w:lang w:val="en-US"/>
        </w:rPr>
        <w:t>lisis local por parte del Ministerio de Salud y en las CILOVIS sobre situaci</w:t>
      </w:r>
      <w:r>
        <w:rPr>
          <w:rtl w:val="0"/>
          <w:lang w:val="en-US"/>
        </w:rPr>
        <w:t>ó</w:t>
      </w:r>
      <w:r>
        <w:rPr>
          <w:rtl w:val="0"/>
          <w:lang w:val="en-US"/>
        </w:rPr>
        <w:t xml:space="preserve">n de </w:t>
      </w:r>
      <w:r>
        <w:rPr>
          <w:rtl w:val="0"/>
          <w:lang w:val="es-ES_tradnl"/>
        </w:rPr>
        <w:t>notificaci</w:t>
      </w:r>
      <w:r>
        <w:rPr>
          <w:rtl w:val="0"/>
          <w:lang w:val="es-ES_tradnl"/>
        </w:rPr>
        <w:t>ó</w:t>
      </w:r>
      <w:r>
        <w:rPr>
          <w:rtl w:val="0"/>
        </w:rPr>
        <w:t xml:space="preserve">n </w:t>
      </w:r>
      <w:r>
        <w:rPr>
          <w:rtl w:val="0"/>
          <w:lang w:val="en-US"/>
        </w:rPr>
        <w:t>de casos sospechosos en zonas de riesgo.</w:t>
      </w:r>
    </w:p>
    <w:p>
      <w:pPr>
        <w:pStyle w:val="Body"/>
        <w:spacing w:after="140"/>
        <w:ind w:left="720"/>
        <w:jc w:val="both"/>
      </w:pPr>
      <w:r>
        <w:rPr>
          <w:rtl w:val="0"/>
          <w:lang w:val="en-US"/>
        </w:rPr>
        <w:t>1.4. Capacitaci</w:t>
      </w:r>
      <w:r>
        <w:rPr>
          <w:rtl w:val="0"/>
          <w:lang w:val="en-US"/>
        </w:rPr>
        <w:t>ó</w:t>
      </w:r>
      <w:r>
        <w:rPr>
          <w:rtl w:val="0"/>
          <w:lang w:val="en-US"/>
        </w:rPr>
        <w:t>n y/o sensibilizaci</w:t>
      </w:r>
      <w:r>
        <w:rPr>
          <w:rtl w:val="0"/>
          <w:lang w:val="en-US"/>
        </w:rPr>
        <w:t>ó</w:t>
      </w:r>
      <w:r>
        <w:rPr>
          <w:rtl w:val="0"/>
          <w:lang w:val="en-US"/>
        </w:rPr>
        <w:t xml:space="preserve">n al personal de los servicios de salud y de      </w:t>
        <w:tab/>
        <w:t xml:space="preserve">      las empresas principalmente agr</w:t>
      </w:r>
      <w:r>
        <w:rPr>
          <w:rtl w:val="0"/>
          <w:lang w:val="en-US"/>
        </w:rPr>
        <w:t>í</w:t>
      </w:r>
      <w:r>
        <w:rPr>
          <w:rtl w:val="0"/>
          <w:lang w:val="en-US"/>
        </w:rPr>
        <w:t>colas sobre los s</w:t>
      </w:r>
      <w:r>
        <w:rPr>
          <w:rtl w:val="0"/>
          <w:lang w:val="en-US"/>
        </w:rPr>
        <w:t>í</w:t>
      </w:r>
      <w:r>
        <w:rPr>
          <w:rtl w:val="0"/>
          <w:lang w:val="en-US"/>
        </w:rPr>
        <w:t xml:space="preserve">ntomas y signos de la Malaria    </w:t>
        <w:tab/>
        <w:t xml:space="preserve">          dentro del contexto epidemiol</w:t>
      </w:r>
      <w:r>
        <w:rPr>
          <w:rtl w:val="0"/>
          <w:lang w:val="en-US"/>
        </w:rPr>
        <w:t>ó</w:t>
      </w:r>
      <w:r>
        <w:rPr>
          <w:rtl w:val="0"/>
          <w:lang w:val="en-US"/>
        </w:rPr>
        <w:t>gico, para lograr la sospecha cl</w:t>
      </w:r>
      <w:r>
        <w:rPr>
          <w:rtl w:val="0"/>
          <w:lang w:val="en-US"/>
        </w:rPr>
        <w:t>í</w:t>
      </w:r>
      <w:r>
        <w:rPr>
          <w:rtl w:val="0"/>
          <w:lang w:val="en-US"/>
        </w:rPr>
        <w:t>nica, notificaci</w:t>
      </w:r>
      <w:r>
        <w:rPr>
          <w:rtl w:val="0"/>
          <w:lang w:val="en-US"/>
        </w:rPr>
        <w:t>ó</w:t>
      </w:r>
      <w:r>
        <w:rPr>
          <w:rtl w:val="0"/>
          <w:lang w:val="en-US"/>
        </w:rPr>
        <w:t>n y  abordaje  oportuno del caso.</w:t>
      </w:r>
    </w:p>
    <w:p>
      <w:pPr>
        <w:pStyle w:val="Body"/>
        <w:spacing w:after="140"/>
        <w:ind w:left="720"/>
        <w:jc w:val="both"/>
      </w:pPr>
    </w:p>
    <w:p>
      <w:pPr>
        <w:pStyle w:val="Body"/>
        <w:spacing w:after="140"/>
        <w:jc w:val="both"/>
      </w:pPr>
      <w:r>
        <w:rPr>
          <w:rtl w:val="0"/>
          <w:lang w:val="en-US"/>
        </w:rPr>
        <w:t>Dentro del componente de comunicaci</w:t>
      </w:r>
      <w:r>
        <w:rPr>
          <w:rtl w:val="0"/>
          <w:lang w:val="en-US"/>
        </w:rPr>
        <w:t>ó</w:t>
      </w:r>
      <w:r>
        <w:rPr>
          <w:rtl w:val="0"/>
          <w:lang w:val="en-US"/>
        </w:rPr>
        <w:t>n y sensibilizaci</w:t>
      </w:r>
      <w:r>
        <w:rPr>
          <w:rtl w:val="0"/>
          <w:lang w:val="en-US"/>
        </w:rPr>
        <w:t>ó</w:t>
      </w:r>
      <w:r>
        <w:rPr>
          <w:rtl w:val="0"/>
          <w:lang w:val="en-US"/>
        </w:rPr>
        <w:t>n, las acciones espec</w:t>
      </w:r>
      <w:r>
        <w:rPr>
          <w:rtl w:val="0"/>
          <w:lang w:val="en-US"/>
        </w:rPr>
        <w:t>í</w:t>
      </w:r>
      <w:r>
        <w:rPr>
          <w:rtl w:val="0"/>
          <w:lang w:val="en-US"/>
        </w:rPr>
        <w:t>ficas que se deben contemplar son:</w:t>
      </w:r>
    </w:p>
    <w:p>
      <w:pPr>
        <w:pStyle w:val="Body"/>
        <w:spacing w:after="140"/>
        <w:ind w:left="720"/>
        <w:jc w:val="both"/>
      </w:pPr>
      <w:r>
        <w:rPr>
          <w:rtl w:val="0"/>
          <w:lang w:val="en-US"/>
        </w:rPr>
        <w:t>2.1.  Definici</w:t>
      </w:r>
      <w:r>
        <w:rPr>
          <w:rtl w:val="0"/>
          <w:lang w:val="en-US"/>
        </w:rPr>
        <w:t>ó</w:t>
      </w:r>
      <w:r>
        <w:rPr>
          <w:rtl w:val="0"/>
          <w:lang w:val="en-US"/>
        </w:rPr>
        <w:t>n de estrategias para que la poblaci</w:t>
      </w:r>
      <w:r>
        <w:rPr>
          <w:rtl w:val="0"/>
          <w:lang w:val="en-US"/>
        </w:rPr>
        <w:t>ó</w:t>
      </w:r>
      <w:r>
        <w:rPr>
          <w:rtl w:val="0"/>
          <w:lang w:val="en-US"/>
        </w:rPr>
        <w:t xml:space="preserve">n logre identificar si en su entorno  inmediato  existen  criaderos del mosquito </w:t>
      </w:r>
      <w:r>
        <w:rPr>
          <w:i w:val="1"/>
          <w:iCs w:val="1"/>
          <w:rtl w:val="0"/>
          <w:lang w:val="en-US"/>
        </w:rPr>
        <w:t xml:space="preserve">Anopheles  albimanus </w:t>
      </w:r>
      <w:r>
        <w:rPr>
          <w:rtl w:val="0"/>
          <w:lang w:val="en-US"/>
        </w:rPr>
        <w:t xml:space="preserve"> para conocer el nivel de riesgo al que est</w:t>
      </w:r>
      <w:r>
        <w:rPr>
          <w:rtl w:val="0"/>
          <w:lang w:val="en-US"/>
        </w:rPr>
        <w:t>á</w:t>
      </w:r>
      <w:r>
        <w:rPr>
          <w:rtl w:val="0"/>
          <w:lang w:val="en-US"/>
        </w:rPr>
        <w:t>n expuestos, medidas preventivas, cuadro cl</w:t>
      </w:r>
      <w:r>
        <w:rPr>
          <w:rtl w:val="0"/>
          <w:lang w:val="en-US"/>
        </w:rPr>
        <w:t>í</w:t>
      </w:r>
      <w:r>
        <w:rPr>
          <w:rtl w:val="0"/>
          <w:lang w:val="en-US"/>
        </w:rPr>
        <w:t>nico sugestivo de malaria y necesidad de consultar en los servicios de salud cuanto antes.</w:t>
      </w:r>
    </w:p>
    <w:p>
      <w:pPr>
        <w:pStyle w:val="Body"/>
        <w:spacing w:after="140"/>
        <w:ind w:left="720"/>
        <w:jc w:val="both"/>
      </w:pPr>
      <w:r>
        <w:rPr>
          <w:rtl w:val="0"/>
        </w:rPr>
        <w:tab/>
        <w:tab/>
        <w:t>2.1.1 Medidas b</w:t>
      </w:r>
      <w:r>
        <w:rPr>
          <w:rtl w:val="0"/>
          <w:lang w:val="en-US"/>
        </w:rPr>
        <w:t>á</w:t>
      </w:r>
      <w:r>
        <w:rPr>
          <w:rtl w:val="0"/>
          <w:lang w:val="en-US"/>
        </w:rPr>
        <w:t>sicas de protecci</w:t>
      </w:r>
      <w:r>
        <w:rPr>
          <w:rtl w:val="0"/>
          <w:lang w:val="en-US"/>
        </w:rPr>
        <w:t>ó</w:t>
      </w:r>
      <w:r>
        <w:rPr>
          <w:rtl w:val="0"/>
          <w:lang w:val="en-US"/>
        </w:rPr>
        <w:t>n contra la picadura del mosquito:</w:t>
      </w:r>
    </w:p>
    <w:p>
      <w:pPr>
        <w:pStyle w:val="Body"/>
        <w:numPr>
          <w:ilvl w:val="8"/>
          <w:numId w:val="2"/>
        </w:numPr>
        <w:spacing w:after="140"/>
        <w:jc w:val="both"/>
        <w:rPr>
          <w:lang w:val="en-US"/>
        </w:rPr>
      </w:pPr>
      <w:r>
        <w:rPr>
          <w:rtl w:val="0"/>
          <w:lang w:val="en-US"/>
        </w:rPr>
        <w:t>Uso de repelente</w:t>
      </w:r>
    </w:p>
    <w:p>
      <w:pPr>
        <w:pStyle w:val="Body"/>
        <w:numPr>
          <w:ilvl w:val="8"/>
          <w:numId w:val="2"/>
        </w:numPr>
        <w:spacing w:after="140"/>
        <w:jc w:val="both"/>
        <w:rPr>
          <w:lang w:val="en-US"/>
        </w:rPr>
      </w:pPr>
      <w:r>
        <w:rPr>
          <w:rtl w:val="0"/>
          <w:lang w:val="en-US"/>
        </w:rPr>
        <w:t xml:space="preserve">Uso de mosquitero </w:t>
      </w:r>
    </w:p>
    <w:p>
      <w:pPr>
        <w:pStyle w:val="Body"/>
        <w:numPr>
          <w:ilvl w:val="8"/>
          <w:numId w:val="2"/>
        </w:numPr>
        <w:spacing w:after="140"/>
        <w:jc w:val="both"/>
        <w:rPr>
          <w:lang w:val="en-US"/>
        </w:rPr>
      </w:pPr>
      <w:r>
        <w:rPr>
          <w:rtl w:val="0"/>
          <w:lang w:val="en-US"/>
        </w:rPr>
        <w:t>Uso de ropa que cubra partes expuestas del cuerpo</w:t>
      </w:r>
    </w:p>
    <w:p>
      <w:pPr>
        <w:pStyle w:val="Body"/>
        <w:spacing w:after="140"/>
        <w:jc w:val="both"/>
      </w:pPr>
      <w:r>
        <w:rPr>
          <w:rtl w:val="0"/>
          <w:lang w:val="en-US"/>
        </w:rPr>
        <w:t>Para el componente de preparaci</w:t>
      </w:r>
      <w:r>
        <w:rPr>
          <w:rtl w:val="0"/>
          <w:lang w:val="en-US"/>
        </w:rPr>
        <w:t>ó</w:t>
      </w:r>
      <w:r>
        <w:rPr>
          <w:rtl w:val="0"/>
          <w:lang w:val="en-US"/>
        </w:rPr>
        <w:t>n de los servicios de salud, las medidas que se deben implementar son:</w:t>
      </w:r>
    </w:p>
    <w:p>
      <w:pPr>
        <w:pStyle w:val="Body"/>
        <w:spacing w:after="140"/>
        <w:ind w:left="720"/>
        <w:jc w:val="both"/>
      </w:pPr>
      <w:r>
        <w:rPr>
          <w:rtl w:val="0"/>
        </w:rPr>
        <w:tab/>
        <w:t>3.1 El personal de salud de los servicios de salud p</w:t>
      </w:r>
      <w:r>
        <w:rPr>
          <w:rtl w:val="0"/>
          <w:lang w:val="en-US"/>
        </w:rPr>
        <w:t>ú</w:t>
      </w:r>
      <w:r>
        <w:rPr>
          <w:rtl w:val="0"/>
          <w:lang w:val="en-US"/>
        </w:rPr>
        <w:t>blicos y privados deben de aplicar las definiciones de caso de la Norma Nacional, con el fin de captar todo posible caso sospechoso.</w:t>
      </w:r>
    </w:p>
    <w:p>
      <w:pPr>
        <w:pStyle w:val="Body"/>
        <w:spacing w:after="140"/>
        <w:ind w:left="720"/>
        <w:jc w:val="both"/>
      </w:pPr>
      <w:r>
        <w:rPr>
          <w:rtl w:val="0"/>
        </w:rPr>
        <w:tab/>
        <w:t xml:space="preserve">3.2. Todo caso confirmado independientemente de su estado de aseguramiento, debe contar con el tratamiento radical inmediato, por lo que los servicios de salud de la Caja Costarricense de Seguro Social deben contar y brindar los tratamientos completos para ser administrados de forma inmediata y estrictamente supervisada, de acuerdo a la Directriz </w:t>
      </w:r>
      <w:r>
        <w:rPr>
          <w:b w:val="1"/>
          <w:bCs w:val="1"/>
          <w:i w:val="1"/>
          <w:iCs w:val="1"/>
          <w:rtl w:val="0"/>
          <w:lang w:val="en-US"/>
        </w:rPr>
        <w:t>“</w:t>
      </w:r>
      <w:r>
        <w:rPr>
          <w:b w:val="1"/>
          <w:bCs w:val="1"/>
          <w:i w:val="1"/>
          <w:iCs w:val="1"/>
          <w:rtl w:val="0"/>
          <w:lang w:val="en-US"/>
        </w:rPr>
        <w:t>Obligaci</w:t>
      </w:r>
      <w:r>
        <w:rPr>
          <w:b w:val="1"/>
          <w:bCs w:val="1"/>
          <w:i w:val="1"/>
          <w:iCs w:val="1"/>
          <w:rtl w:val="0"/>
          <w:lang w:val="en-US"/>
        </w:rPr>
        <w:t>ó</w:t>
      </w:r>
      <w:r>
        <w:rPr>
          <w:b w:val="1"/>
          <w:bCs w:val="1"/>
          <w:i w:val="1"/>
          <w:iCs w:val="1"/>
          <w:rtl w:val="0"/>
          <w:lang w:val="en-US"/>
        </w:rPr>
        <w:t>n de Brindar Atenci</w:t>
      </w:r>
      <w:r>
        <w:rPr>
          <w:b w:val="1"/>
          <w:bCs w:val="1"/>
          <w:i w:val="1"/>
          <w:iCs w:val="1"/>
          <w:rtl w:val="0"/>
          <w:lang w:val="en-US"/>
        </w:rPr>
        <w:t>ó</w:t>
      </w:r>
      <w:r>
        <w:rPr>
          <w:b w:val="1"/>
          <w:bCs w:val="1"/>
          <w:i w:val="1"/>
          <w:iCs w:val="1"/>
          <w:rtl w:val="0"/>
          <w:lang w:val="en-US"/>
        </w:rPr>
        <w:t>n de la Salud y Tratamiento a la Poblaci</w:t>
      </w:r>
      <w:r>
        <w:rPr>
          <w:b w:val="1"/>
          <w:bCs w:val="1"/>
          <w:i w:val="1"/>
          <w:iCs w:val="1"/>
          <w:rtl w:val="0"/>
          <w:lang w:val="en-US"/>
        </w:rPr>
        <w:t>ó</w:t>
      </w:r>
      <w:r>
        <w:rPr>
          <w:b w:val="1"/>
          <w:bCs w:val="1"/>
          <w:i w:val="1"/>
          <w:iCs w:val="1"/>
          <w:rtl w:val="0"/>
          <w:lang w:val="en-US"/>
        </w:rPr>
        <w:t>n Migrante Continental y Extracontinental en Costa Rica</w:t>
      </w:r>
      <w:r>
        <w:rPr>
          <w:b w:val="1"/>
          <w:bCs w:val="1"/>
          <w:i w:val="1"/>
          <w:iCs w:val="1"/>
          <w:rtl w:val="0"/>
          <w:lang w:val="en-US"/>
        </w:rPr>
        <w:t xml:space="preserve">” </w:t>
      </w:r>
      <w:r>
        <w:rPr>
          <w:rtl w:val="0"/>
          <w:lang w:val="en-US"/>
        </w:rPr>
        <w:t xml:space="preserve"> N</w:t>
      </w:r>
      <w:r>
        <w:rPr>
          <w:vertAlign w:val="superscript"/>
          <w:rtl w:val="0"/>
          <w:lang w:val="en-US"/>
        </w:rPr>
        <w:t>o</w:t>
      </w:r>
      <w:r>
        <w:rPr>
          <w:rtl w:val="0"/>
          <w:lang w:val="en-US"/>
        </w:rPr>
        <w:t xml:space="preserve"> 046-S.</w:t>
      </w:r>
    </w:p>
    <w:p>
      <w:pPr>
        <w:pStyle w:val="Body"/>
        <w:jc w:val="both"/>
      </w:pPr>
    </w:p>
    <w:p>
      <w:pPr>
        <w:pStyle w:val="Body"/>
        <w:jc w:val="both"/>
      </w:pPr>
      <w:r>
        <w:rPr>
          <w:rtl w:val="0"/>
          <w:lang w:val="en-US"/>
        </w:rPr>
        <w:t>P</w:t>
      </w:r>
      <w:r>
        <w:rPr>
          <w:rtl w:val="0"/>
          <w:lang w:val="es-ES_tradnl"/>
        </w:rPr>
        <w:t>atronos y empresas dedicadas a</w:t>
      </w:r>
      <w:r>
        <w:rPr>
          <w:rtl w:val="0"/>
          <w:lang w:val="en-US"/>
        </w:rPr>
        <w:t xml:space="preserve"> la</w:t>
      </w:r>
      <w:r>
        <w:rPr>
          <w:rtl w:val="0"/>
          <w:lang w:val="pt-PT"/>
        </w:rPr>
        <w:t xml:space="preserve"> industria agr</w:t>
      </w:r>
      <w:r>
        <w:rPr>
          <w:rtl w:val="0"/>
        </w:rPr>
        <w:t>í</w:t>
      </w:r>
      <w:r>
        <w:rPr>
          <w:rtl w:val="0"/>
          <w:lang w:val="it-IT"/>
        </w:rPr>
        <w:t xml:space="preserve">cola tipo </w:t>
      </w:r>
      <w:r>
        <w:rPr>
          <w:rtl w:val="0"/>
          <w:lang w:val="en-US"/>
        </w:rPr>
        <w:t>p</w:t>
      </w:r>
      <w:r>
        <w:rPr>
          <w:rtl w:val="0"/>
        </w:rPr>
        <w:t>i</w:t>
      </w:r>
      <w:r>
        <w:rPr>
          <w:rtl w:val="0"/>
          <w:lang w:val="es-ES_tradnl"/>
        </w:rPr>
        <w:t>ñ</w:t>
      </w:r>
      <w:r>
        <w:rPr>
          <w:rtl w:val="0"/>
        </w:rPr>
        <w:t>era</w:t>
      </w:r>
      <w:r>
        <w:rPr>
          <w:rtl w:val="0"/>
          <w:lang w:val="en-US"/>
        </w:rPr>
        <w:t>,</w:t>
      </w:r>
      <w:r>
        <w:rPr>
          <w:rtl w:val="0"/>
          <w:lang w:val="es-ES_tradnl"/>
        </w:rPr>
        <w:t xml:space="preserve"> bananera</w:t>
      </w:r>
      <w:r>
        <w:rPr>
          <w:rtl w:val="0"/>
          <w:lang w:val="en-US"/>
        </w:rPr>
        <w:t>,</w:t>
      </w:r>
      <w:r>
        <w:rPr>
          <w:rtl w:val="0"/>
          <w:lang w:val="en-US"/>
        </w:rPr>
        <w:t xml:space="preserve"> ca</w:t>
      </w:r>
      <w:r>
        <w:rPr>
          <w:rtl w:val="0"/>
          <w:lang w:val="es-ES_tradnl"/>
        </w:rPr>
        <w:t>ñ</w:t>
      </w:r>
      <w:r>
        <w:rPr>
          <w:rtl w:val="0"/>
        </w:rPr>
        <w:t>a de az</w:t>
      </w:r>
      <w:r>
        <w:rPr>
          <w:rtl w:val="0"/>
        </w:rPr>
        <w:t>ú</w:t>
      </w:r>
      <w:r>
        <w:rPr>
          <w:rtl w:val="0"/>
        </w:rPr>
        <w:t>ca</w:t>
      </w:r>
      <w:r>
        <w:rPr>
          <w:rtl w:val="0"/>
          <w:lang w:val="en-US"/>
        </w:rPr>
        <w:t>r y similares deben organizarse a lo interno para contar con medidas de captaci</w:t>
      </w:r>
      <w:r>
        <w:rPr>
          <w:rtl w:val="0"/>
          <w:lang w:val="en-US"/>
        </w:rPr>
        <w:t>ó</w:t>
      </w:r>
      <w:r>
        <w:rPr>
          <w:rtl w:val="0"/>
          <w:lang w:val="en-US"/>
        </w:rPr>
        <w:t>n de personas con fiebre y adem</w:t>
      </w:r>
      <w:r>
        <w:rPr>
          <w:rtl w:val="0"/>
          <w:lang w:val="en-US"/>
        </w:rPr>
        <w:t>á</w:t>
      </w:r>
      <w:r>
        <w:rPr>
          <w:rtl w:val="0"/>
          <w:lang w:val="en-US"/>
        </w:rPr>
        <w:t>s tienen la obligaci</w:t>
      </w:r>
      <w:r>
        <w:rPr>
          <w:rtl w:val="0"/>
          <w:lang w:val="en-US"/>
        </w:rPr>
        <w:t>ó</w:t>
      </w:r>
      <w:r>
        <w:rPr>
          <w:rtl w:val="0"/>
          <w:lang w:val="en-US"/>
        </w:rPr>
        <w:t>n de reportar al Ministerio de Salud los casos sospechosos de malaria en las siguientes 24 horas, de lo contrario se ven expuestos a las sanciones que disponga la normativa vigente, incluyendo la suspensi</w:t>
      </w:r>
      <w:r>
        <w:rPr>
          <w:rtl w:val="0"/>
          <w:lang w:val="en-US"/>
        </w:rPr>
        <w:t>ó</w:t>
      </w:r>
      <w:r>
        <w:rPr>
          <w:rtl w:val="0"/>
          <w:lang w:val="en-US"/>
        </w:rPr>
        <w:t>n del permiso sanitario de funcionamiento, en concordancia con lo establecido en el art</w:t>
      </w:r>
      <w:r>
        <w:rPr>
          <w:rtl w:val="0"/>
          <w:lang w:val="en-US"/>
        </w:rPr>
        <w:t>í</w:t>
      </w:r>
      <w:r>
        <w:rPr>
          <w:rtl w:val="0"/>
          <w:lang w:val="en-US"/>
        </w:rPr>
        <w:t>culo 61 del Decreto N</w:t>
      </w:r>
      <w:r>
        <w:rPr>
          <w:vertAlign w:val="superscript"/>
          <w:rtl w:val="0"/>
          <w:lang w:val="en-US"/>
        </w:rPr>
        <w:t>o</w:t>
      </w:r>
      <w:r>
        <w:rPr>
          <w:rtl w:val="0"/>
          <w:lang w:val="en-US"/>
        </w:rPr>
        <w:t xml:space="preserve"> 40556-S.</w:t>
      </w:r>
    </w:p>
    <w:p>
      <w:pPr>
        <w:pStyle w:val="Body"/>
        <w:jc w:val="both"/>
      </w:pPr>
    </w:p>
    <w:p>
      <w:pPr>
        <w:pStyle w:val="Body"/>
        <w:jc w:val="both"/>
      </w:pPr>
      <w:r>
        <w:rPr>
          <w:rtl w:val="0"/>
          <w:lang w:val="en-US"/>
        </w:rPr>
        <w:t>Fecha de declaraci</w:t>
      </w:r>
      <w:r>
        <w:rPr>
          <w:rtl w:val="0"/>
          <w:lang w:val="en-US"/>
        </w:rPr>
        <w:t>ó</w:t>
      </w:r>
      <w:r>
        <w:rPr>
          <w:rtl w:val="0"/>
          <w:lang w:val="en-US"/>
        </w:rPr>
        <w:t>n de alerta: 13 de setiembre 2017.</w:t>
      </w:r>
    </w:p>
    <w:p>
      <w:pPr>
        <w:pStyle w:val="Body"/>
        <w:jc w:val="both"/>
      </w:pPr>
      <w:r>
        <w:rPr>
          <w:rtl w:val="0"/>
          <w:lang w:val="en-US"/>
        </w:rPr>
        <w:t>Vigencia: indefinida</w:t>
      </w:r>
    </w:p>
    <w:p>
      <w:pPr>
        <w:pStyle w:val="Body"/>
        <w:jc w:val="both"/>
      </w:pPr>
      <w:r/>
    </w:p>
    <w:sectPr>
      <w:headerReference w:type="default" r:id="rId4"/>
      <w:footerReference w:type="default" r:id="rId5"/>
      <w:pgSz w:w="12240" w:h="15840" w:orient="portrait"/>
      <w:pgMar w:top="1440" w:right="1440" w:bottom="1440" w:left="1440" w:header="720" w:footer="864"/>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ftr>
</file>

<file path=word/footnotes.xml><?xml version="1.0" encoding="utf-8"?>
<w:footnotes xmlns:w="http://schemas.openxmlformats.org/wordprocessingml/2006/main" xmlns:r="http://schemas.openxmlformats.org/officeDocument/2006/relationships" xmlns:w14="http://schemas.microsoft.com/office/word/2010/wordml">
  <w:footnote w:type="separator" w:id="-1">
    <w:p>
      <w:r>
        <w:separator/>
      </w:r>
    </w:p>
  </w:footnote>
  <w:footnote w:type="continuationSeparator" w:id="0">
    <w:p>
      <w:r>
        <w:continuationSeparator/>
      </w:r>
    </w:p>
  </w:footnote>
  <w:footnote w:type="continuationNotice" w:id="-2">
    <w:p>
      <w:r>
        <w:t/>
      </w:r>
    </w:p>
  </w:footnote>
  <w:footnote w:id="1">
    <w:p>
      <w:pPr>
        <w:pStyle w:val="Footnote"/>
        <w:bidi w:val="0"/>
      </w:pPr>
      <w:r>
        <w:rPr>
          <w:vertAlign w:val="superscript"/>
        </w:rPr>
        <w:footnoteRef/>
      </w:r>
      <w:r>
        <w:rPr>
          <w:rFonts w:cs="Arial Unicode MS" w:eastAsia="Arial Unicode MS"/>
          <w:rtl w:val="0"/>
        </w:rPr>
        <w:t xml:space="preserve"> </w:t>
      </w:r>
      <w:r>
        <w:rPr>
          <w:rFonts w:cs="Arial Unicode MS" w:eastAsia="Arial Unicode MS"/>
          <w:rtl w:val="0"/>
          <w:lang w:val="en-US"/>
        </w:rPr>
        <w:t>(</w:t>
      </w:r>
      <w:r>
        <w:rPr>
          <w:rStyle w:val="Hyperlink.0"/>
        </w:rPr>
        <w:fldChar w:fldCharType="begin" w:fldLock="0"/>
      </w:r>
      <w:r>
        <w:rPr>
          <w:rStyle w:val="Hyperlink.0"/>
        </w:rPr>
        <w:instrText xml:space="preserve"> HYPERLINK "https://www.ministeriodesalud.go.cr/index.php/vigilancia-de-la-salud/normas-protocolos-y-guias/enfermedades-de-transmision-vectorial/3150-norma-de-malaria/file"</w:instrText>
      </w:r>
      <w:r>
        <w:rPr>
          <w:rStyle w:val="Hyperlink.0"/>
        </w:rPr>
        <w:fldChar w:fldCharType="separate" w:fldLock="0"/>
      </w:r>
      <w:r>
        <w:rPr>
          <w:rStyle w:val="Hyperlink.0"/>
          <w:rFonts w:cs="Arial Unicode MS" w:eastAsia="Arial Unicode MS"/>
          <w:rtl w:val="0"/>
          <w:lang w:val="es-ES_tradnl"/>
        </w:rPr>
        <w:t>https://www.ministeriodesalud.go.cr/index.php/vigilancia-de-la-salud/normas-protocolos-y-guias/enfermedades-de-transmision-vectorial/3150-norma-de-malaria/file</w:t>
      </w:r>
      <w:r>
        <w:rPr/>
        <w:fldChar w:fldCharType="end" w:fldLock="0"/>
      </w:r>
      <w:r>
        <w:rPr>
          <w:rFonts w:cs="Arial Unicode MS" w:eastAsia="Arial Unicode MS"/>
          <w:rtl w:val="0"/>
          <w:lang w:val="en-US"/>
        </w:rPr>
        <w:t>)</w:t>
      </w:r>
    </w:p>
  </w:footnote>
  <w:footnote w:id="2">
    <w:p>
      <w:pPr>
        <w:pStyle w:val="Footnote"/>
        <w:bidi w:val="0"/>
      </w:pPr>
      <w:r>
        <w:rPr>
          <w:vertAlign w:val="superscript"/>
        </w:rPr>
        <w:footnoteRef/>
      </w:r>
      <w:r>
        <w:rPr>
          <w:rFonts w:cs="Arial Unicode MS" w:eastAsia="Arial Unicode MS"/>
          <w:rtl w:val="0"/>
        </w:rPr>
        <w:t xml:space="preserve"> </w:t>
      </w:r>
      <w:r>
        <w:rPr>
          <w:rFonts w:cs="Arial Unicode MS" w:eastAsia="Arial Unicode MS"/>
          <w:rtl w:val="0"/>
          <w:lang w:val="en-US"/>
        </w:rPr>
        <w:t>(</w:t>
      </w:r>
      <w:r>
        <w:rPr>
          <w:rStyle w:val="Hyperlink.0"/>
        </w:rPr>
        <w:fldChar w:fldCharType="begin" w:fldLock="0"/>
      </w:r>
      <w:r>
        <w:rPr>
          <w:rStyle w:val="Hyperlink.0"/>
        </w:rPr>
        <w:instrText xml:space="preserve"> HYPERLINK "https://www.ministeriodesalud.go.cr/index.php/biblioteca-de-archivos/2664-plan-eliminacion-de-la-malaria/file"</w:instrText>
      </w:r>
      <w:r>
        <w:rPr>
          <w:rStyle w:val="Hyperlink.0"/>
        </w:rPr>
        <w:fldChar w:fldCharType="separate" w:fldLock="0"/>
      </w:r>
      <w:r>
        <w:rPr>
          <w:rStyle w:val="Hyperlink.0"/>
          <w:rFonts w:cs="Arial Unicode MS" w:eastAsia="Arial Unicode MS"/>
          <w:rtl w:val="0"/>
          <w:lang w:val="es-ES_tradnl"/>
        </w:rPr>
        <w:t>https://www.ministeriodesalud.go.cr/index.php/biblioteca-de-archivos/2664-plan-eliminacion-de-la-malaria/file</w:t>
      </w:r>
      <w:r>
        <w:rPr/>
        <w:fldChar w:fldCharType="end" w:fldLock="0"/>
      </w:r>
      <w:r>
        <w:rPr>
          <w:rFonts w:cs="Arial Unicode MS" w:eastAsia="Arial Unicode MS"/>
          <w:rtl w:val="0"/>
          <w:lang w:val="en-US"/>
        </w:rPr>
        <w:t>)</w:t>
      </w:r>
    </w:p>
  </w:footnote>
</w:footnotes>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Bullet"/>
  </w:abstractNum>
  <w:abstractNum w:abstractNumId="1">
    <w:multiLevelType w:val="hybridMultilevel"/>
    <w:styleLink w:val="Bullet"/>
    <w:lvl w:ilvl="0">
      <w:start w:val="1"/>
      <w:numFmt w:val="bullet"/>
      <w:suff w:val="tab"/>
      <w:lvlText w:val="•"/>
      <w:lvlJc w:val="left"/>
      <w:pPr>
        <w:ind w:left="180" w:hanging="180"/>
      </w:pPr>
      <w:rPr>
        <w:rFonts w:hAnsi="Arial Unicode MS"/>
        <w:caps w:val="0"/>
        <w:smallCaps w:val="0"/>
        <w:strike w:val="0"/>
        <w:dstrike w:val="0"/>
        <w:outline w:val="0"/>
        <w:emboss w:val="0"/>
        <w:imprint w:val="0"/>
        <w:spacing w:val="0"/>
        <w:w w:val="100"/>
        <w:kern w:val="0"/>
        <w:position w:val="-2"/>
        <w:highlight w:val="none"/>
        <w:vertAlign w:val="baseline"/>
      </w:rPr>
    </w:lvl>
    <w:lvl w:ilvl="1">
      <w:start w:val="1"/>
      <w:numFmt w:val="bullet"/>
      <w:suff w:val="tab"/>
      <w:lvlText w:val="•"/>
      <w:lvlJc w:val="left"/>
      <w:pPr>
        <w:ind w:left="360" w:hanging="180"/>
      </w:pPr>
      <w:rPr>
        <w:rFonts w:hAnsi="Arial Unicode MS"/>
        <w:caps w:val="0"/>
        <w:smallCaps w:val="0"/>
        <w:strike w:val="0"/>
        <w:dstrike w:val="0"/>
        <w:outline w:val="0"/>
        <w:emboss w:val="0"/>
        <w:imprint w:val="0"/>
        <w:spacing w:val="0"/>
        <w:w w:val="100"/>
        <w:kern w:val="0"/>
        <w:position w:val="-2"/>
        <w:highlight w:val="none"/>
        <w:vertAlign w:val="baseline"/>
      </w:rPr>
    </w:lvl>
    <w:lvl w:ilvl="2">
      <w:start w:val="1"/>
      <w:numFmt w:val="bullet"/>
      <w:suff w:val="tab"/>
      <w:lvlText w:val="•"/>
      <w:lvlJc w:val="left"/>
      <w:pPr>
        <w:ind w:left="540" w:hanging="180"/>
      </w:pPr>
      <w:rPr>
        <w:rFonts w:hAnsi="Arial Unicode MS"/>
        <w:caps w:val="0"/>
        <w:smallCaps w:val="0"/>
        <w:strike w:val="0"/>
        <w:dstrike w:val="0"/>
        <w:outline w:val="0"/>
        <w:emboss w:val="0"/>
        <w:imprint w:val="0"/>
        <w:spacing w:val="0"/>
        <w:w w:val="100"/>
        <w:kern w:val="0"/>
        <w:position w:val="-2"/>
        <w:highlight w:val="none"/>
        <w:vertAlign w:val="baseline"/>
      </w:rPr>
    </w:lvl>
    <w:lvl w:ilvl="3">
      <w:start w:val="1"/>
      <w:numFmt w:val="bullet"/>
      <w:suff w:val="tab"/>
      <w:lvlText w:val="•"/>
      <w:lvlJc w:val="left"/>
      <w:pPr>
        <w:ind w:left="720" w:hanging="180"/>
      </w:pPr>
      <w:rPr>
        <w:rFonts w:hAnsi="Arial Unicode MS"/>
        <w:caps w:val="0"/>
        <w:smallCaps w:val="0"/>
        <w:strike w:val="0"/>
        <w:dstrike w:val="0"/>
        <w:outline w:val="0"/>
        <w:emboss w:val="0"/>
        <w:imprint w:val="0"/>
        <w:spacing w:val="0"/>
        <w:w w:val="100"/>
        <w:kern w:val="0"/>
        <w:position w:val="-2"/>
        <w:highlight w:val="none"/>
        <w:vertAlign w:val="baseline"/>
      </w:rPr>
    </w:lvl>
    <w:lvl w:ilvl="4">
      <w:start w:val="1"/>
      <w:numFmt w:val="bullet"/>
      <w:suff w:val="tab"/>
      <w:lvlText w:val="•"/>
      <w:lvlJc w:val="left"/>
      <w:pPr>
        <w:ind w:left="900" w:hanging="180"/>
      </w:pPr>
      <w:rPr>
        <w:rFonts w:hAnsi="Arial Unicode MS"/>
        <w:caps w:val="0"/>
        <w:smallCaps w:val="0"/>
        <w:strike w:val="0"/>
        <w:dstrike w:val="0"/>
        <w:outline w:val="0"/>
        <w:emboss w:val="0"/>
        <w:imprint w:val="0"/>
        <w:spacing w:val="0"/>
        <w:w w:val="100"/>
        <w:kern w:val="0"/>
        <w:position w:val="-2"/>
        <w:highlight w:val="none"/>
        <w:vertAlign w:val="baseline"/>
      </w:rPr>
    </w:lvl>
    <w:lvl w:ilvl="5">
      <w:start w:val="1"/>
      <w:numFmt w:val="bullet"/>
      <w:suff w:val="tab"/>
      <w:lvlText w:val="•"/>
      <w:lvlJc w:val="left"/>
      <w:pPr>
        <w:ind w:left="1080" w:hanging="180"/>
      </w:pPr>
      <w:rPr>
        <w:rFonts w:hAnsi="Arial Unicode MS"/>
        <w:caps w:val="0"/>
        <w:smallCaps w:val="0"/>
        <w:strike w:val="0"/>
        <w:dstrike w:val="0"/>
        <w:outline w:val="0"/>
        <w:emboss w:val="0"/>
        <w:imprint w:val="0"/>
        <w:spacing w:val="0"/>
        <w:w w:val="100"/>
        <w:kern w:val="0"/>
        <w:position w:val="-2"/>
        <w:highlight w:val="none"/>
        <w:vertAlign w:val="baseline"/>
      </w:rPr>
    </w:lvl>
    <w:lvl w:ilvl="6">
      <w:start w:val="1"/>
      <w:numFmt w:val="bullet"/>
      <w:suff w:val="tab"/>
      <w:lvlText w:val="•"/>
      <w:lvlJc w:val="left"/>
      <w:pPr>
        <w:ind w:left="1260" w:hanging="180"/>
      </w:pPr>
      <w:rPr>
        <w:rFonts w:hAnsi="Arial Unicode MS"/>
        <w:caps w:val="0"/>
        <w:smallCaps w:val="0"/>
        <w:strike w:val="0"/>
        <w:dstrike w:val="0"/>
        <w:outline w:val="0"/>
        <w:emboss w:val="0"/>
        <w:imprint w:val="0"/>
        <w:spacing w:val="0"/>
        <w:w w:val="100"/>
        <w:kern w:val="0"/>
        <w:position w:val="-2"/>
        <w:highlight w:val="none"/>
        <w:vertAlign w:val="baseline"/>
      </w:rPr>
    </w:lvl>
    <w:lvl w:ilvl="7">
      <w:start w:val="1"/>
      <w:numFmt w:val="bullet"/>
      <w:suff w:val="tab"/>
      <w:lvlText w:val="•"/>
      <w:lvlJc w:val="left"/>
      <w:pPr>
        <w:ind w:left="1440" w:hanging="180"/>
      </w:pPr>
      <w:rPr>
        <w:rFonts w:hAnsi="Arial Unicode MS"/>
        <w:caps w:val="0"/>
        <w:smallCaps w:val="0"/>
        <w:strike w:val="0"/>
        <w:dstrike w:val="0"/>
        <w:outline w:val="0"/>
        <w:emboss w:val="0"/>
        <w:imprint w:val="0"/>
        <w:spacing w:val="0"/>
        <w:w w:val="100"/>
        <w:kern w:val="0"/>
        <w:position w:val="-2"/>
        <w:highlight w:val="none"/>
        <w:vertAlign w:val="baseline"/>
      </w:rPr>
    </w:lvl>
    <w:lvl w:ilvl="8">
      <w:start w:val="1"/>
      <w:numFmt w:val="bullet"/>
      <w:suff w:val="tab"/>
      <w:lvlText w:val="•"/>
      <w:lvlJc w:val="left"/>
      <w:pPr>
        <w:ind w:left="1620" w:hanging="180"/>
      </w:pPr>
      <w:rPr>
        <w:rFonts w:hAnsi="Arial Unicode MS"/>
        <w:caps w:val="0"/>
        <w:smallCaps w:val="0"/>
        <w:strike w:val="0"/>
        <w:dstrike w:val="0"/>
        <w:outline w:val="0"/>
        <w:emboss w:val="0"/>
        <w:imprint w:val="0"/>
        <w:spacing w:val="0"/>
        <w:w w:val="100"/>
        <w:kern w:val="0"/>
        <w:position w:val="-2"/>
        <w:highlight w:val="none"/>
        <w:vertAlign w:val="baseline"/>
      </w:rPr>
    </w:lvl>
  </w:abstractNum>
  <w:abstractNum w:abstractNumId="2">
    <w:multiLevelType w:val="hybridMultilevel"/>
    <w:numStyleLink w:val="Lettered"/>
  </w:abstractNum>
  <w:abstractNum w:abstractNumId="3">
    <w:multiLevelType w:val="hybridMultilevel"/>
    <w:styleLink w:val="Lettered"/>
    <w:lvl w:ilvl="0">
      <w:start w:val="1"/>
      <w:numFmt w:val="upperLetter"/>
      <w:suff w:val="tab"/>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suff w:val="tab"/>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suff w:val="tab"/>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tab"/>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tab"/>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tab"/>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tab"/>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revisionView w:markup="1" w:comments="1" w:insDel="1" w:formatting="0"/>
  <w:defaultTabStop w:val="720"/>
  <w:autoHyphenation w:val="0"/>
  <w:evenAndOddHeaders w:val="0"/>
  <w:bookFoldPrinting w:val="0"/>
  <w:noLineBreaksAfter w:lang="English" w:val="‘“(〔[{〈《「『【⦅〘〖«〝︵︷︹︻︽︿﹁﹃﹇﹙﹛﹝｢"/>
  <w:noLineBreaksBefore w:lang="English" w:val="’”)〕]}〉"/>
  <w:footnotePr>
    <w:numFmt w:val="decimal"/>
    <w:numStart w:val="1"/>
    <w:numRestart w:val="continuous"/>
    <w:footnote w:id="-1"/>
    <w:footnote w:id="0"/>
    <w:footnote w:id="-2"/>
  </w:footnotePr>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Body">
    <w:name w:val="Body"/>
    <w:next w:val="Body"/>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2"/>
      <w:szCs w:val="22"/>
      <w:u w:val="none"/>
      <w:vertAlign w:val="baseline"/>
      <w:lang w:val="en-US"/>
    </w:rPr>
  </w:style>
  <w:style w:type="numbering" w:styleId="Bullet">
    <w:name w:val="Bullet"/>
    <w:pPr>
      <w:numPr>
        <w:numId w:val="1"/>
      </w:numPr>
    </w:pPr>
  </w:style>
  <w:style w:type="paragraph" w:styleId="Footnote">
    <w:name w:val="Footnote"/>
    <w:next w:val="Footnote"/>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Helvetica Neue" w:hAnsi="Helvetica Neue" w:eastAsia="Helvetica Neue"/>
      <w:b w:val="0"/>
      <w:bCs w:val="0"/>
      <w:i w:val="0"/>
      <w:iCs w:val="0"/>
      <w:caps w:val="0"/>
      <w:smallCaps w:val="0"/>
      <w:strike w:val="0"/>
      <w:dstrike w:val="0"/>
      <w:outline w:val="0"/>
      <w:color w:val="000000"/>
      <w:spacing w:val="0"/>
      <w:kern w:val="0"/>
      <w:position w:val="0"/>
      <w:sz w:val="22"/>
      <w:szCs w:val="22"/>
      <w:u w:val="none"/>
      <w:vertAlign w:val="baseline"/>
    </w:rPr>
  </w:style>
  <w:style w:type="character" w:styleId="Hyperlink.0">
    <w:name w:val="Hyperlink.0"/>
    <w:basedOn w:val="Hyperlink"/>
    <w:next w:val="Hyperlink.0"/>
    <w:rPr>
      <w:u w:val="single"/>
    </w:rPr>
  </w:style>
  <w:style w:type="numbering" w:styleId="Lettered">
    <w:name w:val="Lettered"/>
    <w:pPr>
      <w:numPr>
        <w:numId w:val="3"/>
      </w:numPr>
    </w:pPr>
  </w:style>
</w:styles>
</file>

<file path=word/_rels/document.xml.rels><?xml version="1.0" encoding="UTF-8" standalone="yes"?><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footnotes" Target="footnotes.xml"/><Relationship Id="rId7" Type="http://schemas.openxmlformats.org/officeDocument/2006/relationships/numbering" Target="numbering.xml"/><Relationship Id="rId8"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5E5E5E"/>
      </a:dk2>
      <a:lt2>
        <a:srgbClr val="D6D5D5"/>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w="12700" cap="flat">
          <a:noFill/>
          <a:miter lim="400000"/>
        </a:ln>
        <a:effectLst/>
        <a:sp3d/>
      </a:spPr>
      <a:bodyPr rot="0" spcFirstLastPara="1" vertOverflow="overflow" horzOverflow="overflow" vert="horz" wrap="square" lIns="101600" tIns="101600" rIns="101600" bIns="101600" numCol="1" spcCol="38100" rtlCol="0" anchor="ctr" upright="0">
        <a:spAutoFit/>
      </a:bodyPr>
      <a:lstStyle>
        <a:defPPr marL="0" marR="0" indent="0" algn="ctr" defTabSz="457200" rtl="0" fontAlgn="auto" latinLnBrk="0" hangingPunct="0">
          <a:lnSpc>
            <a:spcPct val="100000"/>
          </a:lnSpc>
          <a:spcBef>
            <a:spcPts val="0"/>
          </a:spcBef>
          <a:spcAft>
            <a:spcPts val="0"/>
          </a:spcAft>
          <a:buClrTx/>
          <a:buSzTx/>
          <a:buFontTx/>
          <a:buNone/>
          <a:tabLst/>
          <a:defRPr b="0" baseline="0" cap="none" i="0" spc="0" strike="noStrike" sz="1200" u="none" kumimoji="0" normalizeH="0">
            <a:ln>
              <a:noFill/>
            </a:ln>
            <a:solidFill>
              <a:srgbClr val="FFFFFF"/>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457200" rtl="0" fontAlgn="auto" latinLnBrk="0" hangingPunct="0">
          <a:lnSpc>
            <a:spcPct val="100000"/>
          </a:lnSpc>
          <a:spcBef>
            <a:spcPts val="0"/>
          </a:spcBef>
          <a:spcAft>
            <a:spcPts val="0"/>
          </a:spcAft>
          <a:buClrTx/>
          <a:buSzTx/>
          <a:buFontTx/>
          <a:buNone/>
          <a:tabLst/>
          <a:defRPr b="0" baseline="0" cap="none" i="0" spc="0" strike="noStrike" sz="11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