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F763B9" w14:textId="77777777" w:rsidR="00414D59" w:rsidRPr="007F4D6F" w:rsidRDefault="00414D59" w:rsidP="00414D59">
      <w:pPr>
        <w:jc w:val="center"/>
        <w:rPr>
          <w:rFonts w:asciiTheme="minorHAnsi" w:hAnsiTheme="minorHAnsi" w:cstheme="minorHAnsi"/>
          <w:b/>
          <w:bCs/>
          <w:sz w:val="24"/>
          <w:szCs w:val="24"/>
          <w:lang w:val="es-ES_tradnl"/>
        </w:rPr>
      </w:pPr>
      <w:r w:rsidRPr="007F4D6F">
        <w:rPr>
          <w:rFonts w:asciiTheme="minorHAnsi" w:hAnsiTheme="minorHAnsi" w:cstheme="minorHAnsi"/>
          <w:b/>
          <w:bCs/>
          <w:sz w:val="24"/>
          <w:szCs w:val="24"/>
          <w:lang w:val="es-ES_tradnl"/>
        </w:rPr>
        <w:t>Participación de funcionarios del Ministerio de Salud en actividades fuera del país</w:t>
      </w:r>
    </w:p>
    <w:p w14:paraId="34B984CD" w14:textId="36482D31" w:rsidR="00414D59" w:rsidRPr="007F4D6F" w:rsidRDefault="00414D59" w:rsidP="00414D59">
      <w:pPr>
        <w:jc w:val="center"/>
        <w:rPr>
          <w:rFonts w:asciiTheme="minorHAnsi" w:hAnsiTheme="minorHAnsi" w:cstheme="minorHAnsi"/>
          <w:b/>
          <w:bCs/>
          <w:sz w:val="24"/>
          <w:szCs w:val="24"/>
          <w:lang w:val="es-ES_tradnl"/>
        </w:rPr>
      </w:pPr>
      <w:r>
        <w:rPr>
          <w:rFonts w:asciiTheme="minorHAnsi" w:hAnsiTheme="minorHAnsi" w:cstheme="minorHAnsi"/>
          <w:b/>
          <w:bCs/>
          <w:sz w:val="24"/>
          <w:szCs w:val="24"/>
          <w:lang w:val="es-ES_tradnl"/>
        </w:rPr>
        <w:t>Junio 2</w:t>
      </w:r>
      <w:r w:rsidRPr="007F4D6F">
        <w:rPr>
          <w:rFonts w:asciiTheme="minorHAnsi" w:hAnsiTheme="minorHAnsi" w:cstheme="minorHAnsi"/>
          <w:b/>
          <w:bCs/>
          <w:sz w:val="24"/>
          <w:szCs w:val="24"/>
          <w:lang w:val="es-ES_tradnl"/>
        </w:rPr>
        <w:t>022</w:t>
      </w:r>
    </w:p>
    <w:p w14:paraId="4C288915" w14:textId="77777777" w:rsidR="00414D59" w:rsidRPr="007F4D6F" w:rsidRDefault="00414D59" w:rsidP="00414D59">
      <w:pPr>
        <w:jc w:val="center"/>
        <w:rPr>
          <w:rFonts w:asciiTheme="minorHAnsi" w:hAnsiTheme="minorHAnsi" w:cstheme="minorHAnsi"/>
          <w:b/>
          <w:bCs/>
          <w:sz w:val="24"/>
          <w:szCs w:val="24"/>
          <w:lang w:val="es-ES_tradnl"/>
        </w:rPr>
      </w:pPr>
    </w:p>
    <w:tbl>
      <w:tblPr>
        <w:tblW w:w="149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02"/>
        <w:gridCol w:w="1492"/>
        <w:gridCol w:w="1173"/>
        <w:gridCol w:w="1174"/>
        <w:gridCol w:w="1107"/>
        <w:gridCol w:w="1727"/>
        <w:gridCol w:w="2410"/>
        <w:gridCol w:w="1559"/>
        <w:gridCol w:w="1466"/>
        <w:gridCol w:w="1477"/>
        <w:gridCol w:w="12"/>
      </w:tblGrid>
      <w:tr w:rsidR="00414D59" w:rsidRPr="007F4D6F" w14:paraId="0BBABDB3" w14:textId="77777777" w:rsidTr="0088308E">
        <w:trPr>
          <w:gridAfter w:val="1"/>
          <w:wAfter w:w="12" w:type="dxa"/>
          <w:trHeight w:val="870"/>
          <w:tblHeader/>
          <w:jc w:val="center"/>
        </w:trPr>
        <w:tc>
          <w:tcPr>
            <w:tcW w:w="1402" w:type="dxa"/>
            <w:shd w:val="clear" w:color="000000" w:fill="B4C6E7"/>
            <w:vAlign w:val="center"/>
            <w:hideMark/>
          </w:tcPr>
          <w:p w14:paraId="4A1FD7F3" w14:textId="77777777" w:rsidR="00414D59" w:rsidRPr="002C0E2C" w:rsidRDefault="00414D59" w:rsidP="00015633">
            <w:pPr>
              <w:spacing w:line="240" w:lineRule="auto"/>
              <w:jc w:val="center"/>
              <w:rPr>
                <w:rFonts w:asciiTheme="minorHAnsi" w:eastAsia="Times New Roman" w:hAnsiTheme="minorHAnsi" w:cstheme="minorHAnsi"/>
                <w:b/>
                <w:bCs/>
                <w:sz w:val="20"/>
                <w:szCs w:val="20"/>
                <w:lang w:val="es-ES_tradnl" w:eastAsia="es-CR"/>
              </w:rPr>
            </w:pPr>
            <w:r w:rsidRPr="007F4D6F">
              <w:rPr>
                <w:rFonts w:asciiTheme="minorHAnsi" w:eastAsia="Times New Roman" w:hAnsiTheme="minorHAnsi" w:cstheme="minorHAnsi"/>
                <w:b/>
                <w:bCs/>
                <w:sz w:val="20"/>
                <w:szCs w:val="20"/>
                <w:lang w:val="es-ES_tradnl" w:eastAsia="es-CR"/>
              </w:rPr>
              <w:t>Nombre del funcionario</w:t>
            </w:r>
          </w:p>
        </w:tc>
        <w:tc>
          <w:tcPr>
            <w:tcW w:w="1492" w:type="dxa"/>
            <w:shd w:val="clear" w:color="000000" w:fill="B4C6E7"/>
            <w:vAlign w:val="center"/>
            <w:hideMark/>
          </w:tcPr>
          <w:p w14:paraId="42AC5FA4" w14:textId="77777777" w:rsidR="00414D59" w:rsidRPr="002C0E2C" w:rsidRDefault="00414D59"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Dirección</w:t>
            </w:r>
            <w:r w:rsidRPr="007F4D6F">
              <w:rPr>
                <w:rFonts w:asciiTheme="minorHAnsi" w:eastAsia="Times New Roman" w:hAnsiTheme="minorHAnsi" w:cstheme="minorHAnsi"/>
                <w:b/>
                <w:bCs/>
                <w:sz w:val="20"/>
                <w:szCs w:val="20"/>
                <w:lang w:val="es-ES_tradnl" w:eastAsia="es-CR"/>
              </w:rPr>
              <w:t xml:space="preserve"> a la que pertenece </w:t>
            </w:r>
          </w:p>
        </w:tc>
        <w:tc>
          <w:tcPr>
            <w:tcW w:w="1173" w:type="dxa"/>
            <w:shd w:val="clear" w:color="000000" w:fill="B4C6E7"/>
            <w:vAlign w:val="center"/>
            <w:hideMark/>
          </w:tcPr>
          <w:p w14:paraId="69DDF2AA" w14:textId="77777777" w:rsidR="00414D59" w:rsidRPr="002C0E2C" w:rsidRDefault="00414D59"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Fecha de inicio </w:t>
            </w:r>
          </w:p>
        </w:tc>
        <w:tc>
          <w:tcPr>
            <w:tcW w:w="1174" w:type="dxa"/>
            <w:shd w:val="clear" w:color="000000" w:fill="B4C6E7"/>
            <w:vAlign w:val="center"/>
            <w:hideMark/>
          </w:tcPr>
          <w:p w14:paraId="02B346AB" w14:textId="77777777" w:rsidR="00414D59" w:rsidRPr="002C0E2C" w:rsidRDefault="00414D59"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Fecha de finalización</w:t>
            </w:r>
          </w:p>
        </w:tc>
        <w:tc>
          <w:tcPr>
            <w:tcW w:w="1107" w:type="dxa"/>
            <w:shd w:val="clear" w:color="000000" w:fill="B4C6E7"/>
            <w:vAlign w:val="center"/>
            <w:hideMark/>
          </w:tcPr>
          <w:p w14:paraId="32AAB89B" w14:textId="77777777" w:rsidR="00414D59" w:rsidRPr="002C0E2C" w:rsidRDefault="00414D59"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Lugar </w:t>
            </w:r>
          </w:p>
        </w:tc>
        <w:tc>
          <w:tcPr>
            <w:tcW w:w="1727" w:type="dxa"/>
            <w:shd w:val="clear" w:color="000000" w:fill="B4C6E7"/>
            <w:vAlign w:val="center"/>
            <w:hideMark/>
          </w:tcPr>
          <w:p w14:paraId="5A78EBC6" w14:textId="77777777" w:rsidR="00414D59" w:rsidRPr="002C0E2C" w:rsidRDefault="00414D59"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Actividad</w:t>
            </w:r>
          </w:p>
        </w:tc>
        <w:tc>
          <w:tcPr>
            <w:tcW w:w="2410" w:type="dxa"/>
            <w:shd w:val="clear" w:color="000000" w:fill="B4C6E7"/>
            <w:vAlign w:val="center"/>
            <w:hideMark/>
          </w:tcPr>
          <w:p w14:paraId="6BF9F720" w14:textId="77777777" w:rsidR="00414D59" w:rsidRPr="002C0E2C" w:rsidRDefault="00414D59"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Compromisos</w:t>
            </w:r>
          </w:p>
        </w:tc>
        <w:tc>
          <w:tcPr>
            <w:tcW w:w="1559" w:type="dxa"/>
            <w:shd w:val="clear" w:color="000000" w:fill="B4C6E7"/>
            <w:vAlign w:val="center"/>
            <w:hideMark/>
          </w:tcPr>
          <w:p w14:paraId="6F8A6B8D" w14:textId="77777777" w:rsidR="00414D59" w:rsidRPr="002C0E2C" w:rsidRDefault="00414D59"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Financiado por </w:t>
            </w:r>
          </w:p>
        </w:tc>
        <w:tc>
          <w:tcPr>
            <w:tcW w:w="1466" w:type="dxa"/>
            <w:shd w:val="clear" w:color="000000" w:fill="B4C6E7"/>
            <w:vAlign w:val="center"/>
            <w:hideMark/>
          </w:tcPr>
          <w:p w14:paraId="2C4CF3D7" w14:textId="77777777" w:rsidR="00414D59" w:rsidRPr="002C0E2C" w:rsidRDefault="00414D59"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Viáticos </w:t>
            </w:r>
          </w:p>
        </w:tc>
        <w:tc>
          <w:tcPr>
            <w:tcW w:w="1477" w:type="dxa"/>
            <w:shd w:val="clear" w:color="000000" w:fill="B4C6E7"/>
            <w:vAlign w:val="center"/>
            <w:hideMark/>
          </w:tcPr>
          <w:p w14:paraId="1F333D13" w14:textId="77777777" w:rsidR="00414D59" w:rsidRPr="002C0E2C" w:rsidRDefault="00414D59"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Observaciones</w:t>
            </w:r>
          </w:p>
        </w:tc>
      </w:tr>
      <w:tr w:rsidR="0088308E" w:rsidRPr="007F4D6F" w14:paraId="342ADC83" w14:textId="77777777" w:rsidTr="0088308E">
        <w:trPr>
          <w:gridAfter w:val="1"/>
          <w:wAfter w:w="12" w:type="dxa"/>
          <w:trHeight w:val="50"/>
          <w:jc w:val="center"/>
        </w:trPr>
        <w:tc>
          <w:tcPr>
            <w:tcW w:w="1402" w:type="dxa"/>
            <w:shd w:val="clear" w:color="auto" w:fill="auto"/>
          </w:tcPr>
          <w:p w14:paraId="160C2D8F" w14:textId="454F0DC4" w:rsidR="00667EB2" w:rsidRPr="00414D59" w:rsidRDefault="00667EB2" w:rsidP="00667EB2">
            <w:pPr>
              <w:spacing w:line="240" w:lineRule="auto"/>
              <w:rPr>
                <w:rFonts w:asciiTheme="minorHAnsi" w:eastAsia="Times New Roman" w:hAnsiTheme="minorHAnsi" w:cstheme="minorHAnsi"/>
                <w:sz w:val="20"/>
                <w:szCs w:val="20"/>
                <w:lang w:val="es-ES_tradnl" w:eastAsia="es-CR"/>
              </w:rPr>
            </w:pPr>
            <w:proofErr w:type="spellStart"/>
            <w:r w:rsidRPr="00414D59">
              <w:rPr>
                <w:rFonts w:ascii="Calibri" w:eastAsia="Times New Roman" w:hAnsi="Calibri" w:cs="Calibri"/>
                <w:sz w:val="20"/>
                <w:szCs w:val="20"/>
                <w:lang w:val="es-CR" w:eastAsia="es-CR"/>
              </w:rPr>
              <w:t>Tannia</w:t>
            </w:r>
            <w:proofErr w:type="spellEnd"/>
            <w:r w:rsidRPr="00414D59">
              <w:rPr>
                <w:rFonts w:ascii="Calibri" w:eastAsia="Times New Roman" w:hAnsi="Calibri" w:cs="Calibri"/>
                <w:sz w:val="20"/>
                <w:szCs w:val="20"/>
                <w:lang w:val="es-CR" w:eastAsia="es-CR"/>
              </w:rPr>
              <w:t xml:space="preserve"> Rivas Chaves</w:t>
            </w:r>
          </w:p>
        </w:tc>
        <w:tc>
          <w:tcPr>
            <w:tcW w:w="1492" w:type="dxa"/>
            <w:shd w:val="clear" w:color="auto" w:fill="auto"/>
          </w:tcPr>
          <w:p w14:paraId="6C3C7CE5" w14:textId="04CFFD36"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Dirección de Planificación </w:t>
            </w:r>
          </w:p>
        </w:tc>
        <w:tc>
          <w:tcPr>
            <w:tcW w:w="1173" w:type="dxa"/>
            <w:shd w:val="clear" w:color="auto" w:fill="auto"/>
          </w:tcPr>
          <w:p w14:paraId="67905500" w14:textId="16ACF9BF"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1</w:t>
            </w:r>
            <w:r w:rsidR="00D47C12">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sidR="00D47C12">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74" w:type="dxa"/>
            <w:shd w:val="clear" w:color="auto" w:fill="auto"/>
          </w:tcPr>
          <w:p w14:paraId="2719CBED" w14:textId="3F2FDE38"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2</w:t>
            </w:r>
            <w:r w:rsidR="00D47C12">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sidR="00D47C12">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07" w:type="dxa"/>
            <w:shd w:val="clear" w:color="auto" w:fill="auto"/>
          </w:tcPr>
          <w:p w14:paraId="23B0FE4B" w14:textId="10423877"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Panamá</w:t>
            </w:r>
          </w:p>
        </w:tc>
        <w:tc>
          <w:tcPr>
            <w:tcW w:w="1727" w:type="dxa"/>
            <w:shd w:val="clear" w:color="auto" w:fill="auto"/>
          </w:tcPr>
          <w:p w14:paraId="581849C1" w14:textId="577CDEE8"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Taller para la validación de los lineamientos técnicos para mejorar el acceso a medicamentos e insumos para prevención del embarazo adolescente</w:t>
            </w:r>
          </w:p>
        </w:tc>
        <w:tc>
          <w:tcPr>
            <w:tcW w:w="2410" w:type="dxa"/>
            <w:shd w:val="clear" w:color="auto" w:fill="auto"/>
          </w:tcPr>
          <w:p w14:paraId="36D24808" w14:textId="6C805487"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Revisión de borrador de documento para observaciones una vez remitido por COMISCA.</w:t>
            </w:r>
          </w:p>
        </w:tc>
        <w:tc>
          <w:tcPr>
            <w:tcW w:w="1559" w:type="dxa"/>
            <w:shd w:val="clear" w:color="auto" w:fill="auto"/>
          </w:tcPr>
          <w:p w14:paraId="3C22295B" w14:textId="2E88F2EE"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Secretaría Ejecutiva del Consejo de Ministros de Salud de Centroamérica (SE-COMISCA)</w:t>
            </w:r>
          </w:p>
        </w:tc>
        <w:tc>
          <w:tcPr>
            <w:tcW w:w="1466" w:type="dxa"/>
            <w:shd w:val="clear" w:color="auto" w:fill="auto"/>
          </w:tcPr>
          <w:p w14:paraId="059968B8" w14:textId="56DC6E99"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No se dan viáticos institucionales.</w:t>
            </w:r>
          </w:p>
        </w:tc>
        <w:tc>
          <w:tcPr>
            <w:tcW w:w="1477" w:type="dxa"/>
            <w:shd w:val="clear" w:color="auto" w:fill="auto"/>
          </w:tcPr>
          <w:p w14:paraId="69531A75" w14:textId="77777777" w:rsidR="00667EB2" w:rsidRPr="00502CAD" w:rsidRDefault="00667EB2" w:rsidP="00667EB2">
            <w:pPr>
              <w:spacing w:line="240" w:lineRule="auto"/>
              <w:rPr>
                <w:rFonts w:asciiTheme="minorHAnsi" w:eastAsia="Times New Roman" w:hAnsiTheme="minorHAnsi" w:cstheme="minorHAnsi"/>
                <w:sz w:val="20"/>
                <w:szCs w:val="20"/>
                <w:lang w:val="es-ES_tradnl" w:eastAsia="es-CR"/>
              </w:rPr>
            </w:pPr>
          </w:p>
        </w:tc>
      </w:tr>
      <w:tr w:rsidR="00524338" w:rsidRPr="007F4D6F" w14:paraId="7DB58772" w14:textId="77777777" w:rsidTr="0088308E">
        <w:trPr>
          <w:gridAfter w:val="1"/>
          <w:wAfter w:w="12" w:type="dxa"/>
          <w:trHeight w:val="50"/>
          <w:jc w:val="center"/>
        </w:trPr>
        <w:tc>
          <w:tcPr>
            <w:tcW w:w="1402" w:type="dxa"/>
            <w:shd w:val="clear" w:color="auto" w:fill="auto"/>
          </w:tcPr>
          <w:p w14:paraId="6B5A578B" w14:textId="1237AE9D" w:rsidR="00524338" w:rsidRPr="00414D59"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Nancy Vargas Guevara</w:t>
            </w:r>
          </w:p>
        </w:tc>
        <w:tc>
          <w:tcPr>
            <w:tcW w:w="1492" w:type="dxa"/>
            <w:shd w:val="clear" w:color="auto" w:fill="auto"/>
          </w:tcPr>
          <w:p w14:paraId="03DD540E" w14:textId="7D328257"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Dirección de Planificación </w:t>
            </w:r>
          </w:p>
        </w:tc>
        <w:tc>
          <w:tcPr>
            <w:tcW w:w="1173" w:type="dxa"/>
            <w:shd w:val="clear" w:color="auto" w:fill="auto"/>
          </w:tcPr>
          <w:p w14:paraId="5CEE4792" w14:textId="2CFC2218"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1</w:t>
            </w:r>
            <w:r>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74" w:type="dxa"/>
            <w:shd w:val="clear" w:color="auto" w:fill="auto"/>
          </w:tcPr>
          <w:p w14:paraId="3C3C8581" w14:textId="321EC967"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2</w:t>
            </w:r>
            <w:r>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07" w:type="dxa"/>
            <w:shd w:val="clear" w:color="auto" w:fill="auto"/>
          </w:tcPr>
          <w:p w14:paraId="78DA7B0E" w14:textId="20FB566B"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Panamá</w:t>
            </w:r>
          </w:p>
        </w:tc>
        <w:tc>
          <w:tcPr>
            <w:tcW w:w="1727" w:type="dxa"/>
            <w:shd w:val="clear" w:color="auto" w:fill="auto"/>
          </w:tcPr>
          <w:p w14:paraId="70AFB614" w14:textId="652F1877"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Taller para la validación de los lineamientos técnicos para mejorar el acceso a medicamentos e insumos para prevención del embarazo adolescente</w:t>
            </w:r>
          </w:p>
        </w:tc>
        <w:tc>
          <w:tcPr>
            <w:tcW w:w="2410" w:type="dxa"/>
            <w:shd w:val="clear" w:color="auto" w:fill="auto"/>
          </w:tcPr>
          <w:p w14:paraId="1FE90FFC" w14:textId="5ACA8603"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Se validaron los lineamientos propuestos por la organización en las fechas estipuladas en el taller. Brindar lectura al documento final a fin de hacer aportes de forma, redacción.</w:t>
            </w:r>
          </w:p>
        </w:tc>
        <w:tc>
          <w:tcPr>
            <w:tcW w:w="1559" w:type="dxa"/>
            <w:shd w:val="clear" w:color="auto" w:fill="auto"/>
          </w:tcPr>
          <w:p w14:paraId="4B16ED9E" w14:textId="618BD120"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Secretaría Ejecutiva del Consejo de Ministros de Salud de Centroamérica (SE-COMISCA)</w:t>
            </w:r>
          </w:p>
        </w:tc>
        <w:tc>
          <w:tcPr>
            <w:tcW w:w="1466" w:type="dxa"/>
            <w:shd w:val="clear" w:color="auto" w:fill="auto"/>
          </w:tcPr>
          <w:p w14:paraId="49A6B3A5" w14:textId="4BE2A7E5"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No se dan viáticos institucionales.</w:t>
            </w:r>
          </w:p>
        </w:tc>
        <w:tc>
          <w:tcPr>
            <w:tcW w:w="1477" w:type="dxa"/>
            <w:shd w:val="clear" w:color="auto" w:fill="auto"/>
          </w:tcPr>
          <w:p w14:paraId="1B469457" w14:textId="77777777" w:rsidR="00524338" w:rsidRPr="00502CAD" w:rsidRDefault="00524338" w:rsidP="00524338">
            <w:pPr>
              <w:spacing w:line="240" w:lineRule="auto"/>
              <w:rPr>
                <w:rFonts w:asciiTheme="minorHAnsi" w:eastAsia="Times New Roman" w:hAnsiTheme="minorHAnsi" w:cstheme="minorHAnsi"/>
                <w:sz w:val="20"/>
                <w:szCs w:val="20"/>
                <w:lang w:val="es-ES_tradnl" w:eastAsia="es-CR"/>
              </w:rPr>
            </w:pPr>
          </w:p>
        </w:tc>
      </w:tr>
      <w:tr w:rsidR="00667EB2" w:rsidRPr="007F4D6F" w14:paraId="6340C6D4" w14:textId="77777777" w:rsidTr="0088308E">
        <w:trPr>
          <w:gridAfter w:val="1"/>
          <w:wAfter w:w="12" w:type="dxa"/>
          <w:trHeight w:val="50"/>
          <w:jc w:val="center"/>
        </w:trPr>
        <w:tc>
          <w:tcPr>
            <w:tcW w:w="1402" w:type="dxa"/>
            <w:shd w:val="clear" w:color="auto" w:fill="auto"/>
          </w:tcPr>
          <w:p w14:paraId="381A294F" w14:textId="268419CD" w:rsidR="00667EB2" w:rsidRPr="00414D59" w:rsidRDefault="00667EB2" w:rsidP="00667EB2">
            <w:pPr>
              <w:spacing w:line="240" w:lineRule="auto"/>
              <w:rPr>
                <w:rFonts w:asciiTheme="minorHAnsi" w:eastAsia="Times New Roman" w:hAnsiTheme="minorHAnsi" w:cstheme="minorHAnsi"/>
                <w:sz w:val="20"/>
                <w:szCs w:val="20"/>
                <w:lang w:val="es-ES_tradnl" w:eastAsia="es-CR"/>
              </w:rPr>
            </w:pPr>
            <w:proofErr w:type="spellStart"/>
            <w:r w:rsidRPr="00414D59">
              <w:rPr>
                <w:rFonts w:ascii="Calibri" w:eastAsia="Times New Roman" w:hAnsi="Calibri" w:cs="Calibri"/>
                <w:sz w:val="20"/>
                <w:szCs w:val="20"/>
                <w:lang w:val="es-CR" w:eastAsia="es-CR"/>
              </w:rPr>
              <w:t>Dorell</w:t>
            </w:r>
            <w:proofErr w:type="spellEnd"/>
            <w:r w:rsidRPr="00414D59">
              <w:rPr>
                <w:rFonts w:ascii="Calibri" w:eastAsia="Times New Roman" w:hAnsi="Calibri" w:cs="Calibri"/>
                <w:sz w:val="20"/>
                <w:szCs w:val="20"/>
                <w:lang w:val="es-CR" w:eastAsia="es-CR"/>
              </w:rPr>
              <w:t xml:space="preserve"> Rojas Fonseca</w:t>
            </w:r>
          </w:p>
        </w:tc>
        <w:tc>
          <w:tcPr>
            <w:tcW w:w="1492" w:type="dxa"/>
            <w:shd w:val="clear" w:color="auto" w:fill="auto"/>
          </w:tcPr>
          <w:p w14:paraId="5EAF9024" w14:textId="34DE98DA"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Dirección de Protección Radiológica y Salud Ambiental</w:t>
            </w:r>
          </w:p>
        </w:tc>
        <w:tc>
          <w:tcPr>
            <w:tcW w:w="1173" w:type="dxa"/>
            <w:shd w:val="clear" w:color="auto" w:fill="auto"/>
          </w:tcPr>
          <w:p w14:paraId="1039AA1F" w14:textId="157C3BD8"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6</w:t>
            </w:r>
            <w:r w:rsidR="00524338">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sidR="00524338">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74" w:type="dxa"/>
            <w:shd w:val="clear" w:color="auto" w:fill="auto"/>
          </w:tcPr>
          <w:p w14:paraId="0F40101A" w14:textId="0AADCDB4"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17</w:t>
            </w:r>
            <w:r w:rsidR="00524338">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sidR="00524338">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07" w:type="dxa"/>
            <w:shd w:val="clear" w:color="auto" w:fill="auto"/>
          </w:tcPr>
          <w:p w14:paraId="27B668B3" w14:textId="7BA48907"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Chile</w:t>
            </w:r>
          </w:p>
        </w:tc>
        <w:tc>
          <w:tcPr>
            <w:tcW w:w="1727" w:type="dxa"/>
            <w:shd w:val="clear" w:color="auto" w:fill="auto"/>
          </w:tcPr>
          <w:p w14:paraId="1BDB57CC" w14:textId="7229B8DE"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Curso Regional de Capacitación sobre la Autorización y la Inspección de las Prácticas Industriales desde el punto de vista de la Seguridad Radiológica y la Seguridad Física Nuclear</w:t>
            </w:r>
          </w:p>
        </w:tc>
        <w:tc>
          <w:tcPr>
            <w:tcW w:w="2410" w:type="dxa"/>
            <w:shd w:val="clear" w:color="auto" w:fill="auto"/>
          </w:tcPr>
          <w:p w14:paraId="48C3EC80" w14:textId="45A60912"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No se generan acuerdos o compromisos. </w:t>
            </w:r>
          </w:p>
        </w:tc>
        <w:tc>
          <w:tcPr>
            <w:tcW w:w="1559" w:type="dxa"/>
            <w:shd w:val="clear" w:color="auto" w:fill="auto"/>
          </w:tcPr>
          <w:p w14:paraId="1F54B79B" w14:textId="514FCBEA"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Organismo Internacional de Energía Atómica (OIEA)</w:t>
            </w:r>
          </w:p>
        </w:tc>
        <w:tc>
          <w:tcPr>
            <w:tcW w:w="1466" w:type="dxa"/>
            <w:shd w:val="clear" w:color="auto" w:fill="auto"/>
          </w:tcPr>
          <w:p w14:paraId="10146544" w14:textId="7D4EB409"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No se dan viáticos institucionales.</w:t>
            </w:r>
          </w:p>
        </w:tc>
        <w:tc>
          <w:tcPr>
            <w:tcW w:w="1477" w:type="dxa"/>
            <w:shd w:val="clear" w:color="auto" w:fill="auto"/>
          </w:tcPr>
          <w:p w14:paraId="797D9EC4" w14:textId="77777777" w:rsidR="00667EB2" w:rsidRPr="00502CAD" w:rsidRDefault="00667EB2" w:rsidP="00667EB2">
            <w:pPr>
              <w:spacing w:line="240" w:lineRule="auto"/>
              <w:rPr>
                <w:rFonts w:asciiTheme="minorHAnsi" w:eastAsia="Times New Roman" w:hAnsiTheme="minorHAnsi" w:cstheme="minorHAnsi"/>
                <w:sz w:val="20"/>
                <w:szCs w:val="20"/>
                <w:lang w:val="es-ES_tradnl" w:eastAsia="es-CR"/>
              </w:rPr>
            </w:pPr>
          </w:p>
        </w:tc>
      </w:tr>
      <w:tr w:rsidR="00524338" w:rsidRPr="007F4D6F" w14:paraId="7F500E6B" w14:textId="77777777" w:rsidTr="0088308E">
        <w:trPr>
          <w:gridAfter w:val="1"/>
          <w:wAfter w:w="12" w:type="dxa"/>
          <w:trHeight w:val="50"/>
          <w:jc w:val="center"/>
        </w:trPr>
        <w:tc>
          <w:tcPr>
            <w:tcW w:w="1402" w:type="dxa"/>
            <w:shd w:val="clear" w:color="auto" w:fill="auto"/>
          </w:tcPr>
          <w:p w14:paraId="47189625" w14:textId="0DB6CB16" w:rsidR="00524338" w:rsidRPr="00414D59"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Eduardo Ramírez </w:t>
            </w:r>
            <w:proofErr w:type="spellStart"/>
            <w:r w:rsidRPr="00414D59">
              <w:rPr>
                <w:rFonts w:ascii="Calibri" w:eastAsia="Times New Roman" w:hAnsi="Calibri" w:cs="Calibri"/>
                <w:sz w:val="20"/>
                <w:szCs w:val="20"/>
                <w:lang w:val="es-CR" w:eastAsia="es-CR"/>
              </w:rPr>
              <w:t>Cover</w:t>
            </w:r>
            <w:proofErr w:type="spellEnd"/>
          </w:p>
        </w:tc>
        <w:tc>
          <w:tcPr>
            <w:tcW w:w="1492" w:type="dxa"/>
            <w:shd w:val="clear" w:color="auto" w:fill="auto"/>
          </w:tcPr>
          <w:p w14:paraId="1544EF32" w14:textId="3899D2C6"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Dirección de Protección Radiológica y Salud Ambiental</w:t>
            </w:r>
          </w:p>
        </w:tc>
        <w:tc>
          <w:tcPr>
            <w:tcW w:w="1173" w:type="dxa"/>
            <w:shd w:val="clear" w:color="auto" w:fill="auto"/>
          </w:tcPr>
          <w:p w14:paraId="10991E45" w14:textId="3A3C2830"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6</w:t>
            </w:r>
            <w:r>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74" w:type="dxa"/>
            <w:shd w:val="clear" w:color="auto" w:fill="auto"/>
          </w:tcPr>
          <w:p w14:paraId="5D2AED05" w14:textId="660139BF"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17</w:t>
            </w:r>
            <w:r>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07" w:type="dxa"/>
            <w:shd w:val="clear" w:color="auto" w:fill="auto"/>
          </w:tcPr>
          <w:p w14:paraId="52D3BC3F" w14:textId="28AC9AE6"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Chile</w:t>
            </w:r>
          </w:p>
        </w:tc>
        <w:tc>
          <w:tcPr>
            <w:tcW w:w="1727" w:type="dxa"/>
            <w:shd w:val="clear" w:color="auto" w:fill="auto"/>
          </w:tcPr>
          <w:p w14:paraId="1FE99827" w14:textId="00BF2221"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Curso Regional de Capacitación sobre la Autorización y la Inspección de las Prácticas Industriales desde el punto de vista de la Seguridad Radiológica y la Seguridad Física Nuclear</w:t>
            </w:r>
          </w:p>
        </w:tc>
        <w:tc>
          <w:tcPr>
            <w:tcW w:w="2410" w:type="dxa"/>
            <w:shd w:val="clear" w:color="auto" w:fill="auto"/>
          </w:tcPr>
          <w:p w14:paraId="5F7ECCC9" w14:textId="3F8D04C9"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No se generan acuerdos o compromisos. </w:t>
            </w:r>
          </w:p>
        </w:tc>
        <w:tc>
          <w:tcPr>
            <w:tcW w:w="1559" w:type="dxa"/>
            <w:shd w:val="clear" w:color="auto" w:fill="auto"/>
          </w:tcPr>
          <w:p w14:paraId="1E8312D6" w14:textId="4F5DA9EA"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Organismo Internacional de Energía Atómica (OIEA)</w:t>
            </w:r>
          </w:p>
        </w:tc>
        <w:tc>
          <w:tcPr>
            <w:tcW w:w="1466" w:type="dxa"/>
            <w:shd w:val="clear" w:color="auto" w:fill="auto"/>
          </w:tcPr>
          <w:p w14:paraId="25767116" w14:textId="574C5E88"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No se dan viáticos institucionales.</w:t>
            </w:r>
          </w:p>
        </w:tc>
        <w:tc>
          <w:tcPr>
            <w:tcW w:w="1477" w:type="dxa"/>
            <w:shd w:val="clear" w:color="auto" w:fill="auto"/>
          </w:tcPr>
          <w:p w14:paraId="4BDD2E8F" w14:textId="77777777" w:rsidR="00524338" w:rsidRPr="00502CAD" w:rsidRDefault="00524338" w:rsidP="00524338">
            <w:pPr>
              <w:spacing w:line="240" w:lineRule="auto"/>
              <w:rPr>
                <w:rFonts w:asciiTheme="minorHAnsi" w:eastAsia="Times New Roman" w:hAnsiTheme="minorHAnsi" w:cstheme="minorHAnsi"/>
                <w:sz w:val="20"/>
                <w:szCs w:val="20"/>
                <w:lang w:val="es-ES_tradnl" w:eastAsia="es-CR"/>
              </w:rPr>
            </w:pPr>
          </w:p>
        </w:tc>
      </w:tr>
      <w:tr w:rsidR="00524338" w:rsidRPr="007F4D6F" w14:paraId="0F9563A5" w14:textId="77777777" w:rsidTr="0088308E">
        <w:trPr>
          <w:gridAfter w:val="1"/>
          <w:wAfter w:w="12" w:type="dxa"/>
          <w:trHeight w:val="50"/>
          <w:jc w:val="center"/>
        </w:trPr>
        <w:tc>
          <w:tcPr>
            <w:tcW w:w="1402" w:type="dxa"/>
            <w:shd w:val="clear" w:color="auto" w:fill="auto"/>
          </w:tcPr>
          <w:p w14:paraId="609AF676" w14:textId="1FFD60B9" w:rsidR="00524338" w:rsidRPr="00414D59"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Kenneth Muñoz Bolaños</w:t>
            </w:r>
          </w:p>
        </w:tc>
        <w:tc>
          <w:tcPr>
            <w:tcW w:w="1492" w:type="dxa"/>
            <w:shd w:val="clear" w:color="auto" w:fill="auto"/>
          </w:tcPr>
          <w:p w14:paraId="33EDEBE1" w14:textId="56746602"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Dirección de Protección Radiológica y Salud Ambiental</w:t>
            </w:r>
          </w:p>
        </w:tc>
        <w:tc>
          <w:tcPr>
            <w:tcW w:w="1173" w:type="dxa"/>
            <w:shd w:val="clear" w:color="auto" w:fill="auto"/>
          </w:tcPr>
          <w:p w14:paraId="497ED681" w14:textId="2A5D283F"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6</w:t>
            </w:r>
            <w:r>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74" w:type="dxa"/>
            <w:shd w:val="clear" w:color="auto" w:fill="auto"/>
          </w:tcPr>
          <w:p w14:paraId="21F7DC72" w14:textId="2137EEC6"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17</w:t>
            </w:r>
            <w:r>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07" w:type="dxa"/>
            <w:shd w:val="clear" w:color="auto" w:fill="auto"/>
          </w:tcPr>
          <w:p w14:paraId="3CD0C320" w14:textId="255A578E"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Chile</w:t>
            </w:r>
          </w:p>
        </w:tc>
        <w:tc>
          <w:tcPr>
            <w:tcW w:w="1727" w:type="dxa"/>
            <w:shd w:val="clear" w:color="auto" w:fill="auto"/>
          </w:tcPr>
          <w:p w14:paraId="2FDA87EE" w14:textId="15DDAD4B"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Curso Regional de Capacitación sobre la Autorización y la Inspección de las Prácticas Industriales desde el punto de vista de la Seguridad Radiológica y la Seguridad Física Nuclear</w:t>
            </w:r>
          </w:p>
        </w:tc>
        <w:tc>
          <w:tcPr>
            <w:tcW w:w="2410" w:type="dxa"/>
            <w:shd w:val="clear" w:color="auto" w:fill="auto"/>
          </w:tcPr>
          <w:p w14:paraId="6D9D7F1D" w14:textId="744DCD64"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No se generan acuerdos o compromisos. </w:t>
            </w:r>
          </w:p>
        </w:tc>
        <w:tc>
          <w:tcPr>
            <w:tcW w:w="1559" w:type="dxa"/>
            <w:shd w:val="clear" w:color="auto" w:fill="auto"/>
          </w:tcPr>
          <w:p w14:paraId="4E226A94" w14:textId="27D37028"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Organismo Internacional de Energía Atómica (OIEA)</w:t>
            </w:r>
          </w:p>
        </w:tc>
        <w:tc>
          <w:tcPr>
            <w:tcW w:w="1466" w:type="dxa"/>
            <w:shd w:val="clear" w:color="auto" w:fill="auto"/>
          </w:tcPr>
          <w:p w14:paraId="195F911A" w14:textId="758285D2" w:rsidR="00524338" w:rsidRPr="007F4D6F" w:rsidRDefault="00524338" w:rsidP="00524338">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No se dan viáticos institucionales.</w:t>
            </w:r>
          </w:p>
        </w:tc>
        <w:tc>
          <w:tcPr>
            <w:tcW w:w="1477" w:type="dxa"/>
            <w:shd w:val="clear" w:color="auto" w:fill="auto"/>
          </w:tcPr>
          <w:p w14:paraId="024E440D" w14:textId="77777777" w:rsidR="00524338" w:rsidRPr="00502CAD" w:rsidRDefault="00524338" w:rsidP="00524338">
            <w:pPr>
              <w:spacing w:line="240" w:lineRule="auto"/>
              <w:rPr>
                <w:rFonts w:asciiTheme="minorHAnsi" w:eastAsia="Times New Roman" w:hAnsiTheme="minorHAnsi" w:cstheme="minorHAnsi"/>
                <w:sz w:val="20"/>
                <w:szCs w:val="20"/>
                <w:lang w:val="es-ES_tradnl" w:eastAsia="es-CR"/>
              </w:rPr>
            </w:pPr>
          </w:p>
        </w:tc>
      </w:tr>
      <w:tr w:rsidR="0088308E" w:rsidRPr="007F4D6F" w14:paraId="4C3AAF6C" w14:textId="77777777" w:rsidTr="0088308E">
        <w:trPr>
          <w:gridAfter w:val="1"/>
          <w:wAfter w:w="12" w:type="dxa"/>
          <w:trHeight w:val="50"/>
          <w:jc w:val="center"/>
        </w:trPr>
        <w:tc>
          <w:tcPr>
            <w:tcW w:w="1402" w:type="dxa"/>
            <w:shd w:val="clear" w:color="auto" w:fill="auto"/>
          </w:tcPr>
          <w:p w14:paraId="3B169D9C" w14:textId="67CD698A" w:rsidR="0088308E" w:rsidRPr="00414D59" w:rsidRDefault="0088308E" w:rsidP="0088308E">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Víctor González Jiménez</w:t>
            </w:r>
          </w:p>
        </w:tc>
        <w:tc>
          <w:tcPr>
            <w:tcW w:w="1492" w:type="dxa"/>
            <w:shd w:val="clear" w:color="auto" w:fill="auto"/>
          </w:tcPr>
          <w:p w14:paraId="6DA9386B" w14:textId="4E56C8D8" w:rsidR="0088308E" w:rsidRPr="007F4D6F" w:rsidRDefault="0088308E" w:rsidP="0088308E">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Área Rectora de Salud Corredores</w:t>
            </w:r>
          </w:p>
        </w:tc>
        <w:tc>
          <w:tcPr>
            <w:tcW w:w="1173" w:type="dxa"/>
            <w:shd w:val="clear" w:color="auto" w:fill="auto"/>
          </w:tcPr>
          <w:p w14:paraId="0FE65D68" w14:textId="0759A4BD" w:rsidR="0088308E" w:rsidRPr="007F4D6F" w:rsidRDefault="0088308E" w:rsidP="0088308E">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 xml:space="preserve">8 de </w:t>
            </w:r>
            <w:r w:rsidRPr="00414D59">
              <w:rPr>
                <w:rFonts w:ascii="Calibri" w:eastAsia="Times New Roman" w:hAnsi="Calibri" w:cs="Calibri"/>
                <w:sz w:val="20"/>
                <w:szCs w:val="20"/>
                <w:lang w:val="es-CR" w:eastAsia="es-CR"/>
              </w:rPr>
              <w:t>jun</w:t>
            </w:r>
            <w:r>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74" w:type="dxa"/>
            <w:shd w:val="clear" w:color="auto" w:fill="auto"/>
          </w:tcPr>
          <w:p w14:paraId="139A0E10" w14:textId="7E00B327" w:rsidR="0088308E" w:rsidRPr="007F4D6F" w:rsidRDefault="0088308E" w:rsidP="0088308E">
            <w:pPr>
              <w:spacing w:line="240" w:lineRule="auto"/>
              <w:rPr>
                <w:rFonts w:asciiTheme="minorHAnsi" w:eastAsia="Times New Roman" w:hAnsiTheme="minorHAnsi" w:cstheme="minorHAnsi"/>
                <w:sz w:val="20"/>
                <w:szCs w:val="20"/>
                <w:lang w:val="es-ES_tradnl" w:eastAsia="es-CR"/>
              </w:rPr>
            </w:pPr>
            <w:r>
              <w:rPr>
                <w:rFonts w:ascii="Calibri" w:eastAsia="Times New Roman" w:hAnsi="Calibri" w:cs="Calibri"/>
                <w:sz w:val="20"/>
                <w:szCs w:val="20"/>
                <w:lang w:val="es-CR" w:eastAsia="es-CR"/>
              </w:rPr>
              <w:t xml:space="preserve">8 de </w:t>
            </w:r>
            <w:r w:rsidRPr="00414D59">
              <w:rPr>
                <w:rFonts w:ascii="Calibri" w:eastAsia="Times New Roman" w:hAnsi="Calibri" w:cs="Calibri"/>
                <w:sz w:val="20"/>
                <w:szCs w:val="20"/>
                <w:lang w:val="es-CR" w:eastAsia="es-CR"/>
              </w:rPr>
              <w:t>jun</w:t>
            </w:r>
            <w:r>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07" w:type="dxa"/>
            <w:shd w:val="clear" w:color="auto" w:fill="auto"/>
          </w:tcPr>
          <w:p w14:paraId="181A46E5" w14:textId="1D20AFF8" w:rsidR="0088308E" w:rsidRPr="007F4D6F" w:rsidRDefault="0088308E" w:rsidP="0088308E">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Panamá</w:t>
            </w:r>
          </w:p>
        </w:tc>
        <w:tc>
          <w:tcPr>
            <w:tcW w:w="1727" w:type="dxa"/>
            <w:shd w:val="clear" w:color="auto" w:fill="auto"/>
          </w:tcPr>
          <w:p w14:paraId="431E72D1" w14:textId="0A0B8A33" w:rsidR="0088308E" w:rsidRPr="007F4D6F" w:rsidRDefault="0088308E" w:rsidP="0088308E">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Reunión bilateral para la instalación del Comité de</w:t>
            </w:r>
            <w:r w:rsidRPr="00414D59">
              <w:rPr>
                <w:rFonts w:ascii="Calibri" w:eastAsia="Times New Roman" w:hAnsi="Calibri" w:cs="Calibri"/>
                <w:sz w:val="20"/>
                <w:szCs w:val="20"/>
                <w:lang w:val="es-CR" w:eastAsia="es-CR"/>
              </w:rPr>
              <w:br/>
              <w:t>Coordinación Bilateral</w:t>
            </w:r>
          </w:p>
        </w:tc>
        <w:tc>
          <w:tcPr>
            <w:tcW w:w="2410" w:type="dxa"/>
            <w:shd w:val="clear" w:color="auto" w:fill="auto"/>
          </w:tcPr>
          <w:p w14:paraId="02279B8A" w14:textId="77C1767A" w:rsidR="0088308E" w:rsidRPr="007F4D6F" w:rsidRDefault="0088308E" w:rsidP="0088308E">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Conformación del CCB. Revisión de la propuesta de reglamento de operación del CCB. Reunión de seguimiento. </w:t>
            </w:r>
          </w:p>
        </w:tc>
        <w:tc>
          <w:tcPr>
            <w:tcW w:w="1559" w:type="dxa"/>
            <w:shd w:val="clear" w:color="auto" w:fill="auto"/>
          </w:tcPr>
          <w:p w14:paraId="4486A7EB" w14:textId="2B54BA95" w:rsidR="0088308E" w:rsidRPr="007F4D6F" w:rsidRDefault="0088308E" w:rsidP="0088308E">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Gobierno de la República de Panamá</w:t>
            </w:r>
          </w:p>
        </w:tc>
        <w:tc>
          <w:tcPr>
            <w:tcW w:w="1466" w:type="dxa"/>
            <w:shd w:val="clear" w:color="auto" w:fill="auto"/>
          </w:tcPr>
          <w:p w14:paraId="7CE4B158" w14:textId="6C86B22E" w:rsidR="0088308E" w:rsidRPr="007F4D6F" w:rsidRDefault="0088308E" w:rsidP="0088308E">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No se dan viáticos institucionales.</w:t>
            </w:r>
          </w:p>
        </w:tc>
        <w:tc>
          <w:tcPr>
            <w:tcW w:w="1477" w:type="dxa"/>
            <w:shd w:val="clear" w:color="auto" w:fill="auto"/>
          </w:tcPr>
          <w:p w14:paraId="6C747F0B" w14:textId="77777777" w:rsidR="0088308E" w:rsidRPr="00502CAD" w:rsidRDefault="0088308E" w:rsidP="0088308E">
            <w:pPr>
              <w:spacing w:line="240" w:lineRule="auto"/>
              <w:rPr>
                <w:rFonts w:asciiTheme="minorHAnsi" w:eastAsia="Times New Roman" w:hAnsiTheme="minorHAnsi" w:cstheme="minorHAnsi"/>
                <w:sz w:val="20"/>
                <w:szCs w:val="20"/>
                <w:lang w:val="es-ES_tradnl" w:eastAsia="es-CR"/>
              </w:rPr>
            </w:pPr>
          </w:p>
        </w:tc>
      </w:tr>
      <w:tr w:rsidR="00667EB2" w:rsidRPr="007F4D6F" w14:paraId="2F93888F" w14:textId="77777777" w:rsidTr="0088308E">
        <w:trPr>
          <w:gridAfter w:val="1"/>
          <w:wAfter w:w="12" w:type="dxa"/>
          <w:trHeight w:val="50"/>
          <w:jc w:val="center"/>
        </w:trPr>
        <w:tc>
          <w:tcPr>
            <w:tcW w:w="1402" w:type="dxa"/>
            <w:shd w:val="clear" w:color="auto" w:fill="auto"/>
          </w:tcPr>
          <w:p w14:paraId="7D01D908" w14:textId="53EB301D" w:rsidR="00667EB2" w:rsidRPr="00414D59"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Joselyn Chacón Madrigal</w:t>
            </w:r>
          </w:p>
        </w:tc>
        <w:tc>
          <w:tcPr>
            <w:tcW w:w="1492" w:type="dxa"/>
            <w:shd w:val="clear" w:color="auto" w:fill="auto"/>
          </w:tcPr>
          <w:p w14:paraId="4AF00616" w14:textId="00A1A3E0"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Despacho Ministerial </w:t>
            </w:r>
          </w:p>
        </w:tc>
        <w:tc>
          <w:tcPr>
            <w:tcW w:w="1173" w:type="dxa"/>
            <w:shd w:val="clear" w:color="auto" w:fill="auto"/>
          </w:tcPr>
          <w:p w14:paraId="75264F55" w14:textId="640649CE"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9</w:t>
            </w:r>
            <w:r w:rsidR="0088308E">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sidR="0088308E">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74" w:type="dxa"/>
            <w:shd w:val="clear" w:color="auto" w:fill="auto"/>
          </w:tcPr>
          <w:p w14:paraId="59BE6BCF" w14:textId="457F6501"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10</w:t>
            </w:r>
            <w:r w:rsidR="0088308E">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sidR="0088308E">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07" w:type="dxa"/>
            <w:shd w:val="clear" w:color="auto" w:fill="auto"/>
          </w:tcPr>
          <w:p w14:paraId="793ACED2" w14:textId="3746B6FF"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Panamá</w:t>
            </w:r>
          </w:p>
        </w:tc>
        <w:tc>
          <w:tcPr>
            <w:tcW w:w="1727" w:type="dxa"/>
            <w:shd w:val="clear" w:color="auto" w:fill="auto"/>
          </w:tcPr>
          <w:p w14:paraId="601D3A56" w14:textId="2EE71EAB"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56° reunión del Consejo de Ministros de Salud de Centroamérica y República Dominicana (COMISCA)</w:t>
            </w:r>
          </w:p>
        </w:tc>
        <w:tc>
          <w:tcPr>
            <w:tcW w:w="2410" w:type="dxa"/>
            <w:shd w:val="clear" w:color="auto" w:fill="auto"/>
          </w:tcPr>
          <w:p w14:paraId="5C53CC62" w14:textId="28673F34"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El COMISCA da por aprobado el informe de gestión de la SE-COMISCA de enero a junio 2022. Se mantiene el respaldo para que la secretaría Ejecutiva del COMISCA suscriba los convenios de cooperación y memorándum de entendimiento con instancias del SICA, organismos internacionales y socias de la cooperación en concordancia con la resolución de COMISCA 13-2021 del 10 de diciembre del 2021. Los países pendientes del pago de cuotas regulares y de la Negociación Conjunta COMISCA se comprometen a dar seguimiento para el pago correspondiente lo más pronto posible. Se aprobó el Plan Estratégico de la Secretaría Ejecutiva del COMISCA 2022-2025. Instruir a la Secretaría Ejecutiva del COMISCA iniciar la implementación del referido Plan y a su vez, presentar avances de cumplimiento de resultados de forma periódica según corresponda hasta el año 2025. Dar por recibido el informe de la PPT por Panamá. Se aprobó el Sistema de Planificación, Monitoreo y Evaluación del PSCARD 2021-2025. Instruir al Comité Ejecutivo para la Implementación del Plan de Salud (CEIP), velar por la implementación del referido Sistema de Planificación, Monitoreo y Evaluación del PSCARD 2021-2025, en coordinación con las instancias técnicas operativas del COMISCA y la SE-COMISCA, a fin de garantizar el avance y cumplimiento del PSCARD 2021- 2025. Se aprobó el documento del Marco del Observatorio de Salud Mental de Centroamérica y República Dominicana e instruir al Grupo Técnico de Salud Mental (GTSM) y la SECOMISCA, la implementación del mismo, con el apoyo de la OPS/OMS. Se aprobaron las recomendaciones derivadas del V Foro Intersectorial Regional para la Salud de Centroamérica y República Dominicana “Uniendo fuerzas por la salud mental”, relativas a 1. Fortalecer el área de salud mental, teniendo como ejes transversales: abogacía, promoción de la salud, investigación, fortalecimiento de competencias en el recurso humano, sistemas de información intersectorialidad, recurso financiero y participación comunitaria; 2. Implementar las siguientes estrategias para el abordaje de la salud mental, </w:t>
            </w:r>
            <w:proofErr w:type="spellStart"/>
            <w:r w:rsidRPr="00414D59">
              <w:rPr>
                <w:rFonts w:ascii="Calibri" w:eastAsia="Times New Roman" w:hAnsi="Calibri" w:cs="Calibri"/>
                <w:sz w:val="20"/>
                <w:szCs w:val="20"/>
                <w:lang w:val="es-CR" w:eastAsia="es-CR"/>
              </w:rPr>
              <w:t>mhGAP</w:t>
            </w:r>
            <w:proofErr w:type="spellEnd"/>
            <w:r w:rsidRPr="00414D59">
              <w:rPr>
                <w:rFonts w:ascii="Calibri" w:eastAsia="Times New Roman" w:hAnsi="Calibri" w:cs="Calibri"/>
                <w:sz w:val="20"/>
                <w:szCs w:val="20"/>
                <w:lang w:val="es-CR" w:eastAsia="es-CR"/>
              </w:rPr>
              <w:t xml:space="preserve">, primera ayuda psicológica, SMAPS; para prevención del consumo de alcohol y otras sustancias tal como SAFER, estrategias aplicadas en el curso de vida con énfasis en Primera Infancia y adolescentes, prevención y atención de intentos suicidas. Dar por cumplida la Resolución COMISCA 19-2019, y ampliar el alcance de acuerdo al Plan de Salud de Centroamérica y República Dominicana (PSCARD) 2021-2025, eje estratégico 4 “Capacidad de respuesta regional frente al cambio climático, emergencias sanitarias, desastres y procesos migratorios”, a fin de incluir el abordaje de la respuesta ante epidemias y emergencias sanitarias. Se reorientó la propuesta de “Mecanismos regional de respuesta ante las epidemias de </w:t>
            </w:r>
            <w:proofErr w:type="spellStart"/>
            <w:r w:rsidRPr="00414D59">
              <w:rPr>
                <w:rFonts w:ascii="Calibri" w:eastAsia="Times New Roman" w:hAnsi="Calibri" w:cs="Calibri"/>
                <w:sz w:val="20"/>
                <w:szCs w:val="20"/>
                <w:lang w:val="es-CR" w:eastAsia="es-CR"/>
              </w:rPr>
              <w:t>arbovirus</w:t>
            </w:r>
            <w:proofErr w:type="spellEnd"/>
            <w:r w:rsidRPr="00414D59">
              <w:rPr>
                <w:rFonts w:ascii="Calibri" w:eastAsia="Times New Roman" w:hAnsi="Calibri" w:cs="Calibri"/>
                <w:sz w:val="20"/>
                <w:szCs w:val="20"/>
                <w:lang w:val="es-CR" w:eastAsia="es-CR"/>
              </w:rPr>
              <w:t xml:space="preserve"> en el marco del fortalecimiento del Reglamento Sanitario Internacional a “Guía del mecanismo regional para la respuesta rápida ante emergencias sanitarias y multi amenazas de los estados miembros del SICA (MERRES) a fin de establecer una coordinación regional que permita movilizar cooperación de socios y facilitar cooperación horizontal en caso que se requiera una respuesta rápida en cualquier tipo de emergencia sanitaria y multiamenaza, con enfoque de una salud. Se aprobó la Estrategia para Prevención, Mitigación y Control de la Enfermedad Renal Crónica de origen no tradicional en Centroamérica y República Dominicana</w:t>
            </w:r>
            <w:r w:rsidR="0088308E">
              <w:rPr>
                <w:rFonts w:ascii="Calibri" w:eastAsia="Times New Roman" w:hAnsi="Calibri" w:cs="Calibri"/>
                <w:sz w:val="20"/>
                <w:szCs w:val="20"/>
                <w:lang w:val="es-CR" w:eastAsia="es-CR"/>
              </w:rPr>
              <w:t xml:space="preserve"> </w:t>
            </w:r>
            <w:r w:rsidRPr="00414D59">
              <w:rPr>
                <w:rFonts w:ascii="Calibri" w:eastAsia="Times New Roman" w:hAnsi="Calibri" w:cs="Calibri"/>
                <w:sz w:val="20"/>
                <w:szCs w:val="20"/>
                <w:lang w:val="es-CR" w:eastAsia="es-CR"/>
              </w:rPr>
              <w:t>2022-2025 e instruir a la Comisión Técnica de Crónicas y Cáncer (CTCC) y a la SE-COMISCA su implementación, con el apoyo de la OPS/OMS. Implementar las líneas estratégicas correspondientes a las acciones nacionales y regionales establecidas en la Estrategia. Instruir a la Comisión Técnica de Crónicas y Cáncer (CTCC)</w:t>
            </w:r>
            <w:r w:rsidRPr="00414D59">
              <w:rPr>
                <w:rFonts w:ascii="Calibri" w:eastAsia="Times New Roman" w:hAnsi="Calibri" w:cs="Calibri"/>
                <w:sz w:val="20"/>
                <w:szCs w:val="20"/>
                <w:lang w:val="es-CR" w:eastAsia="es-CR"/>
              </w:rPr>
              <w:br/>
              <w:t>a que, en coordinación con la SE-COMISCA y la OPS/OMS, realicen el monitoreo y la evaluación correspondiente de la Estrategia y, presentar los resultados de la referida evaluación, en el primer semestre del 2025. Se aprobó la hoja de ruta hacia la conducta responsable en investigación (CRI) y las decisiones informadas por</w:t>
            </w:r>
            <w:r w:rsidRPr="00414D59">
              <w:rPr>
                <w:rFonts w:ascii="Calibri" w:eastAsia="Times New Roman" w:hAnsi="Calibri" w:cs="Calibri"/>
                <w:sz w:val="20"/>
                <w:szCs w:val="20"/>
                <w:lang w:val="es-CR" w:eastAsia="es-CR"/>
              </w:rPr>
              <w:br/>
              <w:t>evidencia científica a través del desarrollo de capacidades para la conducción de investigación de forma ética y responsable, el análisis crítico y la gestión del conocimiento para la toma de decisiones en salud. Priorizar a lo interno de cada Estado Miembro del SICA, el desarrollo de los procedimientos de registro de ensayos clínicos realizados en el país, que cumpla con los estándares internacionales consensuados de la OMS, y el seguimiento a los indicadores para el fortalecimiento de los sistemas de ética de la investigación, comprometiéndonos a presentar avances en junio de 2023. Instruir a la Comisión Técnica de Investigación en Salud (CTIS) y la SE- COMISCA, con el apoyo técnico de OPS realicen monitoreo de los avances en la hoja de ruta hacia la conducta responsable en investigación (CRI) y las decisiones informadas por evidencia científica en la reunión ordinaria del COMISCA a realizarse en junio 2023. Se modificó el nombre de la Comisión Técnica de Investigación en Salud a Comisión Técnica de Investigación para la Salud, abreviándose siempre como CTIS. Instruir a la Comisión Técnica de Investigación para la Salud (CTIS), a que en coordinación con la SE-COMISCA actualicen su manual de Organización y Funcionamiento, priorizando los ajustes técnicos en sus objetivos y alcance, para impulsar el cumplimiento de la organización y gestión de la investigación en Centroamérica y República Dominicana en función de la actualización del paradigma de investigación para la salud. Se recibe autoevaluación de la Estrategia de Medicament</w:t>
            </w:r>
            <w:r w:rsidR="0088308E">
              <w:rPr>
                <w:rFonts w:ascii="Calibri" w:eastAsia="Times New Roman" w:hAnsi="Calibri" w:cs="Calibri"/>
                <w:sz w:val="20"/>
                <w:szCs w:val="20"/>
                <w:lang w:val="es-CR" w:eastAsia="es-CR"/>
              </w:rPr>
              <w:t>o</w:t>
            </w:r>
            <w:r w:rsidRPr="00414D59">
              <w:rPr>
                <w:rFonts w:ascii="Calibri" w:eastAsia="Times New Roman" w:hAnsi="Calibri" w:cs="Calibri"/>
                <w:sz w:val="20"/>
                <w:szCs w:val="20"/>
                <w:lang w:val="es-CR" w:eastAsia="es-CR"/>
              </w:rPr>
              <w:t>s y otras tecnologías sanitarias para Centroamérica y República Dominicana 2018-2021. Dar por recibido el Informe IREM y C19RM. Instruir a las instancias técnicas a lo interno de cada Ministerio y Secretaría de Salud de Centroamérica y República Dominicana para que, apliquen anualmente, la medición del gasto en VIH (MEGAS), presentando la información en el primer trimestre, fortaleciendo el análisis secundario de la información, que permita la toma de decisiones, asegurando el uso adecuado de los recursos disponibles, la movilización de recursos nacionales, el fortalecimiento de la inversión en VIH, para el cumplimiento de las metas con el objetivo de poner fin a la epidemia de VIH al 2030. Instruir al Mecanismo de Coordinación Regional (MCR) a que, en coordinación con ONUSIDA, brinden apoyo a las instancias técnicas nacionales para la elaboración de la medición del gasto en VIH.</w:t>
            </w:r>
          </w:p>
        </w:tc>
        <w:tc>
          <w:tcPr>
            <w:tcW w:w="1559" w:type="dxa"/>
            <w:shd w:val="clear" w:color="auto" w:fill="auto"/>
          </w:tcPr>
          <w:p w14:paraId="15D4AEF6" w14:textId="066E7691"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Secretaría Ejecutiva del Consejo de Ministros de Salud de Centroamérica y República Dominicana (SE-COMISCA) </w:t>
            </w:r>
            <w:r w:rsidRPr="00414D59">
              <w:rPr>
                <w:rFonts w:ascii="Calibri" w:eastAsia="Times New Roman" w:hAnsi="Calibri" w:cs="Calibri"/>
                <w:sz w:val="20"/>
                <w:szCs w:val="20"/>
                <w:lang w:val="es-CR" w:eastAsia="es-CR"/>
              </w:rPr>
              <w:br/>
              <w:t xml:space="preserve">Ministerio de Salud de Panamá </w:t>
            </w:r>
          </w:p>
        </w:tc>
        <w:tc>
          <w:tcPr>
            <w:tcW w:w="1466" w:type="dxa"/>
            <w:shd w:val="clear" w:color="auto" w:fill="auto"/>
          </w:tcPr>
          <w:p w14:paraId="1B48C14D" w14:textId="56C742DC"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No se dan viáticos institucionales.</w:t>
            </w:r>
          </w:p>
        </w:tc>
        <w:tc>
          <w:tcPr>
            <w:tcW w:w="1477" w:type="dxa"/>
            <w:shd w:val="clear" w:color="auto" w:fill="auto"/>
          </w:tcPr>
          <w:p w14:paraId="512C67B6" w14:textId="77777777" w:rsidR="00667EB2" w:rsidRPr="00502CAD" w:rsidRDefault="00667EB2" w:rsidP="00667EB2">
            <w:pPr>
              <w:spacing w:line="240" w:lineRule="auto"/>
              <w:rPr>
                <w:rFonts w:asciiTheme="minorHAnsi" w:eastAsia="Times New Roman" w:hAnsiTheme="minorHAnsi" w:cstheme="minorHAnsi"/>
                <w:sz w:val="20"/>
                <w:szCs w:val="20"/>
                <w:lang w:val="es-ES_tradnl" w:eastAsia="es-CR"/>
              </w:rPr>
            </w:pPr>
          </w:p>
        </w:tc>
      </w:tr>
      <w:tr w:rsidR="00BB41CB" w:rsidRPr="007F4D6F" w14:paraId="61FE74AE" w14:textId="77777777" w:rsidTr="0088308E">
        <w:trPr>
          <w:gridAfter w:val="1"/>
          <w:wAfter w:w="12" w:type="dxa"/>
          <w:trHeight w:val="50"/>
          <w:jc w:val="center"/>
        </w:trPr>
        <w:tc>
          <w:tcPr>
            <w:tcW w:w="1402" w:type="dxa"/>
            <w:shd w:val="clear" w:color="auto" w:fill="auto"/>
          </w:tcPr>
          <w:p w14:paraId="5DD09976" w14:textId="01A4D5BD" w:rsidR="00BB41CB" w:rsidRPr="00414D59" w:rsidRDefault="00BB41CB" w:rsidP="00BB41CB">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Adriana Salazar González</w:t>
            </w:r>
          </w:p>
        </w:tc>
        <w:tc>
          <w:tcPr>
            <w:tcW w:w="1492" w:type="dxa"/>
            <w:shd w:val="clear" w:color="auto" w:fill="auto"/>
          </w:tcPr>
          <w:p w14:paraId="269C3CA7" w14:textId="2BA8595A" w:rsidR="00BB41CB" w:rsidRPr="007F4D6F" w:rsidRDefault="00BB41CB" w:rsidP="00BB41CB">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Unidad de Relaciones Internacionales </w:t>
            </w:r>
          </w:p>
        </w:tc>
        <w:tc>
          <w:tcPr>
            <w:tcW w:w="1173" w:type="dxa"/>
            <w:shd w:val="clear" w:color="auto" w:fill="auto"/>
          </w:tcPr>
          <w:p w14:paraId="52CFA503" w14:textId="3D4B9AA2" w:rsidR="00BB41CB" w:rsidRPr="007F4D6F" w:rsidRDefault="00BB41CB" w:rsidP="00BB41CB">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9</w:t>
            </w:r>
            <w:r>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74" w:type="dxa"/>
            <w:shd w:val="clear" w:color="auto" w:fill="auto"/>
          </w:tcPr>
          <w:p w14:paraId="02FA55D6" w14:textId="52C512B6" w:rsidR="00BB41CB" w:rsidRPr="007F4D6F" w:rsidRDefault="00BB41CB" w:rsidP="00BB41CB">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10</w:t>
            </w:r>
            <w:r>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07" w:type="dxa"/>
            <w:shd w:val="clear" w:color="auto" w:fill="auto"/>
          </w:tcPr>
          <w:p w14:paraId="58BB9BE0" w14:textId="09C32E3D" w:rsidR="00BB41CB" w:rsidRPr="007F4D6F" w:rsidRDefault="00BB41CB" w:rsidP="00BB41CB">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Panamá</w:t>
            </w:r>
          </w:p>
        </w:tc>
        <w:tc>
          <w:tcPr>
            <w:tcW w:w="1727" w:type="dxa"/>
            <w:shd w:val="clear" w:color="auto" w:fill="auto"/>
          </w:tcPr>
          <w:p w14:paraId="3057D5DE" w14:textId="1FD19967" w:rsidR="00BB41CB" w:rsidRPr="007F4D6F" w:rsidRDefault="00BB41CB" w:rsidP="00BB41CB">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56° reunión del Consejo de Ministros de Salud de Centroamérica y República Dominicana (COMISCA)</w:t>
            </w:r>
          </w:p>
        </w:tc>
        <w:tc>
          <w:tcPr>
            <w:tcW w:w="2410" w:type="dxa"/>
            <w:shd w:val="clear" w:color="auto" w:fill="auto"/>
          </w:tcPr>
          <w:p w14:paraId="34B468EF" w14:textId="46F6C395" w:rsidR="00BB41CB" w:rsidRPr="007F4D6F" w:rsidRDefault="00BB41CB" w:rsidP="00BB41CB">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Divulgar los acuerdos adoptados por el Consejo de Ministros de Salud de Centroamérica y República Dominicana. Dar seguimiento a los acuerdos adoptados. </w:t>
            </w:r>
          </w:p>
        </w:tc>
        <w:tc>
          <w:tcPr>
            <w:tcW w:w="1559" w:type="dxa"/>
            <w:shd w:val="clear" w:color="auto" w:fill="auto"/>
          </w:tcPr>
          <w:p w14:paraId="3A92DF3E" w14:textId="77777777" w:rsidR="00BB41CB" w:rsidRDefault="00BB41CB" w:rsidP="00BB41CB">
            <w:pPr>
              <w:spacing w:line="240" w:lineRule="auto"/>
              <w:rPr>
                <w:rFonts w:ascii="Calibri" w:eastAsia="Times New Roman" w:hAnsi="Calibri" w:cs="Calibri"/>
                <w:sz w:val="20"/>
                <w:szCs w:val="20"/>
                <w:lang w:val="es-CR" w:eastAsia="es-CR"/>
              </w:rPr>
            </w:pPr>
            <w:r w:rsidRPr="00414D59">
              <w:rPr>
                <w:rFonts w:ascii="Calibri" w:eastAsia="Times New Roman" w:hAnsi="Calibri" w:cs="Calibri"/>
                <w:sz w:val="20"/>
                <w:szCs w:val="20"/>
                <w:lang w:val="es-CR" w:eastAsia="es-CR"/>
              </w:rPr>
              <w:t xml:space="preserve">Secretaría Ejecutiva del Consejo de Ministros de Salud de Centroamérica y República Dominicana (SE-COMISCA) </w:t>
            </w:r>
          </w:p>
          <w:p w14:paraId="082A7703" w14:textId="01307205" w:rsidR="00BB41CB" w:rsidRPr="007F4D6F" w:rsidRDefault="00BB41CB" w:rsidP="00BB41CB">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Ministerio de Salud de Panamá </w:t>
            </w:r>
          </w:p>
        </w:tc>
        <w:tc>
          <w:tcPr>
            <w:tcW w:w="1466" w:type="dxa"/>
            <w:shd w:val="clear" w:color="auto" w:fill="auto"/>
          </w:tcPr>
          <w:p w14:paraId="60246DED" w14:textId="4585D80D" w:rsidR="00BB41CB" w:rsidRPr="007F4D6F" w:rsidRDefault="00BB41CB" w:rsidP="00BB41CB">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No se dan viáticos institucionales.</w:t>
            </w:r>
          </w:p>
        </w:tc>
        <w:tc>
          <w:tcPr>
            <w:tcW w:w="1477" w:type="dxa"/>
            <w:shd w:val="clear" w:color="auto" w:fill="auto"/>
          </w:tcPr>
          <w:p w14:paraId="709A1402" w14:textId="77777777" w:rsidR="00BB41CB" w:rsidRPr="00502CAD" w:rsidRDefault="00BB41CB" w:rsidP="00BB41CB">
            <w:pPr>
              <w:spacing w:line="240" w:lineRule="auto"/>
              <w:rPr>
                <w:rFonts w:asciiTheme="minorHAnsi" w:eastAsia="Times New Roman" w:hAnsiTheme="minorHAnsi" w:cstheme="minorHAnsi"/>
                <w:sz w:val="20"/>
                <w:szCs w:val="20"/>
                <w:lang w:val="es-ES_tradnl" w:eastAsia="es-CR"/>
              </w:rPr>
            </w:pPr>
          </w:p>
        </w:tc>
      </w:tr>
      <w:tr w:rsidR="00BB41CB" w:rsidRPr="007F4D6F" w14:paraId="7822D377" w14:textId="77777777" w:rsidTr="0088308E">
        <w:trPr>
          <w:gridAfter w:val="1"/>
          <w:wAfter w:w="12" w:type="dxa"/>
          <w:trHeight w:val="50"/>
          <w:jc w:val="center"/>
        </w:trPr>
        <w:tc>
          <w:tcPr>
            <w:tcW w:w="1402" w:type="dxa"/>
            <w:shd w:val="clear" w:color="auto" w:fill="auto"/>
          </w:tcPr>
          <w:p w14:paraId="25207697" w14:textId="03BA09B1" w:rsidR="00BB41CB" w:rsidRPr="00414D59" w:rsidRDefault="00BB41CB" w:rsidP="00BB41CB">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Verónica Cruz Umaña</w:t>
            </w:r>
          </w:p>
        </w:tc>
        <w:tc>
          <w:tcPr>
            <w:tcW w:w="1492" w:type="dxa"/>
            <w:shd w:val="clear" w:color="auto" w:fill="auto"/>
          </w:tcPr>
          <w:p w14:paraId="69724702" w14:textId="1312879F" w:rsidR="00BB41CB" w:rsidRPr="007F4D6F" w:rsidRDefault="00BB41CB" w:rsidP="00BB41CB">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Despacho Ministerial </w:t>
            </w:r>
          </w:p>
        </w:tc>
        <w:tc>
          <w:tcPr>
            <w:tcW w:w="1173" w:type="dxa"/>
            <w:shd w:val="clear" w:color="auto" w:fill="auto"/>
          </w:tcPr>
          <w:p w14:paraId="601B14DB" w14:textId="56C36CBC" w:rsidR="00BB41CB" w:rsidRPr="007F4D6F" w:rsidRDefault="00BB41CB" w:rsidP="00BB41CB">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9</w:t>
            </w:r>
            <w:r>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74" w:type="dxa"/>
            <w:shd w:val="clear" w:color="auto" w:fill="auto"/>
          </w:tcPr>
          <w:p w14:paraId="09FBFC70" w14:textId="0C19F298" w:rsidR="00BB41CB" w:rsidRPr="007F4D6F" w:rsidRDefault="00BB41CB" w:rsidP="00BB41CB">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10</w:t>
            </w:r>
            <w:r>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07" w:type="dxa"/>
            <w:shd w:val="clear" w:color="auto" w:fill="auto"/>
          </w:tcPr>
          <w:p w14:paraId="2310173A" w14:textId="7FC72569" w:rsidR="00BB41CB" w:rsidRPr="007F4D6F" w:rsidRDefault="00BB41CB" w:rsidP="00BB41CB">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Panamá</w:t>
            </w:r>
          </w:p>
        </w:tc>
        <w:tc>
          <w:tcPr>
            <w:tcW w:w="1727" w:type="dxa"/>
            <w:shd w:val="clear" w:color="auto" w:fill="auto"/>
          </w:tcPr>
          <w:p w14:paraId="3B57CAF0" w14:textId="15F325B5" w:rsidR="00BB41CB" w:rsidRPr="007F4D6F" w:rsidRDefault="00BB41CB" w:rsidP="00BB41CB">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56° reunión del Consejo de Ministros de Salud de Centroamérica y República Dominicana (COMISCA)</w:t>
            </w:r>
          </w:p>
        </w:tc>
        <w:tc>
          <w:tcPr>
            <w:tcW w:w="2410" w:type="dxa"/>
            <w:shd w:val="clear" w:color="auto" w:fill="auto"/>
          </w:tcPr>
          <w:p w14:paraId="32111BE0" w14:textId="2BFA4E46" w:rsidR="00BB41CB" w:rsidRPr="007F4D6F" w:rsidRDefault="00BB41CB" w:rsidP="00BB41CB">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El COMISCA da por aprobado el informe de gestión de la SE-COMISCA de enero a junio 2022. Se mantiene el respaldo para que la secretaría Ejecutiva del COMISCA suscriba los convenios de cooperación y memorándum de entendimiento con instancias del SICA, organismos internacionales y socias de la cooperación en concordancia con la resolución de COMISCA 13-2021 del 10 de diciembre del 2021. Los países pendientes del pago de cuotas regulares y de la Negociación Conjunta COMISCA se comprometen a dar seguimiento para el pago correspondiente lo más pronto posible. Se aprobó el Plan Estratégico de la Secretaría Ejecutiva del COMISCA 2022-2025. Instruir a la Secretaría Ejecutiva del COMISCA iniciar la implementación del referido Plan y a su vez, presentar avances de cumplimiento de resultados de forma periódica según corresponda hasta el año 2025. Dar por recibido el informe de la PPT por Panamá. Se aprobó el Sistema de Planificación, Monitoreo y Evaluación del PSCARD 2021-2025. Instruir al Comité Ejecutivo para la Implementación del Plan de Salud (CEIP), velar por la implementación del referido Sistema de Planificación, Monitoreo y Evaluación del PSCARD 2021-2025, en coordinación con las instancias técnicas operativas del COMISCA y la SE-COMISCA, a fin de garantizar el avance y cumplimiento del PSCARD 2021- 2025. Se aprobó el documento del Marco del Observatorio de Salud Mental de Centroamérica y República Dominicana e instruir al Grupo Técnico de Salud Mental (GTSM) y la SECOMISCA, la implementación </w:t>
            </w:r>
            <w:proofErr w:type="gramStart"/>
            <w:r w:rsidRPr="00414D59">
              <w:rPr>
                <w:rFonts w:ascii="Calibri" w:eastAsia="Times New Roman" w:hAnsi="Calibri" w:cs="Calibri"/>
                <w:sz w:val="20"/>
                <w:szCs w:val="20"/>
                <w:lang w:val="es-CR" w:eastAsia="es-CR"/>
              </w:rPr>
              <w:t>del mismo</w:t>
            </w:r>
            <w:proofErr w:type="gramEnd"/>
            <w:r w:rsidRPr="00414D59">
              <w:rPr>
                <w:rFonts w:ascii="Calibri" w:eastAsia="Times New Roman" w:hAnsi="Calibri" w:cs="Calibri"/>
                <w:sz w:val="20"/>
                <w:szCs w:val="20"/>
                <w:lang w:val="es-CR" w:eastAsia="es-CR"/>
              </w:rPr>
              <w:t xml:space="preserve">, con el apoyo de la OPS/OMS. Se aprobaron las recomendaciones derivadas del V Foro Intersectorial Regional para la Salud de Centroamérica y República Dominicana “Uniendo fuerzas por la salud mental”, relativas a 1. Fortalecer el área de salud mental, teniendo como ejes transversales: abogacía, promoción de la salud, investigación, fortalecimiento de competencias en el recurso humano, sistemas de información intersectorialidad, recurso financiero y participación comunitaria; 2. Implementar las siguientes estrategias para el abordaje de la salud mental, </w:t>
            </w:r>
            <w:proofErr w:type="spellStart"/>
            <w:r w:rsidRPr="00414D59">
              <w:rPr>
                <w:rFonts w:ascii="Calibri" w:eastAsia="Times New Roman" w:hAnsi="Calibri" w:cs="Calibri"/>
                <w:sz w:val="20"/>
                <w:szCs w:val="20"/>
                <w:lang w:val="es-CR" w:eastAsia="es-CR"/>
              </w:rPr>
              <w:t>mhGAP</w:t>
            </w:r>
            <w:proofErr w:type="spellEnd"/>
            <w:r w:rsidRPr="00414D59">
              <w:rPr>
                <w:rFonts w:ascii="Calibri" w:eastAsia="Times New Roman" w:hAnsi="Calibri" w:cs="Calibri"/>
                <w:sz w:val="20"/>
                <w:szCs w:val="20"/>
                <w:lang w:val="es-CR" w:eastAsia="es-CR"/>
              </w:rPr>
              <w:t xml:space="preserve">, primera ayuda psicológica, SMAPS; para prevención del consumo de alcohol y otras sustancias tal como SAFER, estrategias aplicadas en el curso de vida con énfasis en Primera Infancia y adolescentes, prevención y atención de intentos suicidas. Dar por cumplida la Resolución COMISCA 19-2019, y ampliar el alcance </w:t>
            </w:r>
            <w:proofErr w:type="gramStart"/>
            <w:r w:rsidRPr="00414D59">
              <w:rPr>
                <w:rFonts w:ascii="Calibri" w:eastAsia="Times New Roman" w:hAnsi="Calibri" w:cs="Calibri"/>
                <w:sz w:val="20"/>
                <w:szCs w:val="20"/>
                <w:lang w:val="es-CR" w:eastAsia="es-CR"/>
              </w:rPr>
              <w:t>de acuerdo al</w:t>
            </w:r>
            <w:proofErr w:type="gramEnd"/>
            <w:r w:rsidRPr="00414D59">
              <w:rPr>
                <w:rFonts w:ascii="Calibri" w:eastAsia="Times New Roman" w:hAnsi="Calibri" w:cs="Calibri"/>
                <w:sz w:val="20"/>
                <w:szCs w:val="20"/>
                <w:lang w:val="es-CR" w:eastAsia="es-CR"/>
              </w:rPr>
              <w:t xml:space="preserve"> Plan de Salud de Centroamérica y República Dominicana (PSCARD) 2021-2025, eje estratégico 4 “Capacidad de respuesta regional frente al cambio climático, emergencias sanitarias, desastres y procesos migratorios”, a fin de incluir el abordaje de la respuesta ante epidemias y emergencias sanitarias. Se reorientó la propuesta de “Mecanismos regional de respuesta ante las epidemias de </w:t>
            </w:r>
            <w:proofErr w:type="spellStart"/>
            <w:r w:rsidRPr="00414D59">
              <w:rPr>
                <w:rFonts w:ascii="Calibri" w:eastAsia="Times New Roman" w:hAnsi="Calibri" w:cs="Calibri"/>
                <w:sz w:val="20"/>
                <w:szCs w:val="20"/>
                <w:lang w:val="es-CR" w:eastAsia="es-CR"/>
              </w:rPr>
              <w:t>arbovirus</w:t>
            </w:r>
            <w:proofErr w:type="spellEnd"/>
            <w:r w:rsidRPr="00414D59">
              <w:rPr>
                <w:rFonts w:ascii="Calibri" w:eastAsia="Times New Roman" w:hAnsi="Calibri" w:cs="Calibri"/>
                <w:sz w:val="20"/>
                <w:szCs w:val="20"/>
                <w:lang w:val="es-CR" w:eastAsia="es-CR"/>
              </w:rPr>
              <w:t xml:space="preserve"> en el marco del fortalecimiento del Reglamento Sanitario Internacional a “Guía del mecanismo regional para la respuesta rápida ante emergencias sanitarias y multi amenazas de los estados miembros del SICA (MERRES) a fin de establecer una coordinación regional que permita movilizar cooperación de socios y facilitar cooperación horizontal en caso que se requiera una respuesta rápida en cualquier tipo de emergencia sanitaria y multiamenaza, con enfoque de una salud. Se aprobó la Estrategia para Prevención, Mitigación y Control de la Enfermedad Renal Crónica de origen no tradicional en Centroamérica y República Dominicana</w:t>
            </w:r>
            <w:r w:rsidRPr="00414D59">
              <w:rPr>
                <w:rFonts w:ascii="Calibri" w:eastAsia="Times New Roman" w:hAnsi="Calibri" w:cs="Calibri"/>
                <w:sz w:val="20"/>
                <w:szCs w:val="20"/>
                <w:lang w:val="es-CR" w:eastAsia="es-CR"/>
              </w:rPr>
              <w:br/>
              <w:t>2022-2025 e instruir a la Comisión Técnica de Crónicas y Cáncer (CTCC) y a la SE-COMISCA su implementación, con el apoyo de la OPS/OMS. Implementar las líneas estratégicas correspondientes a las acciones nacionales y regionales establecidas en la Estrategia. Instruir a la Comisión Técnica de Crónicas y Cáncer (CTCC)</w:t>
            </w:r>
            <w:r w:rsidRPr="00414D59">
              <w:rPr>
                <w:rFonts w:ascii="Calibri" w:eastAsia="Times New Roman" w:hAnsi="Calibri" w:cs="Calibri"/>
                <w:sz w:val="20"/>
                <w:szCs w:val="20"/>
                <w:lang w:val="es-CR" w:eastAsia="es-CR"/>
              </w:rPr>
              <w:br/>
              <w:t>a que, en coordinación con la SE-COMISCA y la OPS/OMS, realicen el monitoreo y la evaluación correspondiente de la Estrategia y, presentar los resultados de la referida evaluación, en el primer semestre del 2025. Se aprobó la hoja de ruta hacia la conducta responsable en investigación (CRI) y las decisiones informadas por</w:t>
            </w:r>
            <w:r w:rsidRPr="00414D59">
              <w:rPr>
                <w:rFonts w:ascii="Calibri" w:eastAsia="Times New Roman" w:hAnsi="Calibri" w:cs="Calibri"/>
                <w:sz w:val="20"/>
                <w:szCs w:val="20"/>
                <w:lang w:val="es-CR" w:eastAsia="es-CR"/>
              </w:rPr>
              <w:br/>
              <w:t>evidencia científica a través del desarrollo de capacidades para la conducción de investigación de forma ética y responsable, el análisis crítico y la gestión del conocimiento para la toma de decisiones en salud. Priorizar a lo interno de cada Estado Miembro del SICA, el desarrollo de los procedimientos de registro de ensayos clínicos realizados en el país, que cumpla con los estándares internacionales consensuados de la OMS, y el seguimiento a los indicadores para el fortalecimiento de los sistemas de ética de la investigación, comprometiéndonos a presentar avances en junio de 2023. Instruir a la Comisión Técnica de Investigación en Salud (CTIS) y la SE- COMISCA, con el apoyo técnico de OPS realicen monitoreo de los avances en la hoja de ruta hacia la conducta responsable en investigación (CRI) y las decisiones informadas por evidencia científica en la reunión ordinaria del COMISCA a realizarse en junio 2023. Se modificó el nombre de la Comisión Técnica de Investigación en Salud a Comisión Técnica de Investigación para la Salud, abreviándose siempre como CTIS. Instruir a la Comisión Técnica de Investigación para la Salud (CTIS), a que en coordinación con la SE-COMISCA actualicen su manual de Organización y Funcionamiento, priorizando los ajustes técnicos en sus objetivos y alcance, para impulsar el cumplimiento de la organización y gestión de la investigación en Centroamérica y República Dominicana en función de la actualización del paradigma de investigación para la salud. Se recibe autoevaluación de la Estrategia de Medicamentos y otras tecnologías sanitarias para Centroamérica y República Dominicana 2018-2021. Dar por recibido el Informe IREM y C19RM. Instruir a las instancias técnicas a lo interno de cada Ministerio y Secretaría de Salud de Centroamérica y República Dominicana para que, apliquen anualmente, la medición del gasto en VIH (MEGAS), presentando la información en el primer trimestre, fortaleciendo el análisis secundario de la información, que permita la toma de decisiones, asegurando el uso adecuado de los recursos disponibles, la movilización de recursos nacionales, el fortalecimiento de la inversión en VIH, para el cumplimiento de las metas con el objetivo de poner fin a la epidemia de VIH al 2030. Instruir al Mecanismo de Coordinación Regional (MCR) a que, en coordinación con ONUSIDA, brinden apoyo a las instancias técnicas nacionales para la elaboración de la medición del gasto en VIH.</w:t>
            </w:r>
          </w:p>
        </w:tc>
        <w:tc>
          <w:tcPr>
            <w:tcW w:w="1559" w:type="dxa"/>
            <w:shd w:val="clear" w:color="auto" w:fill="auto"/>
          </w:tcPr>
          <w:p w14:paraId="55672D2D" w14:textId="3ABE5738" w:rsidR="00BB41CB" w:rsidRPr="007F4D6F" w:rsidRDefault="00BB41CB" w:rsidP="00BB41CB">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Recursos propios de la funcionaria. </w:t>
            </w:r>
          </w:p>
        </w:tc>
        <w:tc>
          <w:tcPr>
            <w:tcW w:w="1466" w:type="dxa"/>
            <w:shd w:val="clear" w:color="auto" w:fill="auto"/>
          </w:tcPr>
          <w:p w14:paraId="723CF827" w14:textId="3324D9C9" w:rsidR="00BB41CB" w:rsidRPr="007F4D6F" w:rsidRDefault="00BB41CB" w:rsidP="00BB41CB">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No se dan viáticos institucionales.</w:t>
            </w:r>
          </w:p>
        </w:tc>
        <w:tc>
          <w:tcPr>
            <w:tcW w:w="1477" w:type="dxa"/>
            <w:shd w:val="clear" w:color="auto" w:fill="auto"/>
          </w:tcPr>
          <w:p w14:paraId="2808E415" w14:textId="77777777" w:rsidR="00BB41CB" w:rsidRPr="00502CAD" w:rsidRDefault="00BB41CB" w:rsidP="00BB41CB">
            <w:pPr>
              <w:spacing w:line="240" w:lineRule="auto"/>
              <w:rPr>
                <w:rFonts w:asciiTheme="minorHAnsi" w:eastAsia="Times New Roman" w:hAnsiTheme="minorHAnsi" w:cstheme="minorHAnsi"/>
                <w:sz w:val="20"/>
                <w:szCs w:val="20"/>
                <w:lang w:val="es-ES_tradnl" w:eastAsia="es-CR"/>
              </w:rPr>
            </w:pPr>
          </w:p>
        </w:tc>
      </w:tr>
      <w:tr w:rsidR="0082724C" w:rsidRPr="007F4D6F" w14:paraId="435CF721" w14:textId="77777777" w:rsidTr="0088308E">
        <w:trPr>
          <w:gridAfter w:val="1"/>
          <w:wAfter w:w="12" w:type="dxa"/>
          <w:trHeight w:val="50"/>
          <w:jc w:val="center"/>
        </w:trPr>
        <w:tc>
          <w:tcPr>
            <w:tcW w:w="1402" w:type="dxa"/>
            <w:shd w:val="clear" w:color="auto" w:fill="auto"/>
          </w:tcPr>
          <w:p w14:paraId="26390625" w14:textId="3C998BC7" w:rsidR="0082724C" w:rsidRPr="00414D59" w:rsidRDefault="0082724C" w:rsidP="0082724C">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Adrián Brenes Bolaños</w:t>
            </w:r>
          </w:p>
        </w:tc>
        <w:tc>
          <w:tcPr>
            <w:tcW w:w="1492" w:type="dxa"/>
            <w:shd w:val="clear" w:color="auto" w:fill="auto"/>
          </w:tcPr>
          <w:p w14:paraId="74AD893D" w14:textId="69941B8B" w:rsidR="0082724C" w:rsidRPr="007F4D6F" w:rsidRDefault="0082724C" w:rsidP="0082724C">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Dirección de Regulación de Productos de Interés Sanitario </w:t>
            </w:r>
          </w:p>
        </w:tc>
        <w:tc>
          <w:tcPr>
            <w:tcW w:w="1173" w:type="dxa"/>
            <w:shd w:val="clear" w:color="auto" w:fill="auto"/>
          </w:tcPr>
          <w:p w14:paraId="4076D428" w14:textId="7458C73A" w:rsidR="0082724C" w:rsidRPr="007F4D6F" w:rsidRDefault="0082724C" w:rsidP="0082724C">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9</w:t>
            </w:r>
            <w:r>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74" w:type="dxa"/>
            <w:shd w:val="clear" w:color="auto" w:fill="auto"/>
          </w:tcPr>
          <w:p w14:paraId="29B5EB0F" w14:textId="0609502F" w:rsidR="0082724C" w:rsidRPr="007F4D6F" w:rsidRDefault="0082724C" w:rsidP="0082724C">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10</w:t>
            </w:r>
            <w:r>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07" w:type="dxa"/>
            <w:shd w:val="clear" w:color="auto" w:fill="auto"/>
          </w:tcPr>
          <w:p w14:paraId="430760D6" w14:textId="1EC9792B" w:rsidR="0082724C" w:rsidRPr="007F4D6F" w:rsidRDefault="0082724C" w:rsidP="0082724C">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Nicaragua</w:t>
            </w:r>
          </w:p>
        </w:tc>
        <w:tc>
          <w:tcPr>
            <w:tcW w:w="1727" w:type="dxa"/>
            <w:shd w:val="clear" w:color="auto" w:fill="auto"/>
          </w:tcPr>
          <w:p w14:paraId="0D1AC909" w14:textId="323A1694" w:rsidR="0082724C" w:rsidRPr="007F4D6F" w:rsidRDefault="0082724C" w:rsidP="0082724C">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Fortalecimiento regulatorio de la región - seguimiento al mecanismo de evaluación conjunta</w:t>
            </w:r>
          </w:p>
        </w:tc>
        <w:tc>
          <w:tcPr>
            <w:tcW w:w="2410" w:type="dxa"/>
            <w:shd w:val="clear" w:color="auto" w:fill="auto"/>
          </w:tcPr>
          <w:p w14:paraId="579F2932" w14:textId="7980E8D4" w:rsidR="0082724C" w:rsidRPr="007F4D6F" w:rsidRDefault="0082724C" w:rsidP="0082724C">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No se generan acuerdos o compromisos. </w:t>
            </w:r>
          </w:p>
        </w:tc>
        <w:tc>
          <w:tcPr>
            <w:tcW w:w="1559" w:type="dxa"/>
            <w:shd w:val="clear" w:color="auto" w:fill="auto"/>
          </w:tcPr>
          <w:p w14:paraId="0FFC5595" w14:textId="27C3B0B7" w:rsidR="0082724C" w:rsidRPr="007F4D6F" w:rsidRDefault="0082724C" w:rsidP="0082724C">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Organización Panamericana de la Salud (OPS)</w:t>
            </w:r>
          </w:p>
        </w:tc>
        <w:tc>
          <w:tcPr>
            <w:tcW w:w="1466" w:type="dxa"/>
            <w:shd w:val="clear" w:color="auto" w:fill="auto"/>
          </w:tcPr>
          <w:p w14:paraId="5E6BF69D" w14:textId="195F14E7" w:rsidR="0082724C" w:rsidRPr="007F4D6F" w:rsidRDefault="0082724C" w:rsidP="0082724C">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No se dan viáticos institucionales.</w:t>
            </w:r>
          </w:p>
        </w:tc>
        <w:tc>
          <w:tcPr>
            <w:tcW w:w="1477" w:type="dxa"/>
            <w:shd w:val="clear" w:color="auto" w:fill="auto"/>
          </w:tcPr>
          <w:p w14:paraId="6EE0DBCB" w14:textId="77777777" w:rsidR="0082724C" w:rsidRPr="00502CAD" w:rsidRDefault="0082724C" w:rsidP="0082724C">
            <w:pPr>
              <w:spacing w:line="240" w:lineRule="auto"/>
              <w:rPr>
                <w:rFonts w:asciiTheme="minorHAnsi" w:eastAsia="Times New Roman" w:hAnsiTheme="minorHAnsi" w:cstheme="minorHAnsi"/>
                <w:sz w:val="20"/>
                <w:szCs w:val="20"/>
                <w:lang w:val="es-ES_tradnl" w:eastAsia="es-CR"/>
              </w:rPr>
            </w:pPr>
          </w:p>
        </w:tc>
      </w:tr>
      <w:tr w:rsidR="0082724C" w:rsidRPr="007F4D6F" w14:paraId="509BE3FB" w14:textId="77777777" w:rsidTr="0088308E">
        <w:trPr>
          <w:gridAfter w:val="1"/>
          <w:wAfter w:w="12" w:type="dxa"/>
          <w:trHeight w:val="50"/>
          <w:jc w:val="center"/>
        </w:trPr>
        <w:tc>
          <w:tcPr>
            <w:tcW w:w="1402" w:type="dxa"/>
            <w:shd w:val="clear" w:color="auto" w:fill="auto"/>
          </w:tcPr>
          <w:p w14:paraId="3D462358" w14:textId="61710EA4" w:rsidR="0082724C" w:rsidRPr="00414D59" w:rsidRDefault="0082724C" w:rsidP="0082724C">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Julieta Cambronero Mora</w:t>
            </w:r>
          </w:p>
        </w:tc>
        <w:tc>
          <w:tcPr>
            <w:tcW w:w="1492" w:type="dxa"/>
            <w:shd w:val="clear" w:color="auto" w:fill="auto"/>
          </w:tcPr>
          <w:p w14:paraId="46C6C634" w14:textId="494B8CB5" w:rsidR="0082724C" w:rsidRPr="007F4D6F" w:rsidRDefault="0082724C" w:rsidP="0082724C">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Dirección de Regulación de Productos de Interés Sanitario </w:t>
            </w:r>
          </w:p>
        </w:tc>
        <w:tc>
          <w:tcPr>
            <w:tcW w:w="1173" w:type="dxa"/>
            <w:shd w:val="clear" w:color="auto" w:fill="auto"/>
          </w:tcPr>
          <w:p w14:paraId="52AE8D8F" w14:textId="693CFF93" w:rsidR="0082724C" w:rsidRPr="007F4D6F" w:rsidRDefault="0082724C" w:rsidP="0082724C">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9</w:t>
            </w:r>
            <w:r>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74" w:type="dxa"/>
            <w:shd w:val="clear" w:color="auto" w:fill="auto"/>
          </w:tcPr>
          <w:p w14:paraId="0D798A88" w14:textId="13E3AFEC" w:rsidR="0082724C" w:rsidRPr="007F4D6F" w:rsidRDefault="0082724C" w:rsidP="0082724C">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10</w:t>
            </w:r>
            <w:r>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07" w:type="dxa"/>
            <w:shd w:val="clear" w:color="auto" w:fill="auto"/>
          </w:tcPr>
          <w:p w14:paraId="0AC4463F" w14:textId="317A3DE9" w:rsidR="0082724C" w:rsidRPr="007F4D6F" w:rsidRDefault="0082724C" w:rsidP="0082724C">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Nicaragua</w:t>
            </w:r>
          </w:p>
        </w:tc>
        <w:tc>
          <w:tcPr>
            <w:tcW w:w="1727" w:type="dxa"/>
            <w:shd w:val="clear" w:color="auto" w:fill="auto"/>
          </w:tcPr>
          <w:p w14:paraId="26C79343" w14:textId="39A5D7AE" w:rsidR="0082724C" w:rsidRPr="007F4D6F" w:rsidRDefault="0082724C" w:rsidP="0082724C">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Fortalecimiento regulatorio de la región - seguimiento al mecanismo de evaluación conjunta</w:t>
            </w:r>
          </w:p>
        </w:tc>
        <w:tc>
          <w:tcPr>
            <w:tcW w:w="2410" w:type="dxa"/>
            <w:shd w:val="clear" w:color="auto" w:fill="auto"/>
          </w:tcPr>
          <w:p w14:paraId="516949E8" w14:textId="2A50055B" w:rsidR="0082724C" w:rsidRPr="007F4D6F" w:rsidRDefault="0082724C" w:rsidP="0082724C">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No se generan acuerdos o compromisos. </w:t>
            </w:r>
          </w:p>
        </w:tc>
        <w:tc>
          <w:tcPr>
            <w:tcW w:w="1559" w:type="dxa"/>
            <w:shd w:val="clear" w:color="auto" w:fill="auto"/>
          </w:tcPr>
          <w:p w14:paraId="4F451795" w14:textId="6FB1B323" w:rsidR="0082724C" w:rsidRPr="007F4D6F" w:rsidRDefault="0082724C" w:rsidP="0082724C">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Organización Panamericana de la Salud (OPS)</w:t>
            </w:r>
          </w:p>
        </w:tc>
        <w:tc>
          <w:tcPr>
            <w:tcW w:w="1466" w:type="dxa"/>
            <w:shd w:val="clear" w:color="auto" w:fill="auto"/>
          </w:tcPr>
          <w:p w14:paraId="28A681DA" w14:textId="0F324206" w:rsidR="0082724C" w:rsidRPr="007F4D6F" w:rsidRDefault="0082724C" w:rsidP="0082724C">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No se dan viáticos institucionales.</w:t>
            </w:r>
          </w:p>
        </w:tc>
        <w:tc>
          <w:tcPr>
            <w:tcW w:w="1477" w:type="dxa"/>
            <w:shd w:val="clear" w:color="auto" w:fill="auto"/>
          </w:tcPr>
          <w:p w14:paraId="16D0500E" w14:textId="77777777" w:rsidR="0082724C" w:rsidRPr="00502CAD" w:rsidRDefault="0082724C" w:rsidP="0082724C">
            <w:pPr>
              <w:spacing w:line="240" w:lineRule="auto"/>
              <w:rPr>
                <w:rFonts w:asciiTheme="minorHAnsi" w:eastAsia="Times New Roman" w:hAnsiTheme="minorHAnsi" w:cstheme="minorHAnsi"/>
                <w:sz w:val="20"/>
                <w:szCs w:val="20"/>
                <w:lang w:val="es-ES_tradnl" w:eastAsia="es-CR"/>
              </w:rPr>
            </w:pPr>
          </w:p>
        </w:tc>
      </w:tr>
      <w:tr w:rsidR="00667EB2" w:rsidRPr="007F4D6F" w14:paraId="22D1C59F" w14:textId="77777777" w:rsidTr="0088308E">
        <w:trPr>
          <w:gridAfter w:val="1"/>
          <w:wAfter w:w="12" w:type="dxa"/>
          <w:trHeight w:val="50"/>
          <w:jc w:val="center"/>
        </w:trPr>
        <w:tc>
          <w:tcPr>
            <w:tcW w:w="1402" w:type="dxa"/>
            <w:shd w:val="clear" w:color="auto" w:fill="auto"/>
          </w:tcPr>
          <w:p w14:paraId="0785E52F" w14:textId="5AEA310D" w:rsidR="00667EB2" w:rsidRPr="00414D59"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Adriana Salazar González</w:t>
            </w:r>
          </w:p>
        </w:tc>
        <w:tc>
          <w:tcPr>
            <w:tcW w:w="1492" w:type="dxa"/>
            <w:shd w:val="clear" w:color="auto" w:fill="auto"/>
          </w:tcPr>
          <w:p w14:paraId="36B5FD1D" w14:textId="65689404"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Unidad de Relaciones Internacionales </w:t>
            </w:r>
          </w:p>
        </w:tc>
        <w:tc>
          <w:tcPr>
            <w:tcW w:w="1173" w:type="dxa"/>
            <w:shd w:val="clear" w:color="auto" w:fill="auto"/>
          </w:tcPr>
          <w:p w14:paraId="7EBC0E7C" w14:textId="0C60698E"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20</w:t>
            </w:r>
            <w:r w:rsidR="0082724C">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sidR="0082724C">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74" w:type="dxa"/>
            <w:shd w:val="clear" w:color="auto" w:fill="auto"/>
          </w:tcPr>
          <w:p w14:paraId="0F8499CB" w14:textId="5398E08A"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24</w:t>
            </w:r>
            <w:r w:rsidR="0082724C">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sidR="0082724C">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07" w:type="dxa"/>
            <w:shd w:val="clear" w:color="auto" w:fill="auto"/>
          </w:tcPr>
          <w:p w14:paraId="6D0CC634" w14:textId="66D18C7B"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EE.UU.</w:t>
            </w:r>
          </w:p>
        </w:tc>
        <w:tc>
          <w:tcPr>
            <w:tcW w:w="1727" w:type="dxa"/>
            <w:shd w:val="clear" w:color="auto" w:fill="auto"/>
          </w:tcPr>
          <w:p w14:paraId="1E1CA158" w14:textId="10073BD4"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170° Comité Ejecutivo </w:t>
            </w:r>
          </w:p>
        </w:tc>
        <w:tc>
          <w:tcPr>
            <w:tcW w:w="2410" w:type="dxa"/>
            <w:shd w:val="clear" w:color="auto" w:fill="auto"/>
          </w:tcPr>
          <w:p w14:paraId="4B666889" w14:textId="008EF223"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Hacer de conocimiento de las autoridades y las instancias técnicas las discusiones que tuvieron lugar durante el Comité Ejecutivo con miras a la realización de la 30° Conferencia Sanitaria Panamericana. </w:t>
            </w:r>
          </w:p>
        </w:tc>
        <w:tc>
          <w:tcPr>
            <w:tcW w:w="1559" w:type="dxa"/>
            <w:shd w:val="clear" w:color="auto" w:fill="auto"/>
          </w:tcPr>
          <w:p w14:paraId="32C5391F" w14:textId="161BA0D8"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Organización Panamericana de la Salud (OPS)</w:t>
            </w:r>
          </w:p>
        </w:tc>
        <w:tc>
          <w:tcPr>
            <w:tcW w:w="1466" w:type="dxa"/>
            <w:shd w:val="clear" w:color="auto" w:fill="auto"/>
          </w:tcPr>
          <w:p w14:paraId="532D1C93" w14:textId="3CF64EF1"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No se dan viáticos institucionales.</w:t>
            </w:r>
          </w:p>
        </w:tc>
        <w:tc>
          <w:tcPr>
            <w:tcW w:w="1477" w:type="dxa"/>
            <w:shd w:val="clear" w:color="auto" w:fill="auto"/>
          </w:tcPr>
          <w:p w14:paraId="04AE03BB" w14:textId="77777777" w:rsidR="00667EB2" w:rsidRPr="00502CAD" w:rsidRDefault="00667EB2" w:rsidP="00667EB2">
            <w:pPr>
              <w:spacing w:line="240" w:lineRule="auto"/>
              <w:rPr>
                <w:rFonts w:asciiTheme="minorHAnsi" w:eastAsia="Times New Roman" w:hAnsiTheme="minorHAnsi" w:cstheme="minorHAnsi"/>
                <w:sz w:val="20"/>
                <w:szCs w:val="20"/>
                <w:lang w:val="es-ES_tradnl" w:eastAsia="es-CR"/>
              </w:rPr>
            </w:pPr>
          </w:p>
        </w:tc>
      </w:tr>
      <w:tr w:rsidR="00667EB2" w:rsidRPr="007F4D6F" w14:paraId="7F9F6FD6" w14:textId="77777777" w:rsidTr="0088308E">
        <w:trPr>
          <w:gridAfter w:val="1"/>
          <w:wAfter w:w="12" w:type="dxa"/>
          <w:trHeight w:val="50"/>
          <w:jc w:val="center"/>
        </w:trPr>
        <w:tc>
          <w:tcPr>
            <w:tcW w:w="1402" w:type="dxa"/>
            <w:shd w:val="clear" w:color="auto" w:fill="auto"/>
          </w:tcPr>
          <w:p w14:paraId="64973070" w14:textId="06EBCC16" w:rsidR="00667EB2" w:rsidRPr="00414D59"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Jeniffere Ugalde Monge</w:t>
            </w:r>
          </w:p>
        </w:tc>
        <w:tc>
          <w:tcPr>
            <w:tcW w:w="1492" w:type="dxa"/>
            <w:shd w:val="clear" w:color="auto" w:fill="auto"/>
          </w:tcPr>
          <w:p w14:paraId="172A2410" w14:textId="1F011148"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Unidad de Relaciones Internacionales </w:t>
            </w:r>
          </w:p>
        </w:tc>
        <w:tc>
          <w:tcPr>
            <w:tcW w:w="1173" w:type="dxa"/>
            <w:shd w:val="clear" w:color="auto" w:fill="auto"/>
          </w:tcPr>
          <w:p w14:paraId="46B63874" w14:textId="39E598ED"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27</w:t>
            </w:r>
            <w:r w:rsidR="00243245">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sidR="00243245">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74" w:type="dxa"/>
            <w:shd w:val="clear" w:color="auto" w:fill="auto"/>
          </w:tcPr>
          <w:p w14:paraId="57A08E49" w14:textId="7B0EEBEE"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30</w:t>
            </w:r>
            <w:r w:rsidR="00243245">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sidR="00243245">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07" w:type="dxa"/>
            <w:shd w:val="clear" w:color="auto" w:fill="auto"/>
          </w:tcPr>
          <w:p w14:paraId="457F5FAF" w14:textId="713E6795"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Austria</w:t>
            </w:r>
          </w:p>
        </w:tc>
        <w:tc>
          <w:tcPr>
            <w:tcW w:w="1727" w:type="dxa"/>
            <w:shd w:val="clear" w:color="auto" w:fill="auto"/>
          </w:tcPr>
          <w:p w14:paraId="42869C42" w14:textId="0218B093"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Taller sobre el Desarrollo de Infraestructura de Reglamentación en materia de Seguridad Radiológica y Seguridad Física del Material Radiactivo</w:t>
            </w:r>
          </w:p>
        </w:tc>
        <w:tc>
          <w:tcPr>
            <w:tcW w:w="2410" w:type="dxa"/>
            <w:shd w:val="clear" w:color="auto" w:fill="auto"/>
          </w:tcPr>
          <w:p w14:paraId="41256818" w14:textId="083AAB2E"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Dar seguimiento a todas las actividades del Plan de Trabajo durante los 2 años que se extendió el proyecto. </w:t>
            </w:r>
          </w:p>
        </w:tc>
        <w:tc>
          <w:tcPr>
            <w:tcW w:w="1559" w:type="dxa"/>
            <w:shd w:val="clear" w:color="auto" w:fill="auto"/>
          </w:tcPr>
          <w:p w14:paraId="53172B92" w14:textId="503F5089"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Organismo Internacional de Energía Atómica (OIEA)</w:t>
            </w:r>
          </w:p>
        </w:tc>
        <w:tc>
          <w:tcPr>
            <w:tcW w:w="1466" w:type="dxa"/>
            <w:shd w:val="clear" w:color="auto" w:fill="auto"/>
          </w:tcPr>
          <w:p w14:paraId="3AEF6B7D" w14:textId="28018192" w:rsidR="00667EB2" w:rsidRPr="007F4D6F" w:rsidRDefault="00667EB2" w:rsidP="00667EB2">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No se dan viáticos institucionales.</w:t>
            </w:r>
          </w:p>
        </w:tc>
        <w:tc>
          <w:tcPr>
            <w:tcW w:w="1477" w:type="dxa"/>
            <w:shd w:val="clear" w:color="auto" w:fill="auto"/>
          </w:tcPr>
          <w:p w14:paraId="0DFB6006" w14:textId="77777777" w:rsidR="00667EB2" w:rsidRPr="00502CAD" w:rsidRDefault="00667EB2" w:rsidP="00667EB2">
            <w:pPr>
              <w:spacing w:line="240" w:lineRule="auto"/>
              <w:rPr>
                <w:rFonts w:asciiTheme="minorHAnsi" w:eastAsia="Times New Roman" w:hAnsiTheme="minorHAnsi" w:cstheme="minorHAnsi"/>
                <w:sz w:val="20"/>
                <w:szCs w:val="20"/>
                <w:lang w:val="es-ES_tradnl" w:eastAsia="es-CR"/>
              </w:rPr>
            </w:pPr>
          </w:p>
        </w:tc>
      </w:tr>
      <w:tr w:rsidR="00243245" w:rsidRPr="007F4D6F" w14:paraId="7BDFA7E9" w14:textId="77777777" w:rsidTr="0088308E">
        <w:trPr>
          <w:gridAfter w:val="1"/>
          <w:wAfter w:w="12" w:type="dxa"/>
          <w:trHeight w:val="50"/>
          <w:jc w:val="center"/>
        </w:trPr>
        <w:tc>
          <w:tcPr>
            <w:tcW w:w="1402" w:type="dxa"/>
            <w:shd w:val="clear" w:color="auto" w:fill="auto"/>
          </w:tcPr>
          <w:p w14:paraId="229264A6" w14:textId="4DC5CAE5" w:rsidR="00243245" w:rsidRPr="00414D59" w:rsidRDefault="00243245" w:rsidP="00243245">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Ana Villalobos </w:t>
            </w:r>
            <w:proofErr w:type="spellStart"/>
            <w:r w:rsidRPr="00414D59">
              <w:rPr>
                <w:rFonts w:ascii="Calibri" w:eastAsia="Times New Roman" w:hAnsi="Calibri" w:cs="Calibri"/>
                <w:sz w:val="20"/>
                <w:szCs w:val="20"/>
                <w:lang w:val="es-CR" w:eastAsia="es-CR"/>
              </w:rPr>
              <w:t>Villalobos</w:t>
            </w:r>
            <w:proofErr w:type="spellEnd"/>
          </w:p>
        </w:tc>
        <w:tc>
          <w:tcPr>
            <w:tcW w:w="1492" w:type="dxa"/>
            <w:shd w:val="clear" w:color="auto" w:fill="auto"/>
          </w:tcPr>
          <w:p w14:paraId="652BEA2D" w14:textId="38059317" w:rsidR="00243245" w:rsidRPr="007F4D6F" w:rsidRDefault="00243245" w:rsidP="00243245">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Dirección de Protección Radiológica y Salud Ambiental</w:t>
            </w:r>
          </w:p>
        </w:tc>
        <w:tc>
          <w:tcPr>
            <w:tcW w:w="1173" w:type="dxa"/>
            <w:shd w:val="clear" w:color="auto" w:fill="auto"/>
          </w:tcPr>
          <w:p w14:paraId="60C3B130" w14:textId="737C27DB" w:rsidR="00243245" w:rsidRPr="007F4D6F" w:rsidRDefault="00243245" w:rsidP="00243245">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27</w:t>
            </w:r>
            <w:r>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74" w:type="dxa"/>
            <w:shd w:val="clear" w:color="auto" w:fill="auto"/>
          </w:tcPr>
          <w:p w14:paraId="4E716D68" w14:textId="34BEC650" w:rsidR="00243245" w:rsidRPr="007F4D6F" w:rsidRDefault="00243245" w:rsidP="00243245">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30</w:t>
            </w:r>
            <w:r>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07" w:type="dxa"/>
            <w:shd w:val="clear" w:color="auto" w:fill="auto"/>
          </w:tcPr>
          <w:p w14:paraId="707F08FE" w14:textId="7370AB71" w:rsidR="00243245" w:rsidRPr="007F4D6F" w:rsidRDefault="00243245" w:rsidP="00243245">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Austria</w:t>
            </w:r>
          </w:p>
        </w:tc>
        <w:tc>
          <w:tcPr>
            <w:tcW w:w="1727" w:type="dxa"/>
            <w:shd w:val="clear" w:color="auto" w:fill="auto"/>
          </w:tcPr>
          <w:p w14:paraId="5488ECC9" w14:textId="446E161F" w:rsidR="00243245" w:rsidRPr="007F4D6F" w:rsidRDefault="00243245" w:rsidP="00243245">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Taller sobre el Desarrollo de Infraestructura de Reglamentación en materia de Seguridad Radiológica y Seguridad Física del Material Radiactivo</w:t>
            </w:r>
          </w:p>
        </w:tc>
        <w:tc>
          <w:tcPr>
            <w:tcW w:w="2410" w:type="dxa"/>
            <w:shd w:val="clear" w:color="auto" w:fill="auto"/>
          </w:tcPr>
          <w:p w14:paraId="23F0C63E" w14:textId="4E5377B5" w:rsidR="00243245" w:rsidRPr="007F4D6F" w:rsidRDefault="00243245" w:rsidP="00243245">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No se generan acuerdos o compromisos. </w:t>
            </w:r>
          </w:p>
        </w:tc>
        <w:tc>
          <w:tcPr>
            <w:tcW w:w="1559" w:type="dxa"/>
            <w:shd w:val="clear" w:color="auto" w:fill="auto"/>
          </w:tcPr>
          <w:p w14:paraId="66F20F97" w14:textId="5CD483CC" w:rsidR="00243245" w:rsidRPr="007F4D6F" w:rsidRDefault="00243245" w:rsidP="00243245">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Organismo Internacional de Energía Atómica (OIEA)</w:t>
            </w:r>
          </w:p>
        </w:tc>
        <w:tc>
          <w:tcPr>
            <w:tcW w:w="1466" w:type="dxa"/>
            <w:shd w:val="clear" w:color="auto" w:fill="auto"/>
          </w:tcPr>
          <w:p w14:paraId="6F4CF03D" w14:textId="5FD10711" w:rsidR="00243245" w:rsidRPr="007F4D6F" w:rsidRDefault="00243245" w:rsidP="00243245">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No se dan viáticos institucionales.</w:t>
            </w:r>
          </w:p>
        </w:tc>
        <w:tc>
          <w:tcPr>
            <w:tcW w:w="1477" w:type="dxa"/>
            <w:shd w:val="clear" w:color="auto" w:fill="auto"/>
          </w:tcPr>
          <w:p w14:paraId="75A952F0" w14:textId="77777777" w:rsidR="00243245" w:rsidRPr="00502CAD" w:rsidRDefault="00243245" w:rsidP="00243245">
            <w:pPr>
              <w:spacing w:line="240" w:lineRule="auto"/>
              <w:rPr>
                <w:rFonts w:asciiTheme="minorHAnsi" w:eastAsia="Times New Roman" w:hAnsiTheme="minorHAnsi" w:cstheme="minorHAnsi"/>
                <w:sz w:val="20"/>
                <w:szCs w:val="20"/>
                <w:lang w:val="es-ES_tradnl" w:eastAsia="es-CR"/>
              </w:rPr>
            </w:pPr>
          </w:p>
        </w:tc>
      </w:tr>
      <w:tr w:rsidR="00243245" w:rsidRPr="007F4D6F" w14:paraId="4A68186A" w14:textId="77777777" w:rsidTr="0088308E">
        <w:trPr>
          <w:gridAfter w:val="1"/>
          <w:wAfter w:w="12" w:type="dxa"/>
          <w:trHeight w:val="50"/>
          <w:jc w:val="center"/>
        </w:trPr>
        <w:tc>
          <w:tcPr>
            <w:tcW w:w="1402" w:type="dxa"/>
            <w:shd w:val="clear" w:color="auto" w:fill="auto"/>
          </w:tcPr>
          <w:p w14:paraId="4E39970C" w14:textId="7324296D" w:rsidR="00243245" w:rsidRPr="00414D59" w:rsidRDefault="00243245" w:rsidP="00243245">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Eduardo Ramírez </w:t>
            </w:r>
            <w:proofErr w:type="spellStart"/>
            <w:r w:rsidRPr="00414D59">
              <w:rPr>
                <w:rFonts w:ascii="Calibri" w:eastAsia="Times New Roman" w:hAnsi="Calibri" w:cs="Calibri"/>
                <w:sz w:val="20"/>
                <w:szCs w:val="20"/>
                <w:lang w:val="es-CR" w:eastAsia="es-CR"/>
              </w:rPr>
              <w:t>Cover</w:t>
            </w:r>
            <w:proofErr w:type="spellEnd"/>
          </w:p>
        </w:tc>
        <w:tc>
          <w:tcPr>
            <w:tcW w:w="1492" w:type="dxa"/>
            <w:shd w:val="clear" w:color="auto" w:fill="auto"/>
          </w:tcPr>
          <w:p w14:paraId="12647583" w14:textId="4D563029" w:rsidR="00243245" w:rsidRPr="007F4D6F" w:rsidRDefault="00243245" w:rsidP="00243245">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Dirección de Protección Radiológica y Salud Ambiental</w:t>
            </w:r>
          </w:p>
        </w:tc>
        <w:tc>
          <w:tcPr>
            <w:tcW w:w="1173" w:type="dxa"/>
            <w:shd w:val="clear" w:color="auto" w:fill="auto"/>
          </w:tcPr>
          <w:p w14:paraId="32FCE760" w14:textId="50ECF157" w:rsidR="00243245" w:rsidRPr="007F4D6F" w:rsidRDefault="00243245" w:rsidP="00243245">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28</w:t>
            </w:r>
            <w:r w:rsidR="007C269E">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sidR="007C269E">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74" w:type="dxa"/>
            <w:shd w:val="clear" w:color="auto" w:fill="auto"/>
          </w:tcPr>
          <w:p w14:paraId="2B451DFA" w14:textId="639585C5" w:rsidR="00243245" w:rsidRPr="007F4D6F" w:rsidRDefault="00243245" w:rsidP="00243245">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30</w:t>
            </w:r>
            <w:r>
              <w:rPr>
                <w:rFonts w:ascii="Calibri" w:eastAsia="Times New Roman" w:hAnsi="Calibri" w:cs="Calibri"/>
                <w:sz w:val="20"/>
                <w:szCs w:val="20"/>
                <w:lang w:val="es-CR" w:eastAsia="es-CR"/>
              </w:rPr>
              <w:t xml:space="preserve"> de </w:t>
            </w:r>
            <w:r w:rsidRPr="00414D59">
              <w:rPr>
                <w:rFonts w:ascii="Calibri" w:eastAsia="Times New Roman" w:hAnsi="Calibri" w:cs="Calibri"/>
                <w:sz w:val="20"/>
                <w:szCs w:val="20"/>
                <w:lang w:val="es-CR" w:eastAsia="es-CR"/>
              </w:rPr>
              <w:t>jun</w:t>
            </w:r>
            <w:r>
              <w:rPr>
                <w:rFonts w:ascii="Calibri" w:eastAsia="Times New Roman" w:hAnsi="Calibri" w:cs="Calibri"/>
                <w:sz w:val="20"/>
                <w:szCs w:val="20"/>
                <w:lang w:val="es-CR" w:eastAsia="es-CR"/>
              </w:rPr>
              <w:t>io de 20</w:t>
            </w:r>
            <w:r w:rsidRPr="00414D59">
              <w:rPr>
                <w:rFonts w:ascii="Calibri" w:eastAsia="Times New Roman" w:hAnsi="Calibri" w:cs="Calibri"/>
                <w:sz w:val="20"/>
                <w:szCs w:val="20"/>
                <w:lang w:val="es-CR" w:eastAsia="es-CR"/>
              </w:rPr>
              <w:t>22</w:t>
            </w:r>
          </w:p>
        </w:tc>
        <w:tc>
          <w:tcPr>
            <w:tcW w:w="1107" w:type="dxa"/>
            <w:shd w:val="clear" w:color="auto" w:fill="auto"/>
          </w:tcPr>
          <w:p w14:paraId="159BB9F8" w14:textId="63B576B3" w:rsidR="00243245" w:rsidRPr="007F4D6F" w:rsidRDefault="00243245" w:rsidP="00243245">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Panamá</w:t>
            </w:r>
          </w:p>
        </w:tc>
        <w:tc>
          <w:tcPr>
            <w:tcW w:w="1727" w:type="dxa"/>
            <w:shd w:val="clear" w:color="auto" w:fill="auto"/>
          </w:tcPr>
          <w:p w14:paraId="123A10C6" w14:textId="4397A4F1" w:rsidR="00243245" w:rsidRPr="007F4D6F" w:rsidRDefault="00243245" w:rsidP="00243245">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Taller Regional sobre Intercambio y Coordinación de Información en materia de Seguridad Física</w:t>
            </w:r>
            <w:r w:rsidRPr="00414D59">
              <w:rPr>
                <w:rFonts w:ascii="Calibri" w:eastAsia="Times New Roman" w:hAnsi="Calibri" w:cs="Calibri"/>
                <w:sz w:val="20"/>
                <w:szCs w:val="20"/>
                <w:lang w:val="es-CR" w:eastAsia="es-CR"/>
              </w:rPr>
              <w:br/>
              <w:t>Nuclear</w:t>
            </w:r>
          </w:p>
        </w:tc>
        <w:tc>
          <w:tcPr>
            <w:tcW w:w="2410" w:type="dxa"/>
            <w:shd w:val="clear" w:color="auto" w:fill="auto"/>
          </w:tcPr>
          <w:p w14:paraId="58A23FD0" w14:textId="2B9F8B51" w:rsidR="00243245" w:rsidRPr="007F4D6F" w:rsidRDefault="00243245" w:rsidP="00243245">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 xml:space="preserve">No se generan acuerdos o compromisos. </w:t>
            </w:r>
          </w:p>
        </w:tc>
        <w:tc>
          <w:tcPr>
            <w:tcW w:w="1559" w:type="dxa"/>
            <w:shd w:val="clear" w:color="auto" w:fill="auto"/>
          </w:tcPr>
          <w:p w14:paraId="6376FE21" w14:textId="71090ED5" w:rsidR="00243245" w:rsidRPr="007F4D6F" w:rsidRDefault="00243245" w:rsidP="00243245">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Organismo Internacional de Energía Atómica (OIEA)</w:t>
            </w:r>
          </w:p>
        </w:tc>
        <w:tc>
          <w:tcPr>
            <w:tcW w:w="1466" w:type="dxa"/>
            <w:shd w:val="clear" w:color="auto" w:fill="auto"/>
          </w:tcPr>
          <w:p w14:paraId="67002395" w14:textId="038B04A8" w:rsidR="00243245" w:rsidRPr="007F4D6F" w:rsidRDefault="00243245" w:rsidP="00243245">
            <w:pPr>
              <w:spacing w:line="240" w:lineRule="auto"/>
              <w:rPr>
                <w:rFonts w:asciiTheme="minorHAnsi" w:eastAsia="Times New Roman" w:hAnsiTheme="minorHAnsi" w:cstheme="minorHAnsi"/>
                <w:sz w:val="20"/>
                <w:szCs w:val="20"/>
                <w:lang w:val="es-ES_tradnl" w:eastAsia="es-CR"/>
              </w:rPr>
            </w:pPr>
            <w:r w:rsidRPr="00414D59">
              <w:rPr>
                <w:rFonts w:ascii="Calibri" w:eastAsia="Times New Roman" w:hAnsi="Calibri" w:cs="Calibri"/>
                <w:sz w:val="20"/>
                <w:szCs w:val="20"/>
                <w:lang w:val="es-CR" w:eastAsia="es-CR"/>
              </w:rPr>
              <w:t>No se dan viáticos institucionales.</w:t>
            </w:r>
          </w:p>
        </w:tc>
        <w:tc>
          <w:tcPr>
            <w:tcW w:w="1477" w:type="dxa"/>
            <w:shd w:val="clear" w:color="auto" w:fill="auto"/>
          </w:tcPr>
          <w:p w14:paraId="0B62050A" w14:textId="77777777" w:rsidR="00243245" w:rsidRPr="00502CAD" w:rsidRDefault="00243245" w:rsidP="00243245">
            <w:pPr>
              <w:spacing w:line="240" w:lineRule="auto"/>
              <w:rPr>
                <w:rFonts w:asciiTheme="minorHAnsi" w:eastAsia="Times New Roman" w:hAnsiTheme="minorHAnsi" w:cstheme="minorHAnsi"/>
                <w:sz w:val="20"/>
                <w:szCs w:val="20"/>
                <w:lang w:val="es-ES_tradnl" w:eastAsia="es-CR"/>
              </w:rPr>
            </w:pPr>
          </w:p>
        </w:tc>
      </w:tr>
      <w:tr w:rsidR="00667EB2" w:rsidRPr="007F4D6F" w14:paraId="794C6467" w14:textId="77777777" w:rsidTr="00015633">
        <w:trPr>
          <w:trHeight w:val="50"/>
          <w:jc w:val="center"/>
        </w:trPr>
        <w:tc>
          <w:tcPr>
            <w:tcW w:w="14999" w:type="dxa"/>
            <w:gridSpan w:val="11"/>
            <w:shd w:val="clear" w:color="auto" w:fill="2F5496" w:themeFill="accent1" w:themeFillShade="BF"/>
          </w:tcPr>
          <w:p w14:paraId="3C21D746" w14:textId="77777777" w:rsidR="00667EB2" w:rsidRPr="007F4D6F" w:rsidRDefault="00667EB2" w:rsidP="00667EB2">
            <w:pPr>
              <w:spacing w:line="240" w:lineRule="auto"/>
              <w:jc w:val="center"/>
              <w:rPr>
                <w:rFonts w:asciiTheme="minorHAnsi" w:eastAsia="Times New Roman" w:hAnsiTheme="minorHAnsi" w:cstheme="minorHAnsi"/>
                <w:b/>
                <w:bCs/>
                <w:color w:val="FFFFFF" w:themeColor="background1"/>
                <w:sz w:val="20"/>
                <w:szCs w:val="20"/>
                <w:lang w:val="es-ES_tradnl" w:eastAsia="es-CR"/>
              </w:rPr>
            </w:pPr>
            <w:r w:rsidRPr="007F4D6F">
              <w:rPr>
                <w:rFonts w:asciiTheme="minorHAnsi" w:eastAsia="Times New Roman" w:hAnsiTheme="minorHAnsi" w:cstheme="minorHAnsi"/>
                <w:b/>
                <w:bCs/>
                <w:color w:val="FFFFFF" w:themeColor="background1"/>
                <w:sz w:val="20"/>
                <w:szCs w:val="20"/>
                <w:lang w:val="es-ES_tradnl" w:eastAsia="es-CR"/>
              </w:rPr>
              <w:t>Última línea</w:t>
            </w:r>
          </w:p>
        </w:tc>
      </w:tr>
    </w:tbl>
    <w:p w14:paraId="02B4CAAB" w14:textId="77777777" w:rsidR="00414D59" w:rsidRPr="007F4D6F" w:rsidRDefault="00414D59" w:rsidP="00414D59">
      <w:pPr>
        <w:rPr>
          <w:sz w:val="2"/>
          <w:szCs w:val="2"/>
          <w:lang w:val="es-ES_tradnl"/>
        </w:rPr>
      </w:pPr>
    </w:p>
    <w:sectPr w:rsidR="00414D59" w:rsidRPr="007F4D6F" w:rsidSect="002C0E2C">
      <w:headerReference w:type="default" r:id="rId7"/>
      <w:footerReference w:type="default" r:id="rId8"/>
      <w:pgSz w:w="15840" w:h="12240" w:orient="landscape" w:code="1"/>
      <w:pgMar w:top="1440" w:right="1440" w:bottom="1440" w:left="1440" w:header="703" w:footer="416"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815E8A" w14:textId="77777777" w:rsidR="00414D59" w:rsidRDefault="00414D59" w:rsidP="00414D59">
      <w:pPr>
        <w:spacing w:line="240" w:lineRule="auto"/>
      </w:pPr>
      <w:r>
        <w:separator/>
      </w:r>
    </w:p>
  </w:endnote>
  <w:endnote w:type="continuationSeparator" w:id="0">
    <w:p w14:paraId="1E3C035D" w14:textId="77777777" w:rsidR="00414D59" w:rsidRDefault="00414D59" w:rsidP="00414D5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57820C" w14:textId="77777777" w:rsidR="001554A7" w:rsidRDefault="00435C89" w:rsidP="002C0E2C">
    <w:pPr>
      <w:spacing w:line="240" w:lineRule="auto"/>
      <w:jc w:val="center"/>
      <w:rPr>
        <w:rFonts w:ascii="Calibri" w:eastAsia="Calibri" w:hAnsi="Calibri" w:cs="Calibri"/>
        <w:b/>
        <w:color w:val="004691"/>
        <w:sz w:val="20"/>
        <w:szCs w:val="20"/>
      </w:rPr>
    </w:pPr>
    <w:r>
      <w:rPr>
        <w:rFonts w:ascii="Calibri" w:eastAsia="Calibri" w:hAnsi="Calibri" w:cs="Calibri"/>
        <w:b/>
        <w:color w:val="004691"/>
        <w:sz w:val="20"/>
        <w:szCs w:val="20"/>
      </w:rPr>
      <w:t>Unidad de Relaciones Internacionales</w:t>
    </w:r>
  </w:p>
  <w:p w14:paraId="0424EC6A" w14:textId="77777777" w:rsidR="001554A7" w:rsidRDefault="00435C89" w:rsidP="002C0E2C">
    <w:pPr>
      <w:spacing w:line="240" w:lineRule="auto"/>
      <w:jc w:val="center"/>
      <w:rPr>
        <w:rFonts w:ascii="Calibri" w:eastAsia="Calibri" w:hAnsi="Calibri" w:cs="Calibri"/>
        <w:color w:val="004691"/>
        <w:sz w:val="20"/>
        <w:szCs w:val="20"/>
      </w:rPr>
    </w:pPr>
    <w:hyperlink r:id="rId1" w:history="1">
      <w:r w:rsidRPr="002E62BC">
        <w:rPr>
          <w:rStyle w:val="Hipervnculo"/>
          <w:rFonts w:ascii="Calibri" w:eastAsia="Calibri" w:hAnsi="Calibri" w:cs="Calibri"/>
        </w:rPr>
        <w:t>internacionales@misalud.go.cr</w:t>
      </w:r>
    </w:hyperlink>
  </w:p>
  <w:p w14:paraId="178E611F" w14:textId="77777777" w:rsidR="001554A7" w:rsidRDefault="00435C89" w:rsidP="002C0E2C">
    <w:pPr>
      <w:spacing w:line="240" w:lineRule="auto"/>
      <w:jc w:val="center"/>
      <w:rPr>
        <w:rFonts w:ascii="Calibri" w:eastAsia="Calibri" w:hAnsi="Calibri" w:cs="Calibri"/>
        <w:color w:val="004691"/>
        <w:sz w:val="20"/>
        <w:szCs w:val="20"/>
      </w:rPr>
    </w:pPr>
    <w:r>
      <w:rPr>
        <w:rFonts w:ascii="Calibri" w:eastAsia="Calibri" w:hAnsi="Calibri" w:cs="Calibri"/>
        <w:color w:val="004691"/>
        <w:sz w:val="20"/>
        <w:szCs w:val="20"/>
      </w:rPr>
      <w:t xml:space="preserve">Tel. </w:t>
    </w:r>
    <w:r w:rsidRPr="00CD01EB">
      <w:rPr>
        <w:rFonts w:ascii="Calibri" w:eastAsia="Calibri" w:hAnsi="Calibri" w:cs="Calibri"/>
        <w:color w:val="004691"/>
        <w:sz w:val="20"/>
        <w:szCs w:val="20"/>
      </w:rPr>
      <w:t>2233-0</w:t>
    </w:r>
    <w:r>
      <w:rPr>
        <w:rFonts w:ascii="Calibri" w:eastAsia="Calibri" w:hAnsi="Calibri" w:cs="Calibri"/>
        <w:color w:val="004691"/>
        <w:sz w:val="20"/>
        <w:szCs w:val="20"/>
      </w:rPr>
      <w:t>104</w:t>
    </w:r>
    <w:r w:rsidRPr="00CD01EB">
      <w:rPr>
        <w:rFonts w:ascii="Calibri" w:eastAsia="Calibri" w:hAnsi="Calibri" w:cs="Calibri"/>
        <w:color w:val="004691"/>
        <w:sz w:val="20"/>
        <w:szCs w:val="20"/>
      </w:rPr>
      <w:t xml:space="preserve"> / 222</w:t>
    </w:r>
    <w:r>
      <w:rPr>
        <w:rFonts w:ascii="Calibri" w:eastAsia="Calibri" w:hAnsi="Calibri" w:cs="Calibri"/>
        <w:color w:val="004691"/>
        <w:sz w:val="20"/>
        <w:szCs w:val="20"/>
      </w:rPr>
      <w:t>1-8712</w:t>
    </w:r>
  </w:p>
  <w:p w14:paraId="4C30A818" w14:textId="77777777" w:rsidR="001554A7" w:rsidRDefault="00435C89" w:rsidP="002C0E2C">
    <w:pPr>
      <w:spacing w:line="240" w:lineRule="auto"/>
      <w:jc w:val="center"/>
      <w:rPr>
        <w:color w:val="004691"/>
        <w:sz w:val="18"/>
        <w:szCs w:val="18"/>
      </w:rPr>
    </w:pPr>
    <w:r>
      <w:rPr>
        <w:rFonts w:ascii="Calibri" w:eastAsia="Calibri" w:hAnsi="Calibri" w:cs="Calibri"/>
        <w:color w:val="004691"/>
        <w:sz w:val="20"/>
        <w:szCs w:val="20"/>
      </w:rPr>
      <w:t>www.ministeriodesalud.go.cr</w:t>
    </w:r>
    <w:r>
      <w:rPr>
        <w:noProof/>
      </w:rPr>
      <w:drawing>
        <wp:anchor distT="0" distB="0" distL="0" distR="0" simplePos="0" relativeHeight="251661312" behindDoc="1" locked="0" layoutInCell="1" hidden="0" allowOverlap="1" wp14:anchorId="06267553" wp14:editId="0C6F9B0A">
          <wp:simplePos x="0" y="0"/>
          <wp:positionH relativeFrom="column">
            <wp:posOffset>-1000115</wp:posOffset>
          </wp:positionH>
          <wp:positionV relativeFrom="paragraph">
            <wp:posOffset>7429500</wp:posOffset>
          </wp:positionV>
          <wp:extent cx="1866900" cy="1143000"/>
          <wp:effectExtent l="0" t="0" r="0" b="0"/>
          <wp:wrapNone/>
          <wp:docPr id="19"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940" t="-314" r="76363" b="-3637"/>
                  <a:stretch>
                    <a:fillRect/>
                  </a:stretch>
                </pic:blipFill>
                <pic:spPr>
                  <a:xfrm>
                    <a:off x="0" y="0"/>
                    <a:ext cx="1866900" cy="1143000"/>
                  </a:xfrm>
                  <a:prstGeom prst="rect">
                    <a:avLst/>
                  </a:prstGeom>
                  <a:ln/>
                </pic:spPr>
              </pic:pic>
            </a:graphicData>
          </a:graphic>
        </wp:anchor>
      </w:drawing>
    </w:r>
    <w:r>
      <w:rPr>
        <w:noProof/>
      </w:rPr>
      <w:drawing>
        <wp:anchor distT="0" distB="0" distL="0" distR="0" simplePos="0" relativeHeight="251662336" behindDoc="1" locked="0" layoutInCell="1" hidden="0" allowOverlap="1" wp14:anchorId="309B96B7" wp14:editId="5BF1BA47">
          <wp:simplePos x="0" y="0"/>
          <wp:positionH relativeFrom="column">
            <wp:posOffset>4552950</wp:posOffset>
          </wp:positionH>
          <wp:positionV relativeFrom="paragraph">
            <wp:posOffset>7429500</wp:posOffset>
          </wp:positionV>
          <wp:extent cx="2085975" cy="1143000"/>
          <wp:effectExtent l="0" t="0" r="0" b="0"/>
          <wp:wrapNone/>
          <wp:docPr id="2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73165" t="-314" r="-625" b="-3637"/>
                  <a:stretch>
                    <a:fillRect/>
                  </a:stretch>
                </pic:blipFill>
                <pic:spPr>
                  <a:xfrm>
                    <a:off x="0" y="0"/>
                    <a:ext cx="2085975" cy="1143000"/>
                  </a:xfrm>
                  <a:prstGeom prst="rect">
                    <a:avLst/>
                  </a:prstGeom>
                  <a:ln/>
                </pic:spPr>
              </pic:pic>
            </a:graphicData>
          </a:graphic>
        </wp:anchor>
      </w:drawing>
    </w:r>
  </w:p>
  <w:p w14:paraId="01AD85A7" w14:textId="77777777" w:rsidR="00C56673" w:rsidRDefault="00435C89">
    <w:pPr>
      <w:ind w:right="-40"/>
      <w:jc w:val="right"/>
      <w:rPr>
        <w:b/>
        <w:color w:val="004691"/>
        <w:sz w:val="18"/>
        <w:szCs w:val="18"/>
      </w:rPr>
    </w:pPr>
    <w:r>
      <w:rPr>
        <w:b/>
        <w:color w:val="004691"/>
        <w:sz w:val="18"/>
        <w:szCs w:val="18"/>
      </w:rPr>
      <w:fldChar w:fldCharType="begin"/>
    </w:r>
    <w:r>
      <w:rPr>
        <w:b/>
        <w:color w:val="004691"/>
        <w:sz w:val="18"/>
        <w:szCs w:val="18"/>
      </w:rPr>
      <w:instrText>PAGE</w:instrText>
    </w:r>
    <w:r>
      <w:rPr>
        <w:b/>
        <w:color w:val="004691"/>
        <w:sz w:val="18"/>
        <w:szCs w:val="18"/>
      </w:rPr>
      <w:fldChar w:fldCharType="separate"/>
    </w:r>
    <w:r>
      <w:rPr>
        <w:b/>
        <w:noProof/>
        <w:color w:val="004691"/>
        <w:sz w:val="18"/>
        <w:szCs w:val="18"/>
      </w:rPr>
      <w:t>1</w:t>
    </w:r>
    <w:r>
      <w:rPr>
        <w:b/>
        <w:color w:val="004691"/>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733D02" w14:textId="77777777" w:rsidR="00414D59" w:rsidRDefault="00414D59" w:rsidP="00414D59">
      <w:pPr>
        <w:spacing w:line="240" w:lineRule="auto"/>
      </w:pPr>
      <w:r>
        <w:separator/>
      </w:r>
    </w:p>
  </w:footnote>
  <w:footnote w:type="continuationSeparator" w:id="0">
    <w:p w14:paraId="484E8D34" w14:textId="77777777" w:rsidR="00414D59" w:rsidRDefault="00414D59" w:rsidP="00414D5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E239BB" w14:textId="77777777" w:rsidR="00C56673" w:rsidRPr="00CD01EB" w:rsidRDefault="00435C89">
    <w:pPr>
      <w:rPr>
        <w:sz w:val="2"/>
        <w:szCs w:val="2"/>
      </w:rPr>
    </w:pPr>
    <w:r>
      <w:rPr>
        <w:noProof/>
      </w:rPr>
      <w:drawing>
        <wp:anchor distT="0" distB="0" distL="0" distR="0" simplePos="0" relativeHeight="251660288" behindDoc="0" locked="0" layoutInCell="1" hidden="0" allowOverlap="1" wp14:anchorId="36EB91F9" wp14:editId="064BCD69">
          <wp:simplePos x="0" y="0"/>
          <wp:positionH relativeFrom="margin">
            <wp:align>right</wp:align>
          </wp:positionH>
          <wp:positionV relativeFrom="paragraph">
            <wp:posOffset>-219075</wp:posOffset>
          </wp:positionV>
          <wp:extent cx="1600200" cy="802640"/>
          <wp:effectExtent l="0" t="0" r="0" b="0"/>
          <wp:wrapTopAndBottom distT="0" distB="0"/>
          <wp:docPr id="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600200" cy="802640"/>
                  </a:xfrm>
                  <a:prstGeom prst="rect">
                    <a:avLst/>
                  </a:prstGeom>
                  <a:ln/>
                </pic:spPr>
              </pic:pic>
            </a:graphicData>
          </a:graphic>
          <wp14:sizeRelH relativeFrom="margin">
            <wp14:pctWidth>0</wp14:pctWidth>
          </wp14:sizeRelH>
          <wp14:sizeRelV relativeFrom="margin">
            <wp14:pctHeight>0</wp14:pctHeight>
          </wp14:sizeRelV>
        </wp:anchor>
      </w:drawing>
    </w:r>
    <w:r>
      <w:rPr>
        <w:noProof/>
      </w:rPr>
      <w:drawing>
        <wp:anchor distT="114300" distB="114300" distL="114300" distR="114300" simplePos="0" relativeHeight="251659264" behindDoc="0" locked="0" layoutInCell="1" hidden="0" allowOverlap="1" wp14:anchorId="2513E15B" wp14:editId="06B919FB">
          <wp:simplePos x="0" y="0"/>
          <wp:positionH relativeFrom="margin">
            <wp:posOffset>0</wp:posOffset>
          </wp:positionH>
          <wp:positionV relativeFrom="paragraph">
            <wp:posOffset>-279400</wp:posOffset>
          </wp:positionV>
          <wp:extent cx="2181225" cy="920115"/>
          <wp:effectExtent l="0" t="0" r="0" b="0"/>
          <wp:wrapTopAndBottom distT="114300" distB="114300"/>
          <wp:docPr id="1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
                  <a:srcRect/>
                  <a:stretch>
                    <a:fillRect/>
                  </a:stretch>
                </pic:blipFill>
                <pic:spPr>
                  <a:xfrm>
                    <a:off x="0" y="0"/>
                    <a:ext cx="2181225" cy="920115"/>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42D5961"/>
    <w:multiLevelType w:val="hybridMultilevel"/>
    <w:tmpl w:val="474A4A10"/>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15:restartNumberingAfterBreak="0">
    <w:nsid w:val="3FA26B52"/>
    <w:multiLevelType w:val="hybridMultilevel"/>
    <w:tmpl w:val="00808980"/>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16cid:durableId="471102456">
    <w:abstractNumId w:val="0"/>
  </w:num>
  <w:num w:numId="2" w16cid:durableId="4884062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4D59"/>
    <w:rsid w:val="000A35B7"/>
    <w:rsid w:val="00243245"/>
    <w:rsid w:val="00414D59"/>
    <w:rsid w:val="00435C89"/>
    <w:rsid w:val="00524338"/>
    <w:rsid w:val="00667EB2"/>
    <w:rsid w:val="006F3FA9"/>
    <w:rsid w:val="007C269E"/>
    <w:rsid w:val="0082724C"/>
    <w:rsid w:val="0088308E"/>
    <w:rsid w:val="00BB41CB"/>
    <w:rsid w:val="00D47C1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043304"/>
  <w15:chartTrackingRefBased/>
  <w15:docId w15:val="{50E0C3D3-2975-41A4-AD60-B44495909E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4D59"/>
    <w:pPr>
      <w:spacing w:after="0" w:line="276" w:lineRule="auto"/>
    </w:pPr>
    <w:rPr>
      <w:rFonts w:ascii="Arial" w:eastAsia="Arial" w:hAnsi="Arial" w:cs="Arial"/>
      <w:kern w:val="0"/>
      <w:lang w:val="es-419" w:eastAsia="es-ES"/>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414D59"/>
    <w:rPr>
      <w:color w:val="0563C1" w:themeColor="hyperlink"/>
      <w:u w:val="single"/>
    </w:rPr>
  </w:style>
  <w:style w:type="paragraph" w:styleId="Textonotapie">
    <w:name w:val="footnote text"/>
    <w:basedOn w:val="Normal"/>
    <w:link w:val="TextonotapieCar"/>
    <w:uiPriority w:val="99"/>
    <w:semiHidden/>
    <w:unhideWhenUsed/>
    <w:rsid w:val="00414D59"/>
    <w:pPr>
      <w:spacing w:line="240" w:lineRule="auto"/>
    </w:pPr>
    <w:rPr>
      <w:sz w:val="20"/>
      <w:szCs w:val="20"/>
    </w:rPr>
  </w:style>
  <w:style w:type="character" w:customStyle="1" w:styleId="TextonotapieCar">
    <w:name w:val="Texto nota pie Car"/>
    <w:basedOn w:val="Fuentedeprrafopredeter"/>
    <w:link w:val="Textonotapie"/>
    <w:uiPriority w:val="99"/>
    <w:semiHidden/>
    <w:rsid w:val="00414D59"/>
    <w:rPr>
      <w:rFonts w:ascii="Arial" w:eastAsia="Arial" w:hAnsi="Arial" w:cs="Arial"/>
      <w:kern w:val="0"/>
      <w:sz w:val="20"/>
      <w:szCs w:val="20"/>
      <w:lang w:val="es-419" w:eastAsia="es-ES"/>
      <w14:ligatures w14:val="none"/>
    </w:rPr>
  </w:style>
  <w:style w:type="character" w:styleId="Refdenotaalpie">
    <w:name w:val="footnote reference"/>
    <w:basedOn w:val="Fuentedeprrafopredeter"/>
    <w:uiPriority w:val="99"/>
    <w:semiHidden/>
    <w:unhideWhenUsed/>
    <w:rsid w:val="00414D59"/>
    <w:rPr>
      <w:vertAlign w:val="superscript"/>
    </w:rPr>
  </w:style>
  <w:style w:type="paragraph" w:styleId="Prrafodelista">
    <w:name w:val="List Paragraph"/>
    <w:basedOn w:val="Normal"/>
    <w:uiPriority w:val="34"/>
    <w:qFormat/>
    <w:rsid w:val="00414D5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5304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hyperlink" Target="mailto:internacionales@misalud.go.cr"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74</TotalTime>
  <Pages>22</Pages>
  <Words>2987</Words>
  <Characters>16430</Characters>
  <Application>Microsoft Office Word</Application>
  <DocSecurity>0</DocSecurity>
  <Lines>136</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11</cp:revision>
  <dcterms:created xsi:type="dcterms:W3CDTF">2023-03-01T15:58:00Z</dcterms:created>
  <dcterms:modified xsi:type="dcterms:W3CDTF">2023-03-01T17:27:00Z</dcterms:modified>
</cp:coreProperties>
</file>