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B3E526" w14:textId="77777777" w:rsidR="00A27168" w:rsidRPr="00490BB5" w:rsidRDefault="00A27168" w:rsidP="00A27168">
      <w:pPr>
        <w:jc w:val="center"/>
        <w:rPr>
          <w:rFonts w:asciiTheme="minorHAnsi" w:hAnsiTheme="minorHAnsi" w:cstheme="minorHAnsi"/>
          <w:b/>
          <w:bCs/>
          <w:sz w:val="24"/>
          <w:szCs w:val="24"/>
          <w:lang w:val="es-ES_tradnl"/>
        </w:rPr>
      </w:pPr>
      <w:r w:rsidRPr="007F4D6F">
        <w:rPr>
          <w:rFonts w:asciiTheme="minorHAnsi" w:hAnsiTheme="minorHAnsi" w:cstheme="minorHAnsi"/>
          <w:b/>
          <w:bCs/>
          <w:sz w:val="24"/>
          <w:szCs w:val="24"/>
          <w:lang w:val="es-ES_tradnl"/>
        </w:rPr>
        <w:t>Participación de funci</w:t>
      </w:r>
      <w:r w:rsidRPr="00490BB5">
        <w:rPr>
          <w:rFonts w:asciiTheme="minorHAnsi" w:hAnsiTheme="minorHAnsi" w:cstheme="minorHAnsi"/>
          <w:b/>
          <w:bCs/>
          <w:sz w:val="24"/>
          <w:szCs w:val="24"/>
          <w:lang w:val="es-ES_tradnl"/>
        </w:rPr>
        <w:t>onarios del Ministerio de Salud en actividades fuera del país</w:t>
      </w:r>
    </w:p>
    <w:p w14:paraId="5B6ACD20" w14:textId="60D8744D" w:rsidR="00A27168" w:rsidRPr="007F4D6F" w:rsidRDefault="005A4C53" w:rsidP="00A27168">
      <w:pPr>
        <w:jc w:val="center"/>
        <w:rPr>
          <w:rFonts w:asciiTheme="minorHAnsi" w:hAnsiTheme="minorHAnsi" w:cstheme="minorHAnsi"/>
          <w:b/>
          <w:bCs/>
          <w:sz w:val="24"/>
          <w:szCs w:val="24"/>
          <w:lang w:val="es-ES_tradnl"/>
        </w:rPr>
      </w:pPr>
      <w:r w:rsidRPr="00490BB5">
        <w:rPr>
          <w:rFonts w:asciiTheme="minorHAnsi" w:hAnsiTheme="minorHAnsi" w:cstheme="minorHAnsi"/>
          <w:b/>
          <w:bCs/>
          <w:sz w:val="24"/>
          <w:szCs w:val="24"/>
          <w:lang w:val="es-ES_tradnl"/>
        </w:rPr>
        <w:t xml:space="preserve">Junio </w:t>
      </w:r>
      <w:r w:rsidR="00A27168" w:rsidRPr="00490BB5">
        <w:rPr>
          <w:rFonts w:asciiTheme="minorHAnsi" w:hAnsiTheme="minorHAnsi" w:cstheme="minorHAnsi"/>
          <w:b/>
          <w:bCs/>
          <w:sz w:val="24"/>
          <w:szCs w:val="24"/>
          <w:lang w:val="es-ES_tradnl"/>
        </w:rPr>
        <w:t>2023</w:t>
      </w:r>
    </w:p>
    <w:p w14:paraId="2B4C3B2A" w14:textId="77777777" w:rsidR="00A27168" w:rsidRPr="007F4D6F" w:rsidRDefault="00A27168" w:rsidP="00A27168">
      <w:pPr>
        <w:jc w:val="center"/>
        <w:rPr>
          <w:rFonts w:asciiTheme="minorHAnsi" w:hAnsiTheme="minorHAnsi" w:cstheme="minorHAnsi"/>
          <w:b/>
          <w:bCs/>
          <w:sz w:val="24"/>
          <w:szCs w:val="24"/>
          <w:lang w:val="es-ES_tradnl"/>
        </w:rPr>
      </w:pPr>
    </w:p>
    <w:tbl>
      <w:tblPr>
        <w:tblW w:w="149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98"/>
        <w:gridCol w:w="1482"/>
        <w:gridCol w:w="1161"/>
        <w:gridCol w:w="1172"/>
        <w:gridCol w:w="1101"/>
        <w:gridCol w:w="1723"/>
        <w:gridCol w:w="2458"/>
        <w:gridCol w:w="1554"/>
        <w:gridCol w:w="1464"/>
        <w:gridCol w:w="1486"/>
      </w:tblGrid>
      <w:tr w:rsidR="003833A6" w:rsidRPr="007F4D6F" w14:paraId="0A9DDBD9" w14:textId="77777777" w:rsidTr="000F0D79">
        <w:trPr>
          <w:trHeight w:val="870"/>
          <w:tblHeader/>
          <w:jc w:val="center"/>
        </w:trPr>
        <w:tc>
          <w:tcPr>
            <w:tcW w:w="1398" w:type="dxa"/>
            <w:shd w:val="clear" w:color="000000" w:fill="B4C6E7"/>
            <w:vAlign w:val="center"/>
            <w:hideMark/>
          </w:tcPr>
          <w:p w14:paraId="26867B5F" w14:textId="77777777" w:rsidR="00A27168" w:rsidRPr="002C0E2C" w:rsidRDefault="00A27168" w:rsidP="00AC6289">
            <w:pPr>
              <w:spacing w:line="240" w:lineRule="auto"/>
              <w:jc w:val="center"/>
              <w:rPr>
                <w:rFonts w:asciiTheme="minorHAnsi" w:eastAsia="Times New Roman" w:hAnsiTheme="minorHAnsi" w:cstheme="minorHAnsi"/>
                <w:b/>
                <w:bCs/>
                <w:sz w:val="20"/>
                <w:szCs w:val="20"/>
                <w:lang w:val="es-ES_tradnl" w:eastAsia="es-CR"/>
              </w:rPr>
            </w:pPr>
            <w:r w:rsidRPr="007F4D6F">
              <w:rPr>
                <w:rFonts w:asciiTheme="minorHAnsi" w:eastAsia="Times New Roman" w:hAnsiTheme="minorHAnsi" w:cstheme="minorHAnsi"/>
                <w:b/>
                <w:bCs/>
                <w:sz w:val="20"/>
                <w:szCs w:val="20"/>
                <w:lang w:val="es-ES_tradnl" w:eastAsia="es-CR"/>
              </w:rPr>
              <w:t>Nombre del funcionario</w:t>
            </w:r>
          </w:p>
        </w:tc>
        <w:tc>
          <w:tcPr>
            <w:tcW w:w="1482" w:type="dxa"/>
            <w:shd w:val="clear" w:color="000000" w:fill="B4C6E7"/>
            <w:vAlign w:val="center"/>
            <w:hideMark/>
          </w:tcPr>
          <w:p w14:paraId="1037BF6F" w14:textId="77777777" w:rsidR="00A27168" w:rsidRPr="002C0E2C" w:rsidRDefault="00A27168" w:rsidP="00AC6289">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Dirección</w:t>
            </w:r>
            <w:r w:rsidRPr="007F4D6F">
              <w:rPr>
                <w:rFonts w:asciiTheme="minorHAnsi" w:eastAsia="Times New Roman" w:hAnsiTheme="minorHAnsi" w:cstheme="minorHAnsi"/>
                <w:b/>
                <w:bCs/>
                <w:sz w:val="20"/>
                <w:szCs w:val="20"/>
                <w:lang w:val="es-ES_tradnl" w:eastAsia="es-CR"/>
              </w:rPr>
              <w:t xml:space="preserve"> a la que pertenece </w:t>
            </w:r>
          </w:p>
        </w:tc>
        <w:tc>
          <w:tcPr>
            <w:tcW w:w="1161" w:type="dxa"/>
            <w:shd w:val="clear" w:color="000000" w:fill="B4C6E7"/>
            <w:vAlign w:val="center"/>
            <w:hideMark/>
          </w:tcPr>
          <w:p w14:paraId="45B7C995" w14:textId="77777777" w:rsidR="00A27168" w:rsidRPr="002C0E2C" w:rsidRDefault="00A27168" w:rsidP="00AC6289">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 xml:space="preserve">Fecha de inicio </w:t>
            </w:r>
          </w:p>
        </w:tc>
        <w:tc>
          <w:tcPr>
            <w:tcW w:w="1172" w:type="dxa"/>
            <w:shd w:val="clear" w:color="000000" w:fill="B4C6E7"/>
            <w:vAlign w:val="center"/>
            <w:hideMark/>
          </w:tcPr>
          <w:p w14:paraId="36BD452D" w14:textId="77777777" w:rsidR="00A27168" w:rsidRPr="002C0E2C" w:rsidRDefault="00A27168" w:rsidP="00AC6289">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Fecha de finalización</w:t>
            </w:r>
          </w:p>
        </w:tc>
        <w:tc>
          <w:tcPr>
            <w:tcW w:w="1101" w:type="dxa"/>
            <w:shd w:val="clear" w:color="000000" w:fill="B4C6E7"/>
            <w:vAlign w:val="center"/>
            <w:hideMark/>
          </w:tcPr>
          <w:p w14:paraId="1613A658" w14:textId="77777777" w:rsidR="00A27168" w:rsidRPr="002C0E2C" w:rsidRDefault="00A27168" w:rsidP="00AC6289">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 xml:space="preserve">Lugar </w:t>
            </w:r>
          </w:p>
        </w:tc>
        <w:tc>
          <w:tcPr>
            <w:tcW w:w="1723" w:type="dxa"/>
            <w:shd w:val="clear" w:color="000000" w:fill="B4C6E7"/>
            <w:vAlign w:val="center"/>
            <w:hideMark/>
          </w:tcPr>
          <w:p w14:paraId="0AE12D07" w14:textId="77777777" w:rsidR="00A27168" w:rsidRPr="002C0E2C" w:rsidRDefault="00A27168" w:rsidP="00AC6289">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Actividad</w:t>
            </w:r>
          </w:p>
        </w:tc>
        <w:tc>
          <w:tcPr>
            <w:tcW w:w="2458" w:type="dxa"/>
            <w:shd w:val="clear" w:color="000000" w:fill="B4C6E7"/>
            <w:vAlign w:val="center"/>
            <w:hideMark/>
          </w:tcPr>
          <w:p w14:paraId="7B891BB6" w14:textId="77777777" w:rsidR="00A27168" w:rsidRPr="002C0E2C" w:rsidRDefault="00A27168" w:rsidP="00AC6289">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Compromisos</w:t>
            </w:r>
          </w:p>
        </w:tc>
        <w:tc>
          <w:tcPr>
            <w:tcW w:w="1554" w:type="dxa"/>
            <w:shd w:val="clear" w:color="000000" w:fill="B4C6E7"/>
            <w:vAlign w:val="center"/>
            <w:hideMark/>
          </w:tcPr>
          <w:p w14:paraId="55F921D5" w14:textId="77777777" w:rsidR="00A27168" w:rsidRPr="002C0E2C" w:rsidRDefault="00A27168" w:rsidP="00AC6289">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 xml:space="preserve">Financiado por </w:t>
            </w:r>
          </w:p>
        </w:tc>
        <w:tc>
          <w:tcPr>
            <w:tcW w:w="1464" w:type="dxa"/>
            <w:shd w:val="clear" w:color="000000" w:fill="B4C6E7"/>
            <w:vAlign w:val="center"/>
            <w:hideMark/>
          </w:tcPr>
          <w:p w14:paraId="5193C703" w14:textId="77777777" w:rsidR="00A27168" w:rsidRPr="002C0E2C" w:rsidRDefault="00A27168" w:rsidP="00AC6289">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 xml:space="preserve">Viáticos </w:t>
            </w:r>
          </w:p>
        </w:tc>
        <w:tc>
          <w:tcPr>
            <w:tcW w:w="1486" w:type="dxa"/>
            <w:shd w:val="clear" w:color="000000" w:fill="B4C6E7"/>
            <w:vAlign w:val="center"/>
            <w:hideMark/>
          </w:tcPr>
          <w:p w14:paraId="2D46A7BD" w14:textId="77777777" w:rsidR="00A27168" w:rsidRPr="002C0E2C" w:rsidRDefault="00A27168" w:rsidP="00AC6289">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Observaciones</w:t>
            </w:r>
          </w:p>
        </w:tc>
      </w:tr>
      <w:tr w:rsidR="000F0D79" w:rsidRPr="007F4D6F" w14:paraId="70911C47" w14:textId="77777777" w:rsidTr="000F0D79">
        <w:trPr>
          <w:trHeight w:val="50"/>
          <w:jc w:val="center"/>
        </w:trPr>
        <w:tc>
          <w:tcPr>
            <w:tcW w:w="1398" w:type="dxa"/>
            <w:shd w:val="clear" w:color="auto" w:fill="auto"/>
          </w:tcPr>
          <w:p w14:paraId="6507D3AB" w14:textId="138B90A7" w:rsidR="000F0D79" w:rsidRPr="00414D59" w:rsidRDefault="000F0D79" w:rsidP="000F0D79">
            <w:pPr>
              <w:spacing w:line="240" w:lineRule="auto"/>
              <w:rPr>
                <w:rFonts w:asciiTheme="minorHAnsi" w:eastAsia="Times New Roman" w:hAnsiTheme="minorHAnsi" w:cstheme="minorHAnsi"/>
                <w:sz w:val="20"/>
                <w:szCs w:val="20"/>
                <w:lang w:val="es-ES_tradnl" w:eastAsia="es-CR"/>
              </w:rPr>
            </w:pPr>
            <w:r w:rsidRPr="000F0D79">
              <w:rPr>
                <w:rFonts w:asciiTheme="minorHAnsi" w:eastAsia="Times New Roman" w:hAnsiTheme="minorHAnsi" w:cstheme="minorHAnsi"/>
                <w:sz w:val="20"/>
                <w:szCs w:val="20"/>
                <w:lang w:val="es-CR" w:eastAsia="es-CR"/>
              </w:rPr>
              <w:t>Kattia Alfaro Molina</w:t>
            </w:r>
          </w:p>
        </w:tc>
        <w:tc>
          <w:tcPr>
            <w:tcW w:w="1482" w:type="dxa"/>
            <w:shd w:val="clear" w:color="auto" w:fill="auto"/>
          </w:tcPr>
          <w:p w14:paraId="78503E07" w14:textId="6C390D5D" w:rsidR="000F0D79" w:rsidRPr="007F4D6F" w:rsidRDefault="000F0D79" w:rsidP="000F0D79">
            <w:pPr>
              <w:spacing w:line="240" w:lineRule="auto"/>
              <w:rPr>
                <w:rFonts w:asciiTheme="minorHAnsi" w:eastAsia="Times New Roman" w:hAnsiTheme="minorHAnsi" w:cstheme="minorHAnsi"/>
                <w:sz w:val="20"/>
                <w:szCs w:val="20"/>
                <w:lang w:val="es-ES_tradnl" w:eastAsia="es-CR"/>
              </w:rPr>
            </w:pPr>
            <w:r w:rsidRPr="000F0D79">
              <w:rPr>
                <w:rFonts w:asciiTheme="minorHAnsi" w:eastAsia="Times New Roman" w:hAnsiTheme="minorHAnsi" w:cstheme="minorHAnsi"/>
                <w:sz w:val="20"/>
                <w:szCs w:val="20"/>
                <w:lang w:val="es-CR" w:eastAsia="es-CR"/>
              </w:rPr>
              <w:t>Despacho Ministerial</w:t>
            </w:r>
          </w:p>
        </w:tc>
        <w:tc>
          <w:tcPr>
            <w:tcW w:w="1161" w:type="dxa"/>
            <w:shd w:val="clear" w:color="auto" w:fill="auto"/>
          </w:tcPr>
          <w:p w14:paraId="39689CDD" w14:textId="25089009" w:rsidR="000F0D79" w:rsidRPr="007F4D6F" w:rsidRDefault="000F0D79" w:rsidP="000F0D79">
            <w:pPr>
              <w:spacing w:line="240" w:lineRule="auto"/>
              <w:rPr>
                <w:rFonts w:asciiTheme="minorHAnsi" w:eastAsia="Times New Roman" w:hAnsiTheme="minorHAnsi" w:cstheme="minorHAnsi"/>
                <w:sz w:val="20"/>
                <w:szCs w:val="20"/>
                <w:lang w:val="es-ES_tradnl" w:eastAsia="es-CR"/>
              </w:rPr>
            </w:pPr>
            <w:r w:rsidRPr="000F0D79">
              <w:rPr>
                <w:rFonts w:asciiTheme="minorHAnsi" w:eastAsia="Times New Roman" w:hAnsiTheme="minorHAnsi" w:cstheme="minorHAnsi"/>
                <w:sz w:val="20"/>
                <w:szCs w:val="20"/>
                <w:lang w:val="es-CR" w:eastAsia="es-CR"/>
              </w:rPr>
              <w:t>1</w:t>
            </w:r>
            <w:r w:rsidR="003833A6">
              <w:rPr>
                <w:rFonts w:asciiTheme="minorHAnsi" w:eastAsia="Times New Roman" w:hAnsiTheme="minorHAnsi" w:cstheme="minorHAnsi"/>
                <w:sz w:val="20"/>
                <w:szCs w:val="20"/>
                <w:lang w:val="es-CR" w:eastAsia="es-CR"/>
              </w:rPr>
              <w:t xml:space="preserve"> de junio de 2023</w:t>
            </w:r>
          </w:p>
        </w:tc>
        <w:tc>
          <w:tcPr>
            <w:tcW w:w="1172" w:type="dxa"/>
            <w:shd w:val="clear" w:color="auto" w:fill="auto"/>
          </w:tcPr>
          <w:p w14:paraId="7D5689BF" w14:textId="5BED1B83" w:rsidR="000F0D79" w:rsidRPr="007F4D6F" w:rsidRDefault="000F0D79" w:rsidP="000F0D79">
            <w:pPr>
              <w:spacing w:line="240" w:lineRule="auto"/>
              <w:rPr>
                <w:rFonts w:asciiTheme="minorHAnsi" w:eastAsia="Times New Roman" w:hAnsiTheme="minorHAnsi" w:cstheme="minorHAnsi"/>
                <w:sz w:val="20"/>
                <w:szCs w:val="20"/>
                <w:lang w:val="es-ES_tradnl" w:eastAsia="es-CR"/>
              </w:rPr>
            </w:pPr>
            <w:r w:rsidRPr="000F0D79">
              <w:rPr>
                <w:rFonts w:asciiTheme="minorHAnsi" w:eastAsia="Times New Roman" w:hAnsiTheme="minorHAnsi" w:cstheme="minorHAnsi"/>
                <w:sz w:val="20"/>
                <w:szCs w:val="20"/>
                <w:lang w:val="es-CR" w:eastAsia="es-CR"/>
              </w:rPr>
              <w:t>2</w:t>
            </w:r>
            <w:r w:rsidR="003833A6">
              <w:rPr>
                <w:rFonts w:asciiTheme="minorHAnsi" w:eastAsia="Times New Roman" w:hAnsiTheme="minorHAnsi" w:cstheme="minorHAnsi"/>
                <w:sz w:val="20"/>
                <w:szCs w:val="20"/>
                <w:lang w:val="es-CR" w:eastAsia="es-CR"/>
              </w:rPr>
              <w:t xml:space="preserve"> </w:t>
            </w:r>
            <w:r w:rsidR="003833A6">
              <w:rPr>
                <w:rFonts w:asciiTheme="minorHAnsi" w:eastAsia="Times New Roman" w:hAnsiTheme="minorHAnsi" w:cstheme="minorHAnsi"/>
                <w:sz w:val="20"/>
                <w:szCs w:val="20"/>
                <w:lang w:val="es-CR" w:eastAsia="es-CR"/>
              </w:rPr>
              <w:t>de junio de 2023</w:t>
            </w:r>
          </w:p>
        </w:tc>
        <w:tc>
          <w:tcPr>
            <w:tcW w:w="1101" w:type="dxa"/>
            <w:shd w:val="clear" w:color="auto" w:fill="auto"/>
          </w:tcPr>
          <w:p w14:paraId="7BEF5ED1" w14:textId="298AAEEA" w:rsidR="000F0D79" w:rsidRPr="007F4D6F" w:rsidRDefault="000F0D79" w:rsidP="000F0D79">
            <w:pPr>
              <w:spacing w:line="240" w:lineRule="auto"/>
              <w:rPr>
                <w:rFonts w:asciiTheme="minorHAnsi" w:eastAsia="Times New Roman" w:hAnsiTheme="minorHAnsi" w:cstheme="minorHAnsi"/>
                <w:sz w:val="20"/>
                <w:szCs w:val="20"/>
                <w:lang w:val="es-ES_tradnl" w:eastAsia="es-CR"/>
              </w:rPr>
            </w:pPr>
            <w:r w:rsidRPr="000F0D79">
              <w:rPr>
                <w:rFonts w:asciiTheme="minorHAnsi" w:eastAsia="Times New Roman" w:hAnsiTheme="minorHAnsi" w:cstheme="minorHAnsi"/>
                <w:sz w:val="20"/>
                <w:szCs w:val="20"/>
                <w:lang w:val="es-CR" w:eastAsia="es-CR"/>
              </w:rPr>
              <w:t>El Salvador</w:t>
            </w:r>
          </w:p>
        </w:tc>
        <w:tc>
          <w:tcPr>
            <w:tcW w:w="1723" w:type="dxa"/>
            <w:shd w:val="clear" w:color="auto" w:fill="auto"/>
          </w:tcPr>
          <w:p w14:paraId="291570A3" w14:textId="486510AA" w:rsidR="000F0D79" w:rsidRPr="007F4D6F" w:rsidRDefault="000F0D79" w:rsidP="000F0D79">
            <w:pPr>
              <w:spacing w:line="240" w:lineRule="auto"/>
              <w:rPr>
                <w:rFonts w:asciiTheme="minorHAnsi" w:eastAsia="Times New Roman" w:hAnsiTheme="minorHAnsi" w:cstheme="minorHAnsi"/>
                <w:sz w:val="20"/>
                <w:szCs w:val="20"/>
                <w:lang w:val="es-ES_tradnl" w:eastAsia="es-CR"/>
              </w:rPr>
            </w:pPr>
            <w:r w:rsidRPr="000F0D79">
              <w:rPr>
                <w:rFonts w:asciiTheme="minorHAnsi" w:eastAsia="Times New Roman" w:hAnsiTheme="minorHAnsi" w:cstheme="minorHAnsi"/>
                <w:sz w:val="20"/>
                <w:szCs w:val="20"/>
                <w:lang w:val="es-CR" w:eastAsia="es-CR"/>
              </w:rPr>
              <w:t>Foro Inversión en Enfermería en Centroamérica: educación, empleo y liderazgo</w:t>
            </w:r>
          </w:p>
        </w:tc>
        <w:tc>
          <w:tcPr>
            <w:tcW w:w="2458" w:type="dxa"/>
            <w:shd w:val="clear" w:color="auto" w:fill="auto"/>
          </w:tcPr>
          <w:p w14:paraId="368EE8AB" w14:textId="683D1270" w:rsidR="000F0D79" w:rsidRPr="007F4D6F" w:rsidRDefault="000F0D79" w:rsidP="000F0D79">
            <w:pPr>
              <w:spacing w:line="240" w:lineRule="auto"/>
              <w:rPr>
                <w:rFonts w:asciiTheme="minorHAnsi" w:eastAsia="Times New Roman" w:hAnsiTheme="minorHAnsi" w:cstheme="minorHAnsi"/>
                <w:sz w:val="20"/>
                <w:szCs w:val="20"/>
                <w:lang w:val="es-ES_tradnl" w:eastAsia="es-CR"/>
              </w:rPr>
            </w:pPr>
            <w:r w:rsidRPr="000F0D79">
              <w:rPr>
                <w:rFonts w:asciiTheme="minorHAnsi" w:eastAsia="Times New Roman" w:hAnsiTheme="minorHAnsi" w:cstheme="minorHAnsi"/>
                <w:sz w:val="20"/>
                <w:szCs w:val="20"/>
                <w:lang w:val="es-CR" w:eastAsia="es-CR"/>
              </w:rPr>
              <w:t xml:space="preserve">Elaboración de documento para OPS con las experiencias de cada país. </w:t>
            </w:r>
          </w:p>
        </w:tc>
        <w:tc>
          <w:tcPr>
            <w:tcW w:w="1554" w:type="dxa"/>
            <w:shd w:val="clear" w:color="auto" w:fill="auto"/>
          </w:tcPr>
          <w:p w14:paraId="2380BE97" w14:textId="09F933E0" w:rsidR="000F0D79" w:rsidRPr="007F4D6F" w:rsidRDefault="000F0D79" w:rsidP="000F0D79">
            <w:pPr>
              <w:spacing w:line="240" w:lineRule="auto"/>
              <w:rPr>
                <w:rFonts w:asciiTheme="minorHAnsi" w:eastAsia="Times New Roman" w:hAnsiTheme="minorHAnsi" w:cstheme="minorHAnsi"/>
                <w:sz w:val="20"/>
                <w:szCs w:val="20"/>
                <w:lang w:val="es-ES_tradnl" w:eastAsia="es-CR"/>
              </w:rPr>
            </w:pPr>
            <w:r w:rsidRPr="000F0D79">
              <w:rPr>
                <w:rFonts w:asciiTheme="minorHAnsi" w:eastAsia="Times New Roman" w:hAnsiTheme="minorHAnsi" w:cstheme="minorHAnsi"/>
                <w:sz w:val="20"/>
                <w:szCs w:val="20"/>
                <w:lang w:val="es-CR" w:eastAsia="es-CR"/>
              </w:rPr>
              <w:t>Organización Panamericana de la Salud (OPS)</w:t>
            </w:r>
          </w:p>
        </w:tc>
        <w:tc>
          <w:tcPr>
            <w:tcW w:w="1464" w:type="dxa"/>
            <w:shd w:val="clear" w:color="auto" w:fill="auto"/>
          </w:tcPr>
          <w:p w14:paraId="1D1C71DC" w14:textId="3847BC0B" w:rsidR="000F0D79" w:rsidRPr="007F4D6F" w:rsidRDefault="000F0D79" w:rsidP="000F0D79">
            <w:pPr>
              <w:spacing w:line="240" w:lineRule="auto"/>
              <w:rPr>
                <w:rFonts w:asciiTheme="minorHAnsi" w:eastAsia="Times New Roman" w:hAnsiTheme="minorHAnsi" w:cstheme="minorHAnsi"/>
                <w:sz w:val="20"/>
                <w:szCs w:val="20"/>
                <w:lang w:val="es-ES_tradnl" w:eastAsia="es-CR"/>
              </w:rPr>
            </w:pPr>
            <w:r w:rsidRPr="000F0D79">
              <w:rPr>
                <w:rFonts w:asciiTheme="minorHAnsi" w:eastAsia="Times New Roman" w:hAnsiTheme="minorHAnsi" w:cstheme="minorHAnsi"/>
                <w:sz w:val="20"/>
                <w:szCs w:val="20"/>
                <w:lang w:val="es-CR" w:eastAsia="es-CR"/>
              </w:rPr>
              <w:t>No se dan viáticos institucionales.</w:t>
            </w:r>
          </w:p>
        </w:tc>
        <w:tc>
          <w:tcPr>
            <w:tcW w:w="1486" w:type="dxa"/>
            <w:shd w:val="clear" w:color="auto" w:fill="auto"/>
          </w:tcPr>
          <w:p w14:paraId="6748D7F1" w14:textId="77777777" w:rsidR="000F0D79" w:rsidRPr="00502CAD" w:rsidRDefault="000F0D79" w:rsidP="000F0D79">
            <w:pPr>
              <w:spacing w:line="240" w:lineRule="auto"/>
              <w:rPr>
                <w:rFonts w:asciiTheme="minorHAnsi" w:eastAsia="Times New Roman" w:hAnsiTheme="minorHAnsi" w:cstheme="minorHAnsi"/>
                <w:sz w:val="20"/>
                <w:szCs w:val="20"/>
                <w:lang w:val="es-ES_tradnl" w:eastAsia="es-CR"/>
              </w:rPr>
            </w:pPr>
          </w:p>
        </w:tc>
      </w:tr>
      <w:tr w:rsidR="000F0D79" w:rsidRPr="007F4D6F" w14:paraId="3E3CEECA" w14:textId="77777777" w:rsidTr="000F0D79">
        <w:trPr>
          <w:trHeight w:val="50"/>
          <w:jc w:val="center"/>
        </w:trPr>
        <w:tc>
          <w:tcPr>
            <w:tcW w:w="1398" w:type="dxa"/>
            <w:shd w:val="clear" w:color="auto" w:fill="auto"/>
          </w:tcPr>
          <w:p w14:paraId="09F6C6EF" w14:textId="3305B728" w:rsidR="000F0D79" w:rsidRPr="00414D59" w:rsidRDefault="000F0D79" w:rsidP="000F0D79">
            <w:pPr>
              <w:spacing w:line="240" w:lineRule="auto"/>
              <w:rPr>
                <w:rFonts w:asciiTheme="minorHAnsi" w:eastAsia="Times New Roman" w:hAnsiTheme="minorHAnsi" w:cstheme="minorHAnsi"/>
                <w:sz w:val="20"/>
                <w:szCs w:val="20"/>
                <w:lang w:val="es-ES_tradnl" w:eastAsia="es-CR"/>
              </w:rPr>
            </w:pPr>
            <w:r w:rsidRPr="000F0D79">
              <w:rPr>
                <w:rFonts w:asciiTheme="minorHAnsi" w:eastAsia="Times New Roman" w:hAnsiTheme="minorHAnsi" w:cstheme="minorHAnsi"/>
                <w:sz w:val="20"/>
                <w:szCs w:val="20"/>
                <w:lang w:val="es-CR" w:eastAsia="es-CR"/>
              </w:rPr>
              <w:t>José Eduardo Carvajal Obando</w:t>
            </w:r>
          </w:p>
        </w:tc>
        <w:tc>
          <w:tcPr>
            <w:tcW w:w="1482" w:type="dxa"/>
            <w:shd w:val="clear" w:color="auto" w:fill="auto"/>
          </w:tcPr>
          <w:p w14:paraId="5B3A6B1B" w14:textId="7D50461B" w:rsidR="000F0D79" w:rsidRPr="007F4D6F" w:rsidRDefault="000F0D79" w:rsidP="000F0D79">
            <w:pPr>
              <w:spacing w:line="240" w:lineRule="auto"/>
              <w:rPr>
                <w:rFonts w:asciiTheme="minorHAnsi" w:eastAsia="Times New Roman" w:hAnsiTheme="minorHAnsi" w:cstheme="minorHAnsi"/>
                <w:sz w:val="20"/>
                <w:szCs w:val="20"/>
                <w:lang w:val="es-ES_tradnl" w:eastAsia="es-CR"/>
              </w:rPr>
            </w:pPr>
            <w:r w:rsidRPr="000F0D79">
              <w:rPr>
                <w:rFonts w:asciiTheme="minorHAnsi" w:eastAsia="Times New Roman" w:hAnsiTheme="minorHAnsi" w:cstheme="minorHAnsi"/>
                <w:sz w:val="20"/>
                <w:szCs w:val="20"/>
                <w:lang w:val="es-CR" w:eastAsia="es-CR"/>
              </w:rPr>
              <w:t>Despacho Ministerial</w:t>
            </w:r>
          </w:p>
        </w:tc>
        <w:tc>
          <w:tcPr>
            <w:tcW w:w="1161" w:type="dxa"/>
            <w:shd w:val="clear" w:color="auto" w:fill="auto"/>
          </w:tcPr>
          <w:p w14:paraId="6B2BD20F" w14:textId="20CD21ED" w:rsidR="000F0D79" w:rsidRPr="007F4D6F" w:rsidRDefault="000F0D79" w:rsidP="000F0D79">
            <w:pPr>
              <w:spacing w:line="240" w:lineRule="auto"/>
              <w:rPr>
                <w:rFonts w:asciiTheme="minorHAnsi" w:eastAsia="Times New Roman" w:hAnsiTheme="minorHAnsi" w:cstheme="minorHAnsi"/>
                <w:sz w:val="20"/>
                <w:szCs w:val="20"/>
                <w:lang w:val="es-ES_tradnl" w:eastAsia="es-CR"/>
              </w:rPr>
            </w:pPr>
            <w:r w:rsidRPr="000F0D79">
              <w:rPr>
                <w:rFonts w:asciiTheme="minorHAnsi" w:eastAsia="Times New Roman" w:hAnsiTheme="minorHAnsi" w:cstheme="minorHAnsi"/>
                <w:sz w:val="20"/>
                <w:szCs w:val="20"/>
                <w:lang w:val="es-CR" w:eastAsia="es-CR"/>
              </w:rPr>
              <w:t>6</w:t>
            </w:r>
            <w:r w:rsidR="003833A6">
              <w:rPr>
                <w:rFonts w:asciiTheme="minorHAnsi" w:eastAsia="Times New Roman" w:hAnsiTheme="minorHAnsi" w:cstheme="minorHAnsi"/>
                <w:sz w:val="20"/>
                <w:szCs w:val="20"/>
                <w:lang w:val="es-CR" w:eastAsia="es-CR"/>
              </w:rPr>
              <w:t xml:space="preserve"> </w:t>
            </w:r>
            <w:r w:rsidR="003833A6">
              <w:rPr>
                <w:rFonts w:asciiTheme="minorHAnsi" w:eastAsia="Times New Roman" w:hAnsiTheme="minorHAnsi" w:cstheme="minorHAnsi"/>
                <w:sz w:val="20"/>
                <w:szCs w:val="20"/>
                <w:lang w:val="es-CR" w:eastAsia="es-CR"/>
              </w:rPr>
              <w:t>de junio de 2023</w:t>
            </w:r>
          </w:p>
        </w:tc>
        <w:tc>
          <w:tcPr>
            <w:tcW w:w="1172" w:type="dxa"/>
            <w:shd w:val="clear" w:color="auto" w:fill="auto"/>
          </w:tcPr>
          <w:p w14:paraId="0B266ED5" w14:textId="51750DFE" w:rsidR="000F0D79" w:rsidRPr="007F4D6F" w:rsidRDefault="000F0D79" w:rsidP="000F0D79">
            <w:pPr>
              <w:spacing w:line="240" w:lineRule="auto"/>
              <w:rPr>
                <w:rFonts w:asciiTheme="minorHAnsi" w:eastAsia="Times New Roman" w:hAnsiTheme="minorHAnsi" w:cstheme="minorHAnsi"/>
                <w:sz w:val="20"/>
                <w:szCs w:val="20"/>
                <w:lang w:val="es-ES_tradnl" w:eastAsia="es-CR"/>
              </w:rPr>
            </w:pPr>
            <w:r w:rsidRPr="000F0D79">
              <w:rPr>
                <w:rFonts w:asciiTheme="minorHAnsi" w:eastAsia="Times New Roman" w:hAnsiTheme="minorHAnsi" w:cstheme="minorHAnsi"/>
                <w:sz w:val="20"/>
                <w:szCs w:val="20"/>
                <w:lang w:val="es-CR" w:eastAsia="es-CR"/>
              </w:rPr>
              <w:t>8</w:t>
            </w:r>
            <w:r w:rsidR="003833A6">
              <w:rPr>
                <w:rFonts w:asciiTheme="minorHAnsi" w:eastAsia="Times New Roman" w:hAnsiTheme="minorHAnsi" w:cstheme="minorHAnsi"/>
                <w:sz w:val="20"/>
                <w:szCs w:val="20"/>
                <w:lang w:val="es-CR" w:eastAsia="es-CR"/>
              </w:rPr>
              <w:t xml:space="preserve"> </w:t>
            </w:r>
            <w:r w:rsidR="003833A6">
              <w:rPr>
                <w:rFonts w:asciiTheme="minorHAnsi" w:eastAsia="Times New Roman" w:hAnsiTheme="minorHAnsi" w:cstheme="minorHAnsi"/>
                <w:sz w:val="20"/>
                <w:szCs w:val="20"/>
                <w:lang w:val="es-CR" w:eastAsia="es-CR"/>
              </w:rPr>
              <w:t>de junio de 2023</w:t>
            </w:r>
          </w:p>
        </w:tc>
        <w:tc>
          <w:tcPr>
            <w:tcW w:w="1101" w:type="dxa"/>
            <w:shd w:val="clear" w:color="auto" w:fill="auto"/>
          </w:tcPr>
          <w:p w14:paraId="5C768BB6" w14:textId="6D6D806F" w:rsidR="000F0D79" w:rsidRPr="007F4D6F" w:rsidRDefault="000F0D79" w:rsidP="000F0D79">
            <w:pPr>
              <w:spacing w:line="240" w:lineRule="auto"/>
              <w:rPr>
                <w:rFonts w:asciiTheme="minorHAnsi" w:eastAsia="Times New Roman" w:hAnsiTheme="minorHAnsi" w:cstheme="minorHAnsi"/>
                <w:sz w:val="20"/>
                <w:szCs w:val="20"/>
                <w:lang w:val="es-ES_tradnl" w:eastAsia="es-CR"/>
              </w:rPr>
            </w:pPr>
            <w:r w:rsidRPr="000F0D79">
              <w:rPr>
                <w:rFonts w:asciiTheme="minorHAnsi" w:eastAsia="Times New Roman" w:hAnsiTheme="minorHAnsi" w:cstheme="minorHAnsi"/>
                <w:sz w:val="20"/>
                <w:szCs w:val="20"/>
                <w:lang w:val="es-CR" w:eastAsia="es-CR"/>
              </w:rPr>
              <w:t>Panamá</w:t>
            </w:r>
          </w:p>
        </w:tc>
        <w:tc>
          <w:tcPr>
            <w:tcW w:w="1723" w:type="dxa"/>
            <w:shd w:val="clear" w:color="auto" w:fill="auto"/>
          </w:tcPr>
          <w:p w14:paraId="4ADAB702" w14:textId="1CE519D6" w:rsidR="000F0D79" w:rsidRPr="007F4D6F" w:rsidRDefault="000F0D79" w:rsidP="000F0D79">
            <w:pPr>
              <w:spacing w:line="240" w:lineRule="auto"/>
              <w:rPr>
                <w:rFonts w:asciiTheme="minorHAnsi" w:eastAsia="Times New Roman" w:hAnsiTheme="minorHAnsi" w:cstheme="minorHAnsi"/>
                <w:sz w:val="20"/>
                <w:szCs w:val="20"/>
                <w:lang w:val="es-ES_tradnl" w:eastAsia="es-CR"/>
              </w:rPr>
            </w:pPr>
            <w:r w:rsidRPr="000F0D79">
              <w:rPr>
                <w:rFonts w:asciiTheme="minorHAnsi" w:eastAsia="Times New Roman" w:hAnsiTheme="minorHAnsi" w:cstheme="minorHAnsi"/>
                <w:sz w:val="20"/>
                <w:szCs w:val="20"/>
                <w:lang w:val="es-CR" w:eastAsia="es-CR"/>
              </w:rPr>
              <w:t>Taller subregional para fortalecer el compromiso y acelerar la implementación y expansión de HEARTS en Costa Rica, Cuba, El Salvador, Guatemala, México, la Republica Dominicana, y Panamá</w:t>
            </w:r>
          </w:p>
        </w:tc>
        <w:tc>
          <w:tcPr>
            <w:tcW w:w="2458" w:type="dxa"/>
            <w:shd w:val="clear" w:color="auto" w:fill="auto"/>
          </w:tcPr>
          <w:p w14:paraId="43ABA52A" w14:textId="1C1CF5CB" w:rsidR="000F0D79" w:rsidRPr="007F4D6F" w:rsidRDefault="000F0D79" w:rsidP="000F0D79">
            <w:pPr>
              <w:spacing w:line="240" w:lineRule="auto"/>
              <w:rPr>
                <w:rFonts w:asciiTheme="minorHAnsi" w:eastAsia="Times New Roman" w:hAnsiTheme="minorHAnsi" w:cstheme="minorHAnsi"/>
                <w:sz w:val="20"/>
                <w:szCs w:val="20"/>
                <w:lang w:val="es-ES_tradnl" w:eastAsia="es-CR"/>
              </w:rPr>
            </w:pPr>
            <w:r w:rsidRPr="000F0D79">
              <w:rPr>
                <w:rFonts w:asciiTheme="minorHAnsi" w:eastAsia="Times New Roman" w:hAnsiTheme="minorHAnsi" w:cstheme="minorHAnsi"/>
                <w:sz w:val="20"/>
                <w:szCs w:val="20"/>
                <w:lang w:val="es-CR" w:eastAsia="es-CR"/>
              </w:rPr>
              <w:t>Continuar con la ruta establecida por cada país, para la implementación de esta Iniciativa lo antes posible.</w:t>
            </w:r>
          </w:p>
        </w:tc>
        <w:tc>
          <w:tcPr>
            <w:tcW w:w="1554" w:type="dxa"/>
            <w:shd w:val="clear" w:color="auto" w:fill="auto"/>
          </w:tcPr>
          <w:p w14:paraId="2AEC0324" w14:textId="1E0E386D" w:rsidR="000F0D79" w:rsidRPr="007F4D6F" w:rsidRDefault="000F0D79" w:rsidP="000F0D79">
            <w:pPr>
              <w:spacing w:line="240" w:lineRule="auto"/>
              <w:rPr>
                <w:rFonts w:asciiTheme="minorHAnsi" w:eastAsia="Times New Roman" w:hAnsiTheme="minorHAnsi" w:cstheme="minorHAnsi"/>
                <w:sz w:val="20"/>
                <w:szCs w:val="20"/>
                <w:lang w:val="es-ES_tradnl" w:eastAsia="es-CR"/>
              </w:rPr>
            </w:pPr>
            <w:r w:rsidRPr="000F0D79">
              <w:rPr>
                <w:rFonts w:asciiTheme="minorHAnsi" w:eastAsia="Times New Roman" w:hAnsiTheme="minorHAnsi" w:cstheme="minorHAnsi"/>
                <w:sz w:val="20"/>
                <w:szCs w:val="20"/>
                <w:lang w:val="es-CR" w:eastAsia="es-CR"/>
              </w:rPr>
              <w:t>Organización Panamericana de la Salud (OPS)</w:t>
            </w:r>
          </w:p>
        </w:tc>
        <w:tc>
          <w:tcPr>
            <w:tcW w:w="1464" w:type="dxa"/>
            <w:shd w:val="clear" w:color="auto" w:fill="auto"/>
          </w:tcPr>
          <w:p w14:paraId="3B414F79" w14:textId="2297729C" w:rsidR="000F0D79" w:rsidRPr="007F4D6F" w:rsidRDefault="000F0D79" w:rsidP="000F0D79">
            <w:pPr>
              <w:spacing w:line="240" w:lineRule="auto"/>
              <w:rPr>
                <w:rFonts w:asciiTheme="minorHAnsi" w:eastAsia="Times New Roman" w:hAnsiTheme="minorHAnsi" w:cstheme="minorHAnsi"/>
                <w:sz w:val="20"/>
                <w:szCs w:val="20"/>
                <w:lang w:val="es-ES_tradnl" w:eastAsia="es-CR"/>
              </w:rPr>
            </w:pPr>
            <w:r w:rsidRPr="000F0D79">
              <w:rPr>
                <w:rFonts w:asciiTheme="minorHAnsi" w:eastAsia="Times New Roman" w:hAnsiTheme="minorHAnsi" w:cstheme="minorHAnsi"/>
                <w:sz w:val="20"/>
                <w:szCs w:val="20"/>
                <w:lang w:val="es-CR" w:eastAsia="es-CR"/>
              </w:rPr>
              <w:t>No se dan viáticos institucionales.</w:t>
            </w:r>
          </w:p>
        </w:tc>
        <w:tc>
          <w:tcPr>
            <w:tcW w:w="1486" w:type="dxa"/>
            <w:shd w:val="clear" w:color="auto" w:fill="auto"/>
          </w:tcPr>
          <w:p w14:paraId="5392B52A" w14:textId="77777777" w:rsidR="000F0D79" w:rsidRPr="00502CAD" w:rsidRDefault="000F0D79" w:rsidP="000F0D79">
            <w:pPr>
              <w:spacing w:line="240" w:lineRule="auto"/>
              <w:rPr>
                <w:rFonts w:asciiTheme="minorHAnsi" w:eastAsia="Times New Roman" w:hAnsiTheme="minorHAnsi" w:cstheme="minorHAnsi"/>
                <w:sz w:val="20"/>
                <w:szCs w:val="20"/>
                <w:lang w:val="es-ES_tradnl" w:eastAsia="es-CR"/>
              </w:rPr>
            </w:pPr>
          </w:p>
        </w:tc>
      </w:tr>
      <w:tr w:rsidR="000F0D79" w:rsidRPr="007F4D6F" w14:paraId="01F5D810" w14:textId="77777777" w:rsidTr="000F0D79">
        <w:trPr>
          <w:trHeight w:val="50"/>
          <w:jc w:val="center"/>
        </w:trPr>
        <w:tc>
          <w:tcPr>
            <w:tcW w:w="1398" w:type="dxa"/>
            <w:shd w:val="clear" w:color="auto" w:fill="auto"/>
          </w:tcPr>
          <w:p w14:paraId="4FAB9963" w14:textId="59583A89" w:rsidR="000F0D79" w:rsidRPr="000F0D79" w:rsidRDefault="000F0D79" w:rsidP="000F0D79">
            <w:pPr>
              <w:spacing w:line="240" w:lineRule="auto"/>
              <w:rPr>
                <w:rFonts w:asciiTheme="minorHAnsi" w:eastAsia="Times New Roman" w:hAnsiTheme="minorHAnsi" w:cstheme="minorHAnsi"/>
                <w:sz w:val="20"/>
                <w:szCs w:val="20"/>
                <w:lang w:val="es-CR" w:eastAsia="es-CR"/>
              </w:rPr>
            </w:pPr>
            <w:proofErr w:type="spellStart"/>
            <w:r w:rsidRPr="000F0D79">
              <w:rPr>
                <w:rFonts w:asciiTheme="minorHAnsi" w:eastAsia="Times New Roman" w:hAnsiTheme="minorHAnsi" w:cstheme="minorHAnsi"/>
                <w:sz w:val="20"/>
                <w:szCs w:val="20"/>
                <w:lang w:val="es-CR" w:eastAsia="es-CR"/>
              </w:rPr>
              <w:t>Eilyn</w:t>
            </w:r>
            <w:proofErr w:type="spellEnd"/>
            <w:r w:rsidRPr="000F0D79">
              <w:rPr>
                <w:rFonts w:asciiTheme="minorHAnsi" w:eastAsia="Times New Roman" w:hAnsiTheme="minorHAnsi" w:cstheme="minorHAnsi"/>
                <w:sz w:val="20"/>
                <w:szCs w:val="20"/>
                <w:lang w:val="es-CR" w:eastAsia="es-CR"/>
              </w:rPr>
              <w:t xml:space="preserve"> Rojas Navarrete</w:t>
            </w:r>
          </w:p>
        </w:tc>
        <w:tc>
          <w:tcPr>
            <w:tcW w:w="1482" w:type="dxa"/>
            <w:shd w:val="clear" w:color="auto" w:fill="auto"/>
          </w:tcPr>
          <w:p w14:paraId="0528396B" w14:textId="28CA8A3D" w:rsidR="000F0D79" w:rsidRPr="000F0D79" w:rsidRDefault="000F0D79" w:rsidP="000F0D79">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 xml:space="preserve">Dirección de Servicios de Salud </w:t>
            </w:r>
          </w:p>
        </w:tc>
        <w:tc>
          <w:tcPr>
            <w:tcW w:w="1161" w:type="dxa"/>
            <w:shd w:val="clear" w:color="auto" w:fill="auto"/>
          </w:tcPr>
          <w:p w14:paraId="732F782A" w14:textId="085EEF16" w:rsidR="000F0D79" w:rsidRPr="000F0D79" w:rsidRDefault="000F0D79" w:rsidP="000F0D79">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12</w:t>
            </w:r>
            <w:r w:rsidR="003833A6">
              <w:rPr>
                <w:rFonts w:asciiTheme="minorHAnsi" w:eastAsia="Times New Roman" w:hAnsiTheme="minorHAnsi" w:cstheme="minorHAnsi"/>
                <w:sz w:val="20"/>
                <w:szCs w:val="20"/>
                <w:lang w:val="es-CR" w:eastAsia="es-CR"/>
              </w:rPr>
              <w:t xml:space="preserve"> </w:t>
            </w:r>
            <w:r w:rsidR="003833A6">
              <w:rPr>
                <w:rFonts w:asciiTheme="minorHAnsi" w:eastAsia="Times New Roman" w:hAnsiTheme="minorHAnsi" w:cstheme="minorHAnsi"/>
                <w:sz w:val="20"/>
                <w:szCs w:val="20"/>
                <w:lang w:val="es-CR" w:eastAsia="es-CR"/>
              </w:rPr>
              <w:t>de junio de 2023</w:t>
            </w:r>
          </w:p>
        </w:tc>
        <w:tc>
          <w:tcPr>
            <w:tcW w:w="1172" w:type="dxa"/>
            <w:shd w:val="clear" w:color="auto" w:fill="auto"/>
          </w:tcPr>
          <w:p w14:paraId="7F21C93B" w14:textId="621B3059" w:rsidR="000F0D79" w:rsidRPr="000F0D79" w:rsidRDefault="000F0D79" w:rsidP="000F0D79">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16</w:t>
            </w:r>
            <w:r w:rsidR="003833A6">
              <w:rPr>
                <w:rFonts w:asciiTheme="minorHAnsi" w:eastAsia="Times New Roman" w:hAnsiTheme="minorHAnsi" w:cstheme="minorHAnsi"/>
                <w:sz w:val="20"/>
                <w:szCs w:val="20"/>
                <w:lang w:val="es-CR" w:eastAsia="es-CR"/>
              </w:rPr>
              <w:t xml:space="preserve"> </w:t>
            </w:r>
            <w:r w:rsidR="003833A6">
              <w:rPr>
                <w:rFonts w:asciiTheme="minorHAnsi" w:eastAsia="Times New Roman" w:hAnsiTheme="minorHAnsi" w:cstheme="minorHAnsi"/>
                <w:sz w:val="20"/>
                <w:szCs w:val="20"/>
                <w:lang w:val="es-CR" w:eastAsia="es-CR"/>
              </w:rPr>
              <w:t>de junio de 2023</w:t>
            </w:r>
          </w:p>
        </w:tc>
        <w:tc>
          <w:tcPr>
            <w:tcW w:w="1101" w:type="dxa"/>
            <w:shd w:val="clear" w:color="auto" w:fill="auto"/>
          </w:tcPr>
          <w:p w14:paraId="4E31E4E1" w14:textId="4A0DFAF5" w:rsidR="000F0D79" w:rsidRPr="000F0D79" w:rsidRDefault="000F0D79" w:rsidP="000F0D79">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Panamá</w:t>
            </w:r>
          </w:p>
        </w:tc>
        <w:tc>
          <w:tcPr>
            <w:tcW w:w="1723" w:type="dxa"/>
            <w:shd w:val="clear" w:color="auto" w:fill="auto"/>
          </w:tcPr>
          <w:p w14:paraId="6B265CBC" w14:textId="1561665E" w:rsidR="000F0D79" w:rsidRPr="000F0D79" w:rsidRDefault="000F0D79" w:rsidP="000F0D79">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Capacitación de barreras de acceso de detección temprana del Programa CANSCREEN5</w:t>
            </w:r>
          </w:p>
        </w:tc>
        <w:tc>
          <w:tcPr>
            <w:tcW w:w="2458" w:type="dxa"/>
            <w:shd w:val="clear" w:color="auto" w:fill="auto"/>
          </w:tcPr>
          <w:p w14:paraId="39C07FB3" w14:textId="54A0E410" w:rsidR="000F0D79" w:rsidRPr="000F0D79" w:rsidRDefault="000F0D79" w:rsidP="000F0D79">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Actualizar una norma nacional de atención del cáncer cervicouterino que contenga el componente de tamizaje para setiembre de 2023.</w:t>
            </w:r>
          </w:p>
        </w:tc>
        <w:tc>
          <w:tcPr>
            <w:tcW w:w="1554" w:type="dxa"/>
            <w:shd w:val="clear" w:color="auto" w:fill="auto"/>
          </w:tcPr>
          <w:p w14:paraId="28EFC2FB" w14:textId="3B5A1154" w:rsidR="000F0D79" w:rsidRPr="000F0D79" w:rsidRDefault="000F0D79" w:rsidP="000F0D79">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Organismo Internacional de Energía Atómica (OIEA)</w:t>
            </w:r>
          </w:p>
        </w:tc>
        <w:tc>
          <w:tcPr>
            <w:tcW w:w="1464" w:type="dxa"/>
            <w:shd w:val="clear" w:color="auto" w:fill="auto"/>
          </w:tcPr>
          <w:p w14:paraId="1117DF91" w14:textId="0957A35A" w:rsidR="000F0D79" w:rsidRPr="000F0D79" w:rsidRDefault="000F0D79" w:rsidP="000F0D79">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No se dan viáticos institucionales.</w:t>
            </w:r>
          </w:p>
        </w:tc>
        <w:tc>
          <w:tcPr>
            <w:tcW w:w="1486" w:type="dxa"/>
            <w:shd w:val="clear" w:color="auto" w:fill="auto"/>
          </w:tcPr>
          <w:p w14:paraId="5BE882FC" w14:textId="77777777" w:rsidR="000F0D79" w:rsidRPr="00502CAD" w:rsidRDefault="000F0D79" w:rsidP="000F0D79">
            <w:pPr>
              <w:spacing w:line="240" w:lineRule="auto"/>
              <w:rPr>
                <w:rFonts w:asciiTheme="minorHAnsi" w:eastAsia="Times New Roman" w:hAnsiTheme="minorHAnsi" w:cstheme="minorHAnsi"/>
                <w:sz w:val="20"/>
                <w:szCs w:val="20"/>
                <w:lang w:val="es-ES_tradnl" w:eastAsia="es-CR"/>
              </w:rPr>
            </w:pPr>
          </w:p>
        </w:tc>
      </w:tr>
      <w:tr w:rsidR="000F0D79" w:rsidRPr="007F4D6F" w14:paraId="6EBF4059" w14:textId="77777777" w:rsidTr="000F0D79">
        <w:trPr>
          <w:trHeight w:val="50"/>
          <w:jc w:val="center"/>
        </w:trPr>
        <w:tc>
          <w:tcPr>
            <w:tcW w:w="1398" w:type="dxa"/>
            <w:shd w:val="clear" w:color="auto" w:fill="auto"/>
          </w:tcPr>
          <w:p w14:paraId="2986CA44" w14:textId="02227363" w:rsidR="000F0D79" w:rsidRPr="000F0D79" w:rsidRDefault="000F0D79" w:rsidP="000F0D79">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lastRenderedPageBreak/>
              <w:t>Alejandra Chaverri Esquivel</w:t>
            </w:r>
          </w:p>
        </w:tc>
        <w:tc>
          <w:tcPr>
            <w:tcW w:w="1482" w:type="dxa"/>
            <w:shd w:val="clear" w:color="auto" w:fill="auto"/>
          </w:tcPr>
          <w:p w14:paraId="330A6D25" w14:textId="7EB15F93" w:rsidR="000F0D79" w:rsidRPr="000F0D79" w:rsidRDefault="000F0D79" w:rsidP="000F0D79">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 xml:space="preserve">Dirección de Regulación de Productos de Interés Sanitario </w:t>
            </w:r>
          </w:p>
        </w:tc>
        <w:tc>
          <w:tcPr>
            <w:tcW w:w="1161" w:type="dxa"/>
            <w:shd w:val="clear" w:color="auto" w:fill="auto"/>
          </w:tcPr>
          <w:p w14:paraId="3209E122" w14:textId="56CAB445" w:rsidR="000F0D79" w:rsidRPr="000F0D79" w:rsidRDefault="000F0D79" w:rsidP="000F0D79">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19</w:t>
            </w:r>
            <w:r w:rsidR="003833A6">
              <w:rPr>
                <w:rFonts w:asciiTheme="minorHAnsi" w:eastAsia="Times New Roman" w:hAnsiTheme="minorHAnsi" w:cstheme="minorHAnsi"/>
                <w:sz w:val="20"/>
                <w:szCs w:val="20"/>
                <w:lang w:val="es-CR" w:eastAsia="es-CR"/>
              </w:rPr>
              <w:t xml:space="preserve"> </w:t>
            </w:r>
            <w:r w:rsidR="003833A6">
              <w:rPr>
                <w:rFonts w:asciiTheme="minorHAnsi" w:eastAsia="Times New Roman" w:hAnsiTheme="minorHAnsi" w:cstheme="minorHAnsi"/>
                <w:sz w:val="20"/>
                <w:szCs w:val="20"/>
                <w:lang w:val="es-CR" w:eastAsia="es-CR"/>
              </w:rPr>
              <w:t>de junio de 2023</w:t>
            </w:r>
          </w:p>
        </w:tc>
        <w:tc>
          <w:tcPr>
            <w:tcW w:w="1172" w:type="dxa"/>
            <w:shd w:val="clear" w:color="auto" w:fill="auto"/>
          </w:tcPr>
          <w:p w14:paraId="400EB423" w14:textId="461479E6" w:rsidR="000F0D79" w:rsidRPr="000F0D79" w:rsidRDefault="000F0D79" w:rsidP="000F0D79">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23</w:t>
            </w:r>
            <w:r w:rsidR="003833A6">
              <w:rPr>
                <w:rFonts w:asciiTheme="minorHAnsi" w:eastAsia="Times New Roman" w:hAnsiTheme="minorHAnsi" w:cstheme="minorHAnsi"/>
                <w:sz w:val="20"/>
                <w:szCs w:val="20"/>
                <w:lang w:val="es-CR" w:eastAsia="es-CR"/>
              </w:rPr>
              <w:t xml:space="preserve"> </w:t>
            </w:r>
            <w:r w:rsidR="003833A6">
              <w:rPr>
                <w:rFonts w:asciiTheme="minorHAnsi" w:eastAsia="Times New Roman" w:hAnsiTheme="minorHAnsi" w:cstheme="minorHAnsi"/>
                <w:sz w:val="20"/>
                <w:szCs w:val="20"/>
                <w:lang w:val="es-CR" w:eastAsia="es-CR"/>
              </w:rPr>
              <w:t>de junio de 2023</w:t>
            </w:r>
          </w:p>
        </w:tc>
        <w:tc>
          <w:tcPr>
            <w:tcW w:w="1101" w:type="dxa"/>
            <w:shd w:val="clear" w:color="auto" w:fill="auto"/>
          </w:tcPr>
          <w:p w14:paraId="0F2173F1" w14:textId="0D4BB703" w:rsidR="000F0D79" w:rsidRPr="000F0D79" w:rsidRDefault="000F0D79" w:rsidP="000F0D79">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Ecuador</w:t>
            </w:r>
          </w:p>
        </w:tc>
        <w:tc>
          <w:tcPr>
            <w:tcW w:w="1723" w:type="dxa"/>
            <w:shd w:val="clear" w:color="auto" w:fill="auto"/>
          </w:tcPr>
          <w:p w14:paraId="11699422" w14:textId="2CB8A8C3" w:rsidR="000F0D79" w:rsidRPr="000F0D79" w:rsidRDefault="000F0D79" w:rsidP="000F0D79">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Taller regional sobre Gestión de Riesgos en la inocuidad de los Alimentos</w:t>
            </w:r>
          </w:p>
        </w:tc>
        <w:tc>
          <w:tcPr>
            <w:tcW w:w="2458" w:type="dxa"/>
            <w:shd w:val="clear" w:color="auto" w:fill="auto"/>
          </w:tcPr>
          <w:p w14:paraId="1A649CF1" w14:textId="432EFCEF" w:rsidR="000F0D79" w:rsidRPr="000F0D79" w:rsidRDefault="000F0D79" w:rsidP="000F0D79">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Establecer objetivos para movilizar los conocimientos y conceptos tratados durante el taller.</w:t>
            </w:r>
          </w:p>
        </w:tc>
        <w:tc>
          <w:tcPr>
            <w:tcW w:w="1554" w:type="dxa"/>
            <w:shd w:val="clear" w:color="auto" w:fill="auto"/>
          </w:tcPr>
          <w:p w14:paraId="20E5930F" w14:textId="7CAA2A39" w:rsidR="000F0D79" w:rsidRPr="000F0D79" w:rsidRDefault="000F0D79" w:rsidP="000F0D79">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Organización Panamericana de la Salud (OPS)</w:t>
            </w:r>
          </w:p>
        </w:tc>
        <w:tc>
          <w:tcPr>
            <w:tcW w:w="1464" w:type="dxa"/>
            <w:shd w:val="clear" w:color="auto" w:fill="auto"/>
          </w:tcPr>
          <w:p w14:paraId="22476132" w14:textId="2722BEE6" w:rsidR="000F0D79" w:rsidRPr="000F0D79" w:rsidRDefault="000F0D79" w:rsidP="000F0D79">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No se dan viáticos institucionales.</w:t>
            </w:r>
          </w:p>
        </w:tc>
        <w:tc>
          <w:tcPr>
            <w:tcW w:w="1486" w:type="dxa"/>
            <w:shd w:val="clear" w:color="auto" w:fill="auto"/>
          </w:tcPr>
          <w:p w14:paraId="27687E3A" w14:textId="77777777" w:rsidR="000F0D79" w:rsidRPr="00502CAD" w:rsidRDefault="000F0D79" w:rsidP="000F0D79">
            <w:pPr>
              <w:spacing w:line="240" w:lineRule="auto"/>
              <w:rPr>
                <w:rFonts w:asciiTheme="minorHAnsi" w:eastAsia="Times New Roman" w:hAnsiTheme="minorHAnsi" w:cstheme="minorHAnsi"/>
                <w:sz w:val="20"/>
                <w:szCs w:val="20"/>
                <w:lang w:val="es-ES_tradnl" w:eastAsia="es-CR"/>
              </w:rPr>
            </w:pPr>
          </w:p>
        </w:tc>
      </w:tr>
      <w:tr w:rsidR="000F0D79" w:rsidRPr="007F4D6F" w14:paraId="29F8178C" w14:textId="77777777" w:rsidTr="000F0D79">
        <w:trPr>
          <w:trHeight w:val="50"/>
          <w:jc w:val="center"/>
        </w:trPr>
        <w:tc>
          <w:tcPr>
            <w:tcW w:w="1398" w:type="dxa"/>
            <w:shd w:val="clear" w:color="auto" w:fill="auto"/>
          </w:tcPr>
          <w:p w14:paraId="4BEAF328" w14:textId="7B02507F" w:rsidR="000F0D79" w:rsidRPr="000F0D79" w:rsidRDefault="000F0D79" w:rsidP="000F0D79">
            <w:pPr>
              <w:spacing w:line="240" w:lineRule="auto"/>
              <w:rPr>
                <w:rFonts w:asciiTheme="minorHAnsi" w:eastAsia="Times New Roman" w:hAnsiTheme="minorHAnsi" w:cstheme="minorHAnsi"/>
                <w:sz w:val="20"/>
                <w:szCs w:val="20"/>
                <w:lang w:val="es-CR" w:eastAsia="es-CR"/>
              </w:rPr>
            </w:pPr>
            <w:proofErr w:type="spellStart"/>
            <w:r w:rsidRPr="000F0D79">
              <w:rPr>
                <w:rFonts w:asciiTheme="minorHAnsi" w:eastAsia="Times New Roman" w:hAnsiTheme="minorHAnsi" w:cstheme="minorHAnsi"/>
                <w:sz w:val="20"/>
                <w:szCs w:val="20"/>
                <w:lang w:val="es-CR" w:eastAsia="es-CR"/>
              </w:rPr>
              <w:t>Karol</w:t>
            </w:r>
            <w:proofErr w:type="spellEnd"/>
            <w:r w:rsidRPr="000F0D79">
              <w:rPr>
                <w:rFonts w:asciiTheme="minorHAnsi" w:eastAsia="Times New Roman" w:hAnsiTheme="minorHAnsi" w:cstheme="minorHAnsi"/>
                <w:sz w:val="20"/>
                <w:szCs w:val="20"/>
                <w:lang w:val="es-CR" w:eastAsia="es-CR"/>
              </w:rPr>
              <w:t xml:space="preserve"> María Ruiz Varela</w:t>
            </w:r>
          </w:p>
        </w:tc>
        <w:tc>
          <w:tcPr>
            <w:tcW w:w="1482" w:type="dxa"/>
            <w:shd w:val="clear" w:color="auto" w:fill="auto"/>
          </w:tcPr>
          <w:p w14:paraId="0F7F1E06" w14:textId="22D71B43" w:rsidR="000F0D79" w:rsidRPr="000F0D79" w:rsidRDefault="000F0D79" w:rsidP="000F0D79">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 xml:space="preserve">Dirección General de Salud </w:t>
            </w:r>
          </w:p>
        </w:tc>
        <w:tc>
          <w:tcPr>
            <w:tcW w:w="1161" w:type="dxa"/>
            <w:shd w:val="clear" w:color="auto" w:fill="auto"/>
          </w:tcPr>
          <w:p w14:paraId="1AAF9384" w14:textId="701D85EE" w:rsidR="000F0D79" w:rsidRPr="000F0D79" w:rsidRDefault="000F0D79" w:rsidP="000F0D79">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20</w:t>
            </w:r>
            <w:r w:rsidR="003833A6">
              <w:rPr>
                <w:rFonts w:asciiTheme="minorHAnsi" w:eastAsia="Times New Roman" w:hAnsiTheme="minorHAnsi" w:cstheme="minorHAnsi"/>
                <w:sz w:val="20"/>
                <w:szCs w:val="20"/>
                <w:lang w:val="es-CR" w:eastAsia="es-CR"/>
              </w:rPr>
              <w:t xml:space="preserve"> </w:t>
            </w:r>
            <w:r w:rsidR="003833A6">
              <w:rPr>
                <w:rFonts w:asciiTheme="minorHAnsi" w:eastAsia="Times New Roman" w:hAnsiTheme="minorHAnsi" w:cstheme="minorHAnsi"/>
                <w:sz w:val="20"/>
                <w:szCs w:val="20"/>
                <w:lang w:val="es-CR" w:eastAsia="es-CR"/>
              </w:rPr>
              <w:t>de junio de 2023</w:t>
            </w:r>
          </w:p>
        </w:tc>
        <w:tc>
          <w:tcPr>
            <w:tcW w:w="1172" w:type="dxa"/>
            <w:shd w:val="clear" w:color="auto" w:fill="auto"/>
          </w:tcPr>
          <w:p w14:paraId="5CBADF6E" w14:textId="11651E7B" w:rsidR="000F0D79" w:rsidRPr="000F0D79" w:rsidRDefault="000F0D79" w:rsidP="000F0D79">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22</w:t>
            </w:r>
            <w:r w:rsidR="003833A6">
              <w:rPr>
                <w:rFonts w:asciiTheme="minorHAnsi" w:eastAsia="Times New Roman" w:hAnsiTheme="minorHAnsi" w:cstheme="minorHAnsi"/>
                <w:sz w:val="20"/>
                <w:szCs w:val="20"/>
                <w:lang w:val="es-CR" w:eastAsia="es-CR"/>
              </w:rPr>
              <w:t xml:space="preserve"> </w:t>
            </w:r>
            <w:r w:rsidR="003833A6">
              <w:rPr>
                <w:rFonts w:asciiTheme="minorHAnsi" w:eastAsia="Times New Roman" w:hAnsiTheme="minorHAnsi" w:cstheme="minorHAnsi"/>
                <w:sz w:val="20"/>
                <w:szCs w:val="20"/>
                <w:lang w:val="es-CR" w:eastAsia="es-CR"/>
              </w:rPr>
              <w:t>de junio de 2023</w:t>
            </w:r>
          </w:p>
        </w:tc>
        <w:tc>
          <w:tcPr>
            <w:tcW w:w="1101" w:type="dxa"/>
            <w:shd w:val="clear" w:color="auto" w:fill="auto"/>
          </w:tcPr>
          <w:p w14:paraId="081A6CCF" w14:textId="1046B8FE" w:rsidR="000F0D79" w:rsidRPr="000F0D79" w:rsidRDefault="000F0D79" w:rsidP="000F0D79">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Suiza</w:t>
            </w:r>
          </w:p>
        </w:tc>
        <w:tc>
          <w:tcPr>
            <w:tcW w:w="1723" w:type="dxa"/>
            <w:shd w:val="clear" w:color="auto" w:fill="auto"/>
          </w:tcPr>
          <w:p w14:paraId="78CCFF9D" w14:textId="04339E87" w:rsidR="000F0D79" w:rsidRPr="000F0D79" w:rsidRDefault="000F0D79" w:rsidP="000F0D79">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Congreso Mundial sobre la Implementación del Código Internacional de Comercialización de Sucedáneos de la Leche Materna</w:t>
            </w:r>
          </w:p>
        </w:tc>
        <w:tc>
          <w:tcPr>
            <w:tcW w:w="2458" w:type="dxa"/>
            <w:shd w:val="clear" w:color="auto" w:fill="auto"/>
          </w:tcPr>
          <w:p w14:paraId="6B770FA3" w14:textId="47F814BF" w:rsidR="000F0D79" w:rsidRPr="000F0D79" w:rsidRDefault="000F0D79" w:rsidP="000F0D79">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 xml:space="preserve">Definir </w:t>
            </w:r>
            <w:r w:rsidR="009C4EAA" w:rsidRPr="000F0D79">
              <w:rPr>
                <w:rFonts w:asciiTheme="minorHAnsi" w:eastAsia="Times New Roman" w:hAnsiTheme="minorHAnsi" w:cstheme="minorHAnsi"/>
                <w:sz w:val="20"/>
                <w:szCs w:val="20"/>
                <w:lang w:val="es-CR" w:eastAsia="es-CR"/>
              </w:rPr>
              <w:t>cuáles</w:t>
            </w:r>
            <w:r w:rsidRPr="000F0D79">
              <w:rPr>
                <w:rFonts w:asciiTheme="minorHAnsi" w:eastAsia="Times New Roman" w:hAnsiTheme="minorHAnsi" w:cstheme="minorHAnsi"/>
                <w:sz w:val="20"/>
                <w:szCs w:val="20"/>
                <w:lang w:val="es-CR" w:eastAsia="es-CR"/>
              </w:rPr>
              <w:t xml:space="preserve"> son los entes competentes para la aplicación de la ley 7430 y su reglamento. Revisar las publicaciones y etiquetado de los sucedáneos de la leche materna según el artículo 10 y 20 de la ley7430. Realización de un monitoreo de la ley 7430 y su cumplimiento cada 2 años.</w:t>
            </w:r>
          </w:p>
        </w:tc>
        <w:tc>
          <w:tcPr>
            <w:tcW w:w="1554" w:type="dxa"/>
            <w:shd w:val="clear" w:color="auto" w:fill="auto"/>
          </w:tcPr>
          <w:p w14:paraId="519FC5BE" w14:textId="20C3E495" w:rsidR="000F0D79" w:rsidRPr="000F0D79" w:rsidRDefault="000F0D79" w:rsidP="000F0D79">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Fondo de las Naciones Unidas para la Infancia (UNICEF)</w:t>
            </w:r>
          </w:p>
        </w:tc>
        <w:tc>
          <w:tcPr>
            <w:tcW w:w="1464" w:type="dxa"/>
            <w:shd w:val="clear" w:color="auto" w:fill="auto"/>
          </w:tcPr>
          <w:p w14:paraId="7971E8A8" w14:textId="1624DDDB" w:rsidR="000F0D79" w:rsidRPr="000F0D79" w:rsidRDefault="000F0D79" w:rsidP="000F0D79">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No se dan viáticos institucionales.</w:t>
            </w:r>
          </w:p>
        </w:tc>
        <w:tc>
          <w:tcPr>
            <w:tcW w:w="1486" w:type="dxa"/>
            <w:shd w:val="clear" w:color="auto" w:fill="auto"/>
          </w:tcPr>
          <w:p w14:paraId="21F75EAF" w14:textId="77777777" w:rsidR="000F0D79" w:rsidRPr="00502CAD" w:rsidRDefault="000F0D79" w:rsidP="000F0D79">
            <w:pPr>
              <w:spacing w:line="240" w:lineRule="auto"/>
              <w:rPr>
                <w:rFonts w:asciiTheme="minorHAnsi" w:eastAsia="Times New Roman" w:hAnsiTheme="minorHAnsi" w:cstheme="minorHAnsi"/>
                <w:sz w:val="20"/>
                <w:szCs w:val="20"/>
                <w:lang w:val="es-ES_tradnl" w:eastAsia="es-CR"/>
              </w:rPr>
            </w:pPr>
          </w:p>
        </w:tc>
      </w:tr>
      <w:tr w:rsidR="003833A6" w:rsidRPr="007F4D6F" w14:paraId="01420072" w14:textId="77777777" w:rsidTr="000F0D79">
        <w:trPr>
          <w:trHeight w:val="50"/>
          <w:jc w:val="center"/>
        </w:trPr>
        <w:tc>
          <w:tcPr>
            <w:tcW w:w="1398" w:type="dxa"/>
            <w:shd w:val="clear" w:color="auto" w:fill="auto"/>
          </w:tcPr>
          <w:p w14:paraId="615A7C32" w14:textId="0CF01EC2" w:rsidR="003833A6" w:rsidRPr="000F0D79" w:rsidRDefault="003833A6" w:rsidP="003833A6">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Cinthia Pérez Rodríguez</w:t>
            </w:r>
          </w:p>
        </w:tc>
        <w:tc>
          <w:tcPr>
            <w:tcW w:w="1482" w:type="dxa"/>
            <w:shd w:val="clear" w:color="auto" w:fill="auto"/>
          </w:tcPr>
          <w:p w14:paraId="675B84AB" w14:textId="72D8B1F2" w:rsidR="003833A6" w:rsidRPr="000F0D79" w:rsidRDefault="003833A6" w:rsidP="003833A6">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Dirección de Protección Radiológica y Salud Ambiental</w:t>
            </w:r>
          </w:p>
        </w:tc>
        <w:tc>
          <w:tcPr>
            <w:tcW w:w="1161" w:type="dxa"/>
            <w:shd w:val="clear" w:color="auto" w:fill="auto"/>
          </w:tcPr>
          <w:p w14:paraId="3CFD93A6" w14:textId="7E2F76F7" w:rsidR="003833A6" w:rsidRPr="000F0D79" w:rsidRDefault="003833A6" w:rsidP="003833A6">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21</w:t>
            </w:r>
            <w:r>
              <w:rPr>
                <w:rFonts w:asciiTheme="minorHAnsi" w:eastAsia="Times New Roman" w:hAnsiTheme="minorHAnsi" w:cstheme="minorHAnsi"/>
                <w:sz w:val="20"/>
                <w:szCs w:val="20"/>
                <w:lang w:val="es-CR" w:eastAsia="es-CR"/>
              </w:rPr>
              <w:t xml:space="preserve"> de junio de 2023</w:t>
            </w:r>
          </w:p>
        </w:tc>
        <w:tc>
          <w:tcPr>
            <w:tcW w:w="1172" w:type="dxa"/>
            <w:shd w:val="clear" w:color="auto" w:fill="auto"/>
          </w:tcPr>
          <w:p w14:paraId="671626FC" w14:textId="7334FDA8" w:rsidR="003833A6" w:rsidRPr="000F0D79" w:rsidRDefault="003833A6" w:rsidP="003833A6">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23</w:t>
            </w:r>
            <w:r>
              <w:rPr>
                <w:rFonts w:asciiTheme="minorHAnsi" w:eastAsia="Times New Roman" w:hAnsiTheme="minorHAnsi" w:cstheme="minorHAnsi"/>
                <w:sz w:val="20"/>
                <w:szCs w:val="20"/>
                <w:lang w:val="es-CR" w:eastAsia="es-CR"/>
              </w:rPr>
              <w:t xml:space="preserve"> </w:t>
            </w:r>
            <w:r>
              <w:rPr>
                <w:rFonts w:asciiTheme="minorHAnsi" w:eastAsia="Times New Roman" w:hAnsiTheme="minorHAnsi" w:cstheme="minorHAnsi"/>
                <w:sz w:val="20"/>
                <w:szCs w:val="20"/>
                <w:lang w:val="es-CR" w:eastAsia="es-CR"/>
              </w:rPr>
              <w:t>de junio de 2023</w:t>
            </w:r>
          </w:p>
        </w:tc>
        <w:tc>
          <w:tcPr>
            <w:tcW w:w="1101" w:type="dxa"/>
            <w:shd w:val="clear" w:color="auto" w:fill="auto"/>
          </w:tcPr>
          <w:p w14:paraId="57E29006" w14:textId="0CBA0768" w:rsidR="003833A6" w:rsidRPr="000F0D79" w:rsidRDefault="003833A6" w:rsidP="003833A6">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 xml:space="preserve">Francia </w:t>
            </w:r>
          </w:p>
        </w:tc>
        <w:tc>
          <w:tcPr>
            <w:tcW w:w="1723" w:type="dxa"/>
            <w:shd w:val="clear" w:color="auto" w:fill="auto"/>
          </w:tcPr>
          <w:p w14:paraId="29BC2766" w14:textId="57BADE25" w:rsidR="003833A6" w:rsidRPr="003833A6" w:rsidRDefault="003833A6" w:rsidP="003833A6">
            <w:pPr>
              <w:spacing w:line="240" w:lineRule="auto"/>
              <w:rPr>
                <w:rFonts w:asciiTheme="minorHAnsi" w:eastAsia="Times New Roman" w:hAnsiTheme="minorHAnsi" w:cstheme="minorHAnsi"/>
                <w:sz w:val="20"/>
                <w:szCs w:val="20"/>
                <w:lang w:val="en-US" w:eastAsia="es-CR"/>
              </w:rPr>
            </w:pPr>
            <w:r w:rsidRPr="000F0D79">
              <w:rPr>
                <w:rFonts w:asciiTheme="minorHAnsi" w:eastAsia="Times New Roman" w:hAnsiTheme="minorHAnsi" w:cstheme="minorHAnsi"/>
                <w:sz w:val="20"/>
                <w:szCs w:val="20"/>
                <w:lang w:val="en-US" w:eastAsia="es-CR"/>
              </w:rPr>
              <w:t>Working Party on Resource Productivity and Waste (WPRPW)</w:t>
            </w:r>
          </w:p>
        </w:tc>
        <w:tc>
          <w:tcPr>
            <w:tcW w:w="2458" w:type="dxa"/>
            <w:shd w:val="clear" w:color="auto" w:fill="auto"/>
          </w:tcPr>
          <w:p w14:paraId="32403924" w14:textId="36E92894" w:rsidR="003833A6" w:rsidRPr="000F0D79" w:rsidRDefault="003833A6" w:rsidP="003833A6">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n-US" w:eastAsia="es-CR"/>
              </w:rPr>
              <w:t xml:space="preserve"> </w:t>
            </w:r>
            <w:r w:rsidRPr="000F0D79">
              <w:rPr>
                <w:rFonts w:asciiTheme="minorHAnsi" w:eastAsia="Times New Roman" w:hAnsiTheme="minorHAnsi" w:cstheme="minorHAnsi"/>
                <w:sz w:val="20"/>
                <w:szCs w:val="20"/>
                <w:lang w:val="es-CR" w:eastAsia="es-CR"/>
              </w:rPr>
              <w:t>--</w:t>
            </w:r>
          </w:p>
        </w:tc>
        <w:tc>
          <w:tcPr>
            <w:tcW w:w="1554" w:type="dxa"/>
            <w:shd w:val="clear" w:color="auto" w:fill="auto"/>
          </w:tcPr>
          <w:p w14:paraId="64DCDFAF" w14:textId="29C68843" w:rsidR="003833A6" w:rsidRPr="000F0D79" w:rsidRDefault="003833A6" w:rsidP="003833A6">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Ministerio de Salud de Costa Rica</w:t>
            </w:r>
          </w:p>
        </w:tc>
        <w:tc>
          <w:tcPr>
            <w:tcW w:w="1464" w:type="dxa"/>
            <w:shd w:val="clear" w:color="auto" w:fill="auto"/>
          </w:tcPr>
          <w:p w14:paraId="087E32F7" w14:textId="40664BA8" w:rsidR="003833A6" w:rsidRPr="000F0D79" w:rsidRDefault="003833A6" w:rsidP="003833A6">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 xml:space="preserve"> --</w:t>
            </w:r>
          </w:p>
        </w:tc>
        <w:tc>
          <w:tcPr>
            <w:tcW w:w="1486" w:type="dxa"/>
            <w:shd w:val="clear" w:color="auto" w:fill="auto"/>
          </w:tcPr>
          <w:p w14:paraId="6C75E0E7" w14:textId="2F71334A" w:rsidR="003833A6" w:rsidRPr="00502CAD" w:rsidRDefault="003833A6" w:rsidP="003833A6">
            <w:pPr>
              <w:spacing w:line="240" w:lineRule="auto"/>
              <w:rPr>
                <w:rFonts w:asciiTheme="minorHAnsi" w:eastAsia="Times New Roman" w:hAnsiTheme="minorHAnsi" w:cstheme="minorHAnsi"/>
                <w:sz w:val="20"/>
                <w:szCs w:val="20"/>
                <w:lang w:val="es-ES_tradnl" w:eastAsia="es-CR"/>
              </w:rPr>
            </w:pPr>
            <w:r w:rsidRPr="000F0D79">
              <w:rPr>
                <w:rFonts w:asciiTheme="minorHAnsi" w:eastAsia="Times New Roman" w:hAnsiTheme="minorHAnsi" w:cstheme="minorHAnsi"/>
                <w:sz w:val="20"/>
                <w:szCs w:val="20"/>
                <w:lang w:val="es-CR" w:eastAsia="es-CR"/>
              </w:rPr>
              <w:t>Se deja sin efecto por medio del oficio MS-DM-6441-2023.</w:t>
            </w:r>
          </w:p>
        </w:tc>
      </w:tr>
      <w:tr w:rsidR="003833A6" w:rsidRPr="007F4D6F" w14:paraId="31795A22" w14:textId="77777777" w:rsidTr="000F0D79">
        <w:trPr>
          <w:trHeight w:val="50"/>
          <w:jc w:val="center"/>
        </w:trPr>
        <w:tc>
          <w:tcPr>
            <w:tcW w:w="1398" w:type="dxa"/>
            <w:shd w:val="clear" w:color="auto" w:fill="auto"/>
          </w:tcPr>
          <w:p w14:paraId="18C60934" w14:textId="0ED380AF" w:rsidR="003833A6" w:rsidRPr="000F0D79" w:rsidRDefault="003833A6" w:rsidP="003833A6">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 xml:space="preserve">Mary Munive </w:t>
            </w:r>
            <w:proofErr w:type="spellStart"/>
            <w:r w:rsidRPr="000F0D79">
              <w:rPr>
                <w:rFonts w:asciiTheme="minorHAnsi" w:eastAsia="Times New Roman" w:hAnsiTheme="minorHAnsi" w:cstheme="minorHAnsi"/>
                <w:sz w:val="20"/>
                <w:szCs w:val="20"/>
                <w:lang w:val="es-CR" w:eastAsia="es-CR"/>
              </w:rPr>
              <w:t>Angermüller</w:t>
            </w:r>
            <w:proofErr w:type="spellEnd"/>
          </w:p>
        </w:tc>
        <w:tc>
          <w:tcPr>
            <w:tcW w:w="1482" w:type="dxa"/>
            <w:shd w:val="clear" w:color="auto" w:fill="auto"/>
          </w:tcPr>
          <w:p w14:paraId="005BDF8B" w14:textId="62FC699A" w:rsidR="003833A6" w:rsidRPr="000F0D79" w:rsidRDefault="003833A6" w:rsidP="003833A6">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Despacho Ministerial</w:t>
            </w:r>
          </w:p>
        </w:tc>
        <w:tc>
          <w:tcPr>
            <w:tcW w:w="1161" w:type="dxa"/>
            <w:shd w:val="clear" w:color="auto" w:fill="auto"/>
          </w:tcPr>
          <w:p w14:paraId="5F9B8E31" w14:textId="7443C867" w:rsidR="003833A6" w:rsidRPr="000F0D79" w:rsidRDefault="003833A6" w:rsidP="003833A6">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22</w:t>
            </w:r>
            <w:r>
              <w:rPr>
                <w:rFonts w:asciiTheme="minorHAnsi" w:eastAsia="Times New Roman" w:hAnsiTheme="minorHAnsi" w:cstheme="minorHAnsi"/>
                <w:sz w:val="20"/>
                <w:szCs w:val="20"/>
                <w:lang w:val="es-CR" w:eastAsia="es-CR"/>
              </w:rPr>
              <w:t xml:space="preserve"> </w:t>
            </w:r>
            <w:r>
              <w:rPr>
                <w:rFonts w:asciiTheme="minorHAnsi" w:eastAsia="Times New Roman" w:hAnsiTheme="minorHAnsi" w:cstheme="minorHAnsi"/>
                <w:sz w:val="20"/>
                <w:szCs w:val="20"/>
                <w:lang w:val="es-CR" w:eastAsia="es-CR"/>
              </w:rPr>
              <w:t>de junio de 2023</w:t>
            </w:r>
          </w:p>
        </w:tc>
        <w:tc>
          <w:tcPr>
            <w:tcW w:w="1172" w:type="dxa"/>
            <w:shd w:val="clear" w:color="auto" w:fill="auto"/>
          </w:tcPr>
          <w:p w14:paraId="6DAADE91" w14:textId="1A1A2186" w:rsidR="003833A6" w:rsidRPr="000F0D79" w:rsidRDefault="003833A6" w:rsidP="003833A6">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23</w:t>
            </w:r>
            <w:r>
              <w:rPr>
                <w:rFonts w:asciiTheme="minorHAnsi" w:eastAsia="Times New Roman" w:hAnsiTheme="minorHAnsi" w:cstheme="minorHAnsi"/>
                <w:sz w:val="20"/>
                <w:szCs w:val="20"/>
                <w:lang w:val="es-CR" w:eastAsia="es-CR"/>
              </w:rPr>
              <w:t xml:space="preserve"> </w:t>
            </w:r>
            <w:r>
              <w:rPr>
                <w:rFonts w:asciiTheme="minorHAnsi" w:eastAsia="Times New Roman" w:hAnsiTheme="minorHAnsi" w:cstheme="minorHAnsi"/>
                <w:sz w:val="20"/>
                <w:szCs w:val="20"/>
                <w:lang w:val="es-CR" w:eastAsia="es-CR"/>
              </w:rPr>
              <w:t>de junio de 2023</w:t>
            </w:r>
          </w:p>
        </w:tc>
        <w:tc>
          <w:tcPr>
            <w:tcW w:w="1101" w:type="dxa"/>
            <w:shd w:val="clear" w:color="auto" w:fill="auto"/>
          </w:tcPr>
          <w:p w14:paraId="4F295710" w14:textId="604E1B86" w:rsidR="003833A6" w:rsidRPr="000F0D79" w:rsidRDefault="003833A6" w:rsidP="003833A6">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Belice</w:t>
            </w:r>
          </w:p>
        </w:tc>
        <w:tc>
          <w:tcPr>
            <w:tcW w:w="1723" w:type="dxa"/>
            <w:shd w:val="clear" w:color="auto" w:fill="auto"/>
          </w:tcPr>
          <w:p w14:paraId="7FFDDA59" w14:textId="2F82DE57" w:rsidR="003833A6" w:rsidRPr="000F0D79" w:rsidRDefault="003833A6" w:rsidP="003833A6">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 xml:space="preserve">58° reunión del Consejo de </w:t>
            </w:r>
            <w:proofErr w:type="gramStart"/>
            <w:r w:rsidRPr="000F0D79">
              <w:rPr>
                <w:rFonts w:asciiTheme="minorHAnsi" w:eastAsia="Times New Roman" w:hAnsiTheme="minorHAnsi" w:cstheme="minorHAnsi"/>
                <w:sz w:val="20"/>
                <w:szCs w:val="20"/>
                <w:lang w:val="es-CR" w:eastAsia="es-CR"/>
              </w:rPr>
              <w:t>Ministros</w:t>
            </w:r>
            <w:proofErr w:type="gramEnd"/>
            <w:r w:rsidRPr="000F0D79">
              <w:rPr>
                <w:rFonts w:asciiTheme="minorHAnsi" w:eastAsia="Times New Roman" w:hAnsiTheme="minorHAnsi" w:cstheme="minorHAnsi"/>
                <w:sz w:val="20"/>
                <w:szCs w:val="20"/>
                <w:lang w:val="es-CR" w:eastAsia="es-CR"/>
              </w:rPr>
              <w:t xml:space="preserve"> de Salud de Centroamérica y República Dominicana (COMISCA)</w:t>
            </w:r>
          </w:p>
        </w:tc>
        <w:tc>
          <w:tcPr>
            <w:tcW w:w="2458" w:type="dxa"/>
            <w:shd w:val="clear" w:color="auto" w:fill="auto"/>
          </w:tcPr>
          <w:p w14:paraId="48AE8ADB" w14:textId="76161AF5" w:rsidR="003833A6" w:rsidRPr="000F0D79" w:rsidRDefault="003833A6" w:rsidP="003833A6">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 xml:space="preserve">Autorizar a la Secretaría Ejecutiva del COMISCA, para </w:t>
            </w:r>
            <w:proofErr w:type="gramStart"/>
            <w:r w:rsidRPr="000F0D79">
              <w:rPr>
                <w:rFonts w:asciiTheme="minorHAnsi" w:eastAsia="Times New Roman" w:hAnsiTheme="minorHAnsi" w:cstheme="minorHAnsi"/>
                <w:sz w:val="20"/>
                <w:szCs w:val="20"/>
                <w:lang w:val="es-CR" w:eastAsia="es-CR"/>
              </w:rPr>
              <w:t>que</w:t>
            </w:r>
            <w:proofErr w:type="gramEnd"/>
            <w:r w:rsidRPr="000F0D79">
              <w:rPr>
                <w:rFonts w:asciiTheme="minorHAnsi" w:eastAsia="Times New Roman" w:hAnsiTheme="minorHAnsi" w:cstheme="minorHAnsi"/>
                <w:sz w:val="20"/>
                <w:szCs w:val="20"/>
                <w:lang w:val="es-CR" w:eastAsia="es-CR"/>
              </w:rPr>
              <w:t xml:space="preserve"> en nombre y representación de este consejo, negocie y suscriba el contrato de uso de la licencia del diccionario WHO </w:t>
            </w:r>
            <w:proofErr w:type="spellStart"/>
            <w:r w:rsidRPr="000F0D79">
              <w:rPr>
                <w:rFonts w:asciiTheme="minorHAnsi" w:eastAsia="Times New Roman" w:hAnsiTheme="minorHAnsi" w:cstheme="minorHAnsi"/>
                <w:sz w:val="20"/>
                <w:szCs w:val="20"/>
                <w:lang w:val="es-CR" w:eastAsia="es-CR"/>
              </w:rPr>
              <w:t>Drug</w:t>
            </w:r>
            <w:proofErr w:type="spellEnd"/>
            <w:r w:rsidRPr="000F0D79">
              <w:rPr>
                <w:rFonts w:asciiTheme="minorHAnsi" w:eastAsia="Times New Roman" w:hAnsiTheme="minorHAnsi" w:cstheme="minorHAnsi"/>
                <w:sz w:val="20"/>
                <w:szCs w:val="20"/>
                <w:lang w:val="es-CR" w:eastAsia="es-CR"/>
              </w:rPr>
              <w:t xml:space="preserve"> Global con el UPPSALA </w:t>
            </w:r>
            <w:proofErr w:type="spellStart"/>
            <w:r w:rsidRPr="000F0D79">
              <w:rPr>
                <w:rFonts w:asciiTheme="minorHAnsi" w:eastAsia="Times New Roman" w:hAnsiTheme="minorHAnsi" w:cstheme="minorHAnsi"/>
                <w:sz w:val="20"/>
                <w:szCs w:val="20"/>
                <w:lang w:val="es-CR" w:eastAsia="es-CR"/>
              </w:rPr>
              <w:t>Monitoring</w:t>
            </w:r>
            <w:proofErr w:type="spellEnd"/>
            <w:r w:rsidRPr="000F0D79">
              <w:rPr>
                <w:rFonts w:asciiTheme="minorHAnsi" w:eastAsia="Times New Roman" w:hAnsiTheme="minorHAnsi" w:cstheme="minorHAnsi"/>
                <w:sz w:val="20"/>
                <w:szCs w:val="20"/>
                <w:lang w:val="es-CR" w:eastAsia="es-CR"/>
              </w:rPr>
              <w:t xml:space="preserve"> Centre DE Suecia (UMC) para su incorporación en la versión 2.0 del Sistema Regional FACEDRA. Se aprueba el incremento en la cuota anual de los Estados miembros del COMISCA correspondiente al 30% de la cuota anual actual para el año 2024 y un incremento del 10% al 2025. Designar por cada ministro de salud un punto focal a nivel </w:t>
            </w:r>
            <w:r w:rsidRPr="000F0D79">
              <w:rPr>
                <w:rFonts w:asciiTheme="minorHAnsi" w:eastAsia="Times New Roman" w:hAnsiTheme="minorHAnsi" w:cstheme="minorHAnsi"/>
                <w:sz w:val="20"/>
                <w:szCs w:val="20"/>
                <w:lang w:val="es-CR" w:eastAsia="es-CR"/>
              </w:rPr>
              <w:t>operativo</w:t>
            </w:r>
            <w:r w:rsidRPr="000F0D79">
              <w:rPr>
                <w:rFonts w:asciiTheme="minorHAnsi" w:eastAsia="Times New Roman" w:hAnsiTheme="minorHAnsi" w:cstheme="minorHAnsi"/>
                <w:sz w:val="20"/>
                <w:szCs w:val="20"/>
                <w:lang w:val="es-CR" w:eastAsia="es-CR"/>
              </w:rPr>
              <w:t xml:space="preserve"> para facilitar coordinaciones e implementación del trabajo e integración regional. Instruir a la SE-COMISCA presentar un análisis del manejo técnico financiero de la secretaría que sirva como base para generar una propuesta de lineamiento regional que contribuya a la autosostenibilidad de la SE-COMISCA. Instruir a la SE-COMISCA realizar el análisis del funcionamiento del mecanismo de la Negociación Conjunta COMISCA para potenciar los beneficios a los estados miembros. Instruir a la SE-COMISCA y al Mecanismo de Coordinación Regional para </w:t>
            </w:r>
            <w:r w:rsidRPr="000F0D79">
              <w:rPr>
                <w:rFonts w:asciiTheme="minorHAnsi" w:eastAsia="Times New Roman" w:hAnsiTheme="minorHAnsi" w:cstheme="minorHAnsi"/>
                <w:sz w:val="20"/>
                <w:szCs w:val="20"/>
                <w:lang w:val="es-CR" w:eastAsia="es-CR"/>
              </w:rPr>
              <w:t>Tuberculosis</w:t>
            </w:r>
            <w:r w:rsidRPr="000F0D79">
              <w:rPr>
                <w:rFonts w:asciiTheme="minorHAnsi" w:eastAsia="Times New Roman" w:hAnsiTheme="minorHAnsi" w:cstheme="minorHAnsi"/>
                <w:sz w:val="20"/>
                <w:szCs w:val="20"/>
                <w:lang w:val="es-CR" w:eastAsia="es-CR"/>
              </w:rPr>
              <w:t xml:space="preserve">, VIH y Malaria (MCR) a que, con el apoyo técnico de la OPS/OMS y en coordinación con las instancias responsables en el tema de Tuberculosis a lo interno de cada país, elaboren la propuesta del Plan Estratégico Regional de Tuberculosis en </w:t>
            </w:r>
            <w:r>
              <w:rPr>
                <w:rFonts w:asciiTheme="minorHAnsi" w:eastAsia="Times New Roman" w:hAnsiTheme="minorHAnsi" w:cstheme="minorHAnsi"/>
                <w:sz w:val="20"/>
                <w:szCs w:val="20"/>
                <w:lang w:val="es-CR" w:eastAsia="es-CR"/>
              </w:rPr>
              <w:t>Centroamérica y República Dominicana</w:t>
            </w:r>
            <w:r w:rsidRPr="000F0D79">
              <w:rPr>
                <w:rFonts w:asciiTheme="minorHAnsi" w:eastAsia="Times New Roman" w:hAnsiTheme="minorHAnsi" w:cstheme="minorHAnsi"/>
                <w:sz w:val="20"/>
                <w:szCs w:val="20"/>
                <w:lang w:val="es-CR" w:eastAsia="es-CR"/>
              </w:rPr>
              <w:t xml:space="preserve">, que incluya intervenciones para el abordaje de la coinfección VIH-Tuberculosis, con morbilidades como Diabetes, Hipertensión Arterial y Enfermedad Renal Crónica, así como la sostenibilidad de la respuesta en Tuberculosis en la región del SICA. Instruir a las instancias responsables de Tuberculosis y VIH de cada país a brindar el apoyo necesario a la SECOMISCA y al MCR para la elaboración de este plan. Priorizar al 2025 el incremento entre un 5% al 10% de los presupuestos actuales brindados a los Laboratorios Nacionales de Referencia de Salud Pública para ser destinado al fortalecimiento del Sistema de Gestión de la Calidad y Bioseguridad. Disponer de al menos un profesional biomédico al 2025 en los Laboratorios Nacionales de Referencia de Salud Pública para la certificación de cabinas de bioseguridad y recurso humano capacitado al control metrológico y de los equipos requeridos. Instruir a la SE-COMISCA para que gestione con los socios de la cooperación la búsqueda de recursos financieros para el entrenamiento/capacitación de recursos humanos para la certificación de Cabinas de Bioseguridad y verificación/calibración de instrumentos de volumen y temperatura en </w:t>
            </w:r>
            <w:r w:rsidRPr="000F0D79">
              <w:rPr>
                <w:rFonts w:asciiTheme="minorHAnsi" w:eastAsia="Times New Roman" w:hAnsiTheme="minorHAnsi" w:cstheme="minorHAnsi"/>
                <w:sz w:val="20"/>
                <w:szCs w:val="20"/>
                <w:lang w:val="es-CR" w:eastAsia="es-CR"/>
              </w:rPr>
              <w:t>complemento</w:t>
            </w:r>
            <w:r w:rsidRPr="000F0D79">
              <w:rPr>
                <w:rFonts w:asciiTheme="minorHAnsi" w:eastAsia="Times New Roman" w:hAnsiTheme="minorHAnsi" w:cstheme="minorHAnsi"/>
                <w:sz w:val="20"/>
                <w:szCs w:val="20"/>
                <w:lang w:val="es-CR" w:eastAsia="es-CR"/>
              </w:rPr>
              <w:t xml:space="preserve"> a las acciones nacionales para la sostenibilidad de los Sistemas de Gestión de la Calidad. Instruir a la SE-COMISCA y la Red de Laboratorios de Referencia de C</w:t>
            </w:r>
            <w:r>
              <w:rPr>
                <w:rFonts w:asciiTheme="minorHAnsi" w:eastAsia="Times New Roman" w:hAnsiTheme="minorHAnsi" w:cstheme="minorHAnsi"/>
                <w:sz w:val="20"/>
                <w:szCs w:val="20"/>
                <w:lang w:val="es-CR" w:eastAsia="es-CR"/>
              </w:rPr>
              <w:t xml:space="preserve">entroamérica </w:t>
            </w:r>
            <w:r w:rsidRPr="000F0D79">
              <w:rPr>
                <w:rFonts w:asciiTheme="minorHAnsi" w:eastAsia="Times New Roman" w:hAnsiTheme="minorHAnsi" w:cstheme="minorHAnsi"/>
                <w:sz w:val="20"/>
                <w:szCs w:val="20"/>
                <w:lang w:val="es-CR" w:eastAsia="es-CR"/>
              </w:rPr>
              <w:t>y Rep</w:t>
            </w:r>
            <w:r>
              <w:rPr>
                <w:rFonts w:asciiTheme="minorHAnsi" w:eastAsia="Times New Roman" w:hAnsiTheme="minorHAnsi" w:cstheme="minorHAnsi"/>
                <w:sz w:val="20"/>
                <w:szCs w:val="20"/>
                <w:lang w:val="es-CR" w:eastAsia="es-CR"/>
              </w:rPr>
              <w:t xml:space="preserve">ública </w:t>
            </w:r>
            <w:r w:rsidRPr="000F0D79">
              <w:rPr>
                <w:rFonts w:asciiTheme="minorHAnsi" w:eastAsia="Times New Roman" w:hAnsiTheme="minorHAnsi" w:cstheme="minorHAnsi"/>
                <w:sz w:val="20"/>
                <w:szCs w:val="20"/>
                <w:lang w:val="es-CR" w:eastAsia="es-CR"/>
              </w:rPr>
              <w:t xml:space="preserve">Dominicana a elaborar una propuesta de normativa regional que facilite la colaboración interinstitucional entre los países del SICA para fortalecer la vigilancia basada en laboratorio, formación y capacitación del personal, intercambio de bienes y servicios para la atención de eventos de importancia en salud pública. Aprobar los Lineamientos Regionales sobre Comunicación de Riesgos en la Era POSCOVID 19 y otras emergencias. Instruir a la SE-COMISCA y a la Red Regional de Comunicadores en Salud para que, con apoyo técnico de OPS, los CDC y otros, se implementos los lineamientos regionales Lineamientos Regionales sobre Comunicación de Riesgos en la Era POSCOVID 19 y otras emergencias. Instruir a la SE-COMISCA potenciales fuentes de financiamiento para la implementación de los Lineamientos en complemento con las gestiones de cooperación que realiza cada país. Aprobar la Estrategia para la Equidad e Igualdad en Salud entre Mujeres y Hombres. Instruir a la SE-COMISCA y a la Comisión </w:t>
            </w:r>
            <w:r w:rsidRPr="000F0D79">
              <w:rPr>
                <w:rFonts w:asciiTheme="minorHAnsi" w:eastAsia="Times New Roman" w:hAnsiTheme="minorHAnsi" w:cstheme="minorHAnsi"/>
                <w:sz w:val="20"/>
                <w:szCs w:val="20"/>
                <w:lang w:val="es-CR" w:eastAsia="es-CR"/>
              </w:rPr>
              <w:t>Técnica</w:t>
            </w:r>
            <w:r w:rsidRPr="000F0D79">
              <w:rPr>
                <w:rFonts w:asciiTheme="minorHAnsi" w:eastAsia="Times New Roman" w:hAnsiTheme="minorHAnsi" w:cstheme="minorHAnsi"/>
                <w:sz w:val="20"/>
                <w:szCs w:val="20"/>
                <w:lang w:val="es-CR" w:eastAsia="es-CR"/>
              </w:rPr>
              <w:t xml:space="preserve"> de Género y Salud trabajar un plan operativo para la implementación de la estrategia. Aprobar el uso del Observatorio Regional de Ensayos </w:t>
            </w:r>
            <w:r w:rsidRPr="000F0D79">
              <w:rPr>
                <w:rFonts w:asciiTheme="minorHAnsi" w:eastAsia="Times New Roman" w:hAnsiTheme="minorHAnsi" w:cstheme="minorHAnsi"/>
                <w:sz w:val="20"/>
                <w:szCs w:val="20"/>
                <w:lang w:val="es-CR" w:eastAsia="es-CR"/>
              </w:rPr>
              <w:t>clínicos</w:t>
            </w:r>
            <w:r w:rsidRPr="000F0D79">
              <w:rPr>
                <w:rFonts w:asciiTheme="minorHAnsi" w:eastAsia="Times New Roman" w:hAnsiTheme="minorHAnsi" w:cstheme="minorHAnsi"/>
                <w:sz w:val="20"/>
                <w:szCs w:val="20"/>
                <w:lang w:val="es-CR" w:eastAsia="es-CR"/>
              </w:rPr>
              <w:t xml:space="preserve"> de </w:t>
            </w:r>
            <w:r w:rsidRPr="000F0D79">
              <w:rPr>
                <w:rFonts w:asciiTheme="minorHAnsi" w:eastAsia="Times New Roman" w:hAnsiTheme="minorHAnsi" w:cstheme="minorHAnsi"/>
                <w:sz w:val="20"/>
                <w:szCs w:val="20"/>
                <w:lang w:val="es-CR" w:eastAsia="es-CR"/>
              </w:rPr>
              <w:t>Centroamérica</w:t>
            </w:r>
            <w:r w:rsidRPr="000F0D79">
              <w:rPr>
                <w:rFonts w:asciiTheme="minorHAnsi" w:eastAsia="Times New Roman" w:hAnsiTheme="minorHAnsi" w:cstheme="minorHAnsi"/>
                <w:sz w:val="20"/>
                <w:szCs w:val="20"/>
                <w:lang w:val="es-CR" w:eastAsia="es-CR"/>
              </w:rPr>
              <w:t xml:space="preserve"> y Republica Dominicana (OREC) como herramienta de consulta para los Estados Miembros del SICA en apoyo a la </w:t>
            </w:r>
            <w:r w:rsidRPr="000F0D79">
              <w:rPr>
                <w:rFonts w:asciiTheme="minorHAnsi" w:eastAsia="Times New Roman" w:hAnsiTheme="minorHAnsi" w:cstheme="minorHAnsi"/>
                <w:sz w:val="20"/>
                <w:szCs w:val="20"/>
                <w:lang w:val="es-CR" w:eastAsia="es-CR"/>
              </w:rPr>
              <w:t>conducción</w:t>
            </w:r>
            <w:r w:rsidRPr="000F0D79">
              <w:rPr>
                <w:rFonts w:asciiTheme="minorHAnsi" w:eastAsia="Times New Roman" w:hAnsiTheme="minorHAnsi" w:cstheme="minorHAnsi"/>
                <w:sz w:val="20"/>
                <w:szCs w:val="20"/>
                <w:lang w:val="es-CR" w:eastAsia="es-CR"/>
              </w:rPr>
              <w:t xml:space="preserve"> de </w:t>
            </w:r>
            <w:r w:rsidRPr="000F0D79">
              <w:rPr>
                <w:rFonts w:asciiTheme="minorHAnsi" w:eastAsia="Times New Roman" w:hAnsiTheme="minorHAnsi" w:cstheme="minorHAnsi"/>
                <w:sz w:val="20"/>
                <w:szCs w:val="20"/>
                <w:lang w:val="es-CR" w:eastAsia="es-CR"/>
              </w:rPr>
              <w:t>investigación</w:t>
            </w:r>
            <w:r w:rsidRPr="000F0D79">
              <w:rPr>
                <w:rFonts w:asciiTheme="minorHAnsi" w:eastAsia="Times New Roman" w:hAnsiTheme="minorHAnsi" w:cstheme="minorHAnsi"/>
                <w:sz w:val="20"/>
                <w:szCs w:val="20"/>
                <w:lang w:val="es-CR" w:eastAsia="es-CR"/>
              </w:rPr>
              <w:t xml:space="preserve"> </w:t>
            </w:r>
            <w:r w:rsidRPr="000F0D79">
              <w:rPr>
                <w:rFonts w:asciiTheme="minorHAnsi" w:eastAsia="Times New Roman" w:hAnsiTheme="minorHAnsi" w:cstheme="minorHAnsi"/>
                <w:sz w:val="20"/>
                <w:szCs w:val="20"/>
                <w:lang w:val="es-CR" w:eastAsia="es-CR"/>
              </w:rPr>
              <w:t>ética</w:t>
            </w:r>
            <w:r w:rsidRPr="000F0D79">
              <w:rPr>
                <w:rFonts w:asciiTheme="minorHAnsi" w:eastAsia="Times New Roman" w:hAnsiTheme="minorHAnsi" w:cstheme="minorHAnsi"/>
                <w:sz w:val="20"/>
                <w:szCs w:val="20"/>
                <w:lang w:val="es-CR" w:eastAsia="es-CR"/>
              </w:rPr>
              <w:t xml:space="preserve"> y el </w:t>
            </w:r>
            <w:r w:rsidRPr="000F0D79">
              <w:rPr>
                <w:rFonts w:asciiTheme="minorHAnsi" w:eastAsia="Times New Roman" w:hAnsiTheme="minorHAnsi" w:cstheme="minorHAnsi"/>
                <w:sz w:val="20"/>
                <w:szCs w:val="20"/>
                <w:lang w:val="es-CR" w:eastAsia="es-CR"/>
              </w:rPr>
              <w:t>análisis</w:t>
            </w:r>
            <w:r w:rsidRPr="000F0D79">
              <w:rPr>
                <w:rFonts w:asciiTheme="minorHAnsi" w:eastAsia="Times New Roman" w:hAnsiTheme="minorHAnsi" w:cstheme="minorHAnsi"/>
                <w:sz w:val="20"/>
                <w:szCs w:val="20"/>
                <w:lang w:val="es-CR" w:eastAsia="es-CR"/>
              </w:rPr>
              <w:t xml:space="preserve"> critico de la evidencia </w:t>
            </w:r>
            <w:r w:rsidRPr="000F0D79">
              <w:rPr>
                <w:rFonts w:asciiTheme="minorHAnsi" w:eastAsia="Times New Roman" w:hAnsiTheme="minorHAnsi" w:cstheme="minorHAnsi"/>
                <w:sz w:val="20"/>
                <w:szCs w:val="20"/>
                <w:lang w:val="es-CR" w:eastAsia="es-CR"/>
              </w:rPr>
              <w:t>científica</w:t>
            </w:r>
            <w:r w:rsidRPr="000F0D79">
              <w:rPr>
                <w:rFonts w:asciiTheme="minorHAnsi" w:eastAsia="Times New Roman" w:hAnsiTheme="minorHAnsi" w:cstheme="minorHAnsi"/>
                <w:sz w:val="20"/>
                <w:szCs w:val="20"/>
                <w:lang w:val="es-CR" w:eastAsia="es-CR"/>
              </w:rPr>
              <w:t xml:space="preserve">. Instruir a la SE-COMISCA la </w:t>
            </w:r>
            <w:r w:rsidRPr="000F0D79">
              <w:rPr>
                <w:rFonts w:asciiTheme="minorHAnsi" w:eastAsia="Times New Roman" w:hAnsiTheme="minorHAnsi" w:cstheme="minorHAnsi"/>
                <w:sz w:val="20"/>
                <w:szCs w:val="20"/>
                <w:lang w:val="es-CR" w:eastAsia="es-CR"/>
              </w:rPr>
              <w:t>administración</w:t>
            </w:r>
            <w:r w:rsidRPr="000F0D79">
              <w:rPr>
                <w:rFonts w:asciiTheme="minorHAnsi" w:eastAsia="Times New Roman" w:hAnsiTheme="minorHAnsi" w:cstheme="minorHAnsi"/>
                <w:sz w:val="20"/>
                <w:szCs w:val="20"/>
                <w:lang w:val="es-CR" w:eastAsia="es-CR"/>
              </w:rPr>
              <w:t xml:space="preserve"> web del OREC y brindar </w:t>
            </w:r>
            <w:r w:rsidRPr="000F0D79">
              <w:rPr>
                <w:rFonts w:asciiTheme="minorHAnsi" w:eastAsia="Times New Roman" w:hAnsiTheme="minorHAnsi" w:cstheme="minorHAnsi"/>
                <w:sz w:val="20"/>
                <w:szCs w:val="20"/>
                <w:lang w:val="es-CR" w:eastAsia="es-CR"/>
              </w:rPr>
              <w:t>capacitación</w:t>
            </w:r>
            <w:r w:rsidRPr="000F0D79">
              <w:rPr>
                <w:rFonts w:asciiTheme="minorHAnsi" w:eastAsia="Times New Roman" w:hAnsiTheme="minorHAnsi" w:cstheme="minorHAnsi"/>
                <w:sz w:val="20"/>
                <w:szCs w:val="20"/>
                <w:lang w:val="es-CR" w:eastAsia="es-CR"/>
              </w:rPr>
              <w:t xml:space="preserve"> y soporte a los usuarios de los Ministerios de Salud y Autoridades Reguladoras de Medicamentos para el uso del observatorio. Instruir a la SE-COMISCA suscribir un acuerdo de servicios con OPS para el uso del “web </w:t>
            </w:r>
            <w:proofErr w:type="spellStart"/>
            <w:r w:rsidRPr="000F0D79">
              <w:rPr>
                <w:rFonts w:asciiTheme="minorHAnsi" w:eastAsia="Times New Roman" w:hAnsiTheme="minorHAnsi" w:cstheme="minorHAnsi"/>
                <w:sz w:val="20"/>
                <w:szCs w:val="20"/>
                <w:lang w:val="es-CR" w:eastAsia="es-CR"/>
              </w:rPr>
              <w:t>service</w:t>
            </w:r>
            <w:proofErr w:type="spellEnd"/>
            <w:r w:rsidRPr="000F0D79">
              <w:rPr>
                <w:rFonts w:asciiTheme="minorHAnsi" w:eastAsia="Times New Roman" w:hAnsiTheme="minorHAnsi" w:cstheme="minorHAnsi"/>
                <w:sz w:val="20"/>
                <w:szCs w:val="20"/>
                <w:lang w:val="es-CR" w:eastAsia="es-CR"/>
              </w:rPr>
              <w:t>” para la extracción de datos de la plataforma ICTRP de la OMS. Aceptar el ofrecimiento de la Organización Panamericana de la Salud (OPS), por medio de su Programa Subregional para Centroamérica, para asumir el costo de la sostenibilidad del OREC para el bienio 2024-2025. Aprobar que, de la cuota anual que aportan los Estados Miembros del COMISCA, el uso del OREC para vigilar el registro de ensayos clínicos que cumpla con los estándares internacionales de la OMS y así fortalecer las capacidades para la conducción de investigación de forma ética y responsables, el análisis crítico y la gestión del conocimiento para la toma de decisiones en salud, en seguimiento a la Línea de acción 3.3.1.3 del PSCARD 2021- 2025. Reconocer al mecanismo de Negociación Conjunta COMISCA como una Política Pública instaurada por COMISCA, constituyéndose como el Bien Público Comunitario del SICA. Reiterar la dispo</w:t>
            </w:r>
            <w:r>
              <w:rPr>
                <w:rFonts w:asciiTheme="minorHAnsi" w:eastAsia="Times New Roman" w:hAnsiTheme="minorHAnsi" w:cstheme="minorHAnsi"/>
                <w:sz w:val="20"/>
                <w:szCs w:val="20"/>
                <w:lang w:val="es-CR" w:eastAsia="es-CR"/>
              </w:rPr>
              <w:t>si</w:t>
            </w:r>
            <w:r w:rsidRPr="000F0D79">
              <w:rPr>
                <w:rFonts w:asciiTheme="minorHAnsi" w:eastAsia="Times New Roman" w:hAnsiTheme="minorHAnsi" w:cstheme="minorHAnsi"/>
                <w:sz w:val="20"/>
                <w:szCs w:val="20"/>
                <w:lang w:val="es-CR" w:eastAsia="es-CR"/>
              </w:rPr>
              <w:t xml:space="preserve">ción de extender el uso del mecanismo de Negociación Conjunta COMISCA para la identificación de medicamentos de interés a otros países del continente. Poner a disposición de otros órganos e instituciones del SICA el mecanismo Negociación Conjunta COMISCA para la adquisición de medicamentos, dispositivos médicos y otros. Presentar durante la presidencia </w:t>
            </w:r>
            <w:proofErr w:type="spellStart"/>
            <w:r w:rsidRPr="000F0D79">
              <w:rPr>
                <w:rFonts w:asciiTheme="minorHAnsi" w:eastAsia="Times New Roman" w:hAnsiTheme="minorHAnsi" w:cstheme="minorHAnsi"/>
                <w:sz w:val="20"/>
                <w:szCs w:val="20"/>
                <w:lang w:val="es-CR" w:eastAsia="es-CR"/>
              </w:rPr>
              <w:t>protempore</w:t>
            </w:r>
            <w:proofErr w:type="spellEnd"/>
            <w:r w:rsidRPr="000F0D79">
              <w:rPr>
                <w:rFonts w:asciiTheme="minorHAnsi" w:eastAsia="Times New Roman" w:hAnsiTheme="minorHAnsi" w:cstheme="minorHAnsi"/>
                <w:sz w:val="20"/>
                <w:szCs w:val="20"/>
                <w:lang w:val="es-CR" w:eastAsia="es-CR"/>
              </w:rPr>
              <w:t xml:space="preserve"> COMISCA de El Salvador los resultados del análisis de inteligencia de mercado que incluya un mecanismo de </w:t>
            </w:r>
            <w:r w:rsidRPr="000F0D79">
              <w:rPr>
                <w:rFonts w:asciiTheme="minorHAnsi" w:eastAsia="Times New Roman" w:hAnsiTheme="minorHAnsi" w:cstheme="minorHAnsi"/>
                <w:sz w:val="20"/>
                <w:szCs w:val="20"/>
                <w:lang w:val="es-CR" w:eastAsia="es-CR"/>
              </w:rPr>
              <w:t>priorización</w:t>
            </w:r>
            <w:r w:rsidRPr="000F0D79">
              <w:rPr>
                <w:rFonts w:asciiTheme="minorHAnsi" w:eastAsia="Times New Roman" w:hAnsiTheme="minorHAnsi" w:cstheme="minorHAnsi"/>
                <w:sz w:val="20"/>
                <w:szCs w:val="20"/>
                <w:lang w:val="es-CR" w:eastAsia="es-CR"/>
              </w:rPr>
              <w:t xml:space="preserve"> de productos para la maximización de beneficios de la Negociación Conjunta COMISCA.</w:t>
            </w:r>
          </w:p>
        </w:tc>
        <w:tc>
          <w:tcPr>
            <w:tcW w:w="1554" w:type="dxa"/>
            <w:shd w:val="clear" w:color="auto" w:fill="auto"/>
          </w:tcPr>
          <w:p w14:paraId="6B11DD94" w14:textId="551AB769" w:rsidR="003833A6" w:rsidRPr="000F0D79" w:rsidRDefault="003833A6" w:rsidP="003833A6">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 xml:space="preserve">Secretaría Ejecutiva del Consejo de </w:t>
            </w:r>
            <w:proofErr w:type="gramStart"/>
            <w:r w:rsidRPr="000F0D79">
              <w:rPr>
                <w:rFonts w:asciiTheme="minorHAnsi" w:eastAsia="Times New Roman" w:hAnsiTheme="minorHAnsi" w:cstheme="minorHAnsi"/>
                <w:sz w:val="20"/>
                <w:szCs w:val="20"/>
                <w:lang w:val="es-CR" w:eastAsia="es-CR"/>
              </w:rPr>
              <w:t>Ministros</w:t>
            </w:r>
            <w:proofErr w:type="gramEnd"/>
            <w:r w:rsidRPr="000F0D79">
              <w:rPr>
                <w:rFonts w:asciiTheme="minorHAnsi" w:eastAsia="Times New Roman" w:hAnsiTheme="minorHAnsi" w:cstheme="minorHAnsi"/>
                <w:sz w:val="20"/>
                <w:szCs w:val="20"/>
                <w:lang w:val="es-CR" w:eastAsia="es-CR"/>
              </w:rPr>
              <w:t xml:space="preserve"> de Salud de Centroamérica y República Dominicana (SE-COMISCA)</w:t>
            </w:r>
          </w:p>
        </w:tc>
        <w:tc>
          <w:tcPr>
            <w:tcW w:w="1464" w:type="dxa"/>
            <w:shd w:val="clear" w:color="auto" w:fill="auto"/>
          </w:tcPr>
          <w:p w14:paraId="276E77CB" w14:textId="7CFB1002" w:rsidR="003833A6" w:rsidRPr="000F0D79" w:rsidRDefault="003833A6" w:rsidP="003833A6">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No se dan viáticos institucionales.</w:t>
            </w:r>
          </w:p>
        </w:tc>
        <w:tc>
          <w:tcPr>
            <w:tcW w:w="1486" w:type="dxa"/>
            <w:shd w:val="clear" w:color="auto" w:fill="auto"/>
          </w:tcPr>
          <w:p w14:paraId="53F6787E" w14:textId="77777777" w:rsidR="003833A6" w:rsidRPr="00502CAD" w:rsidRDefault="003833A6" w:rsidP="003833A6">
            <w:pPr>
              <w:spacing w:line="240" w:lineRule="auto"/>
              <w:rPr>
                <w:rFonts w:asciiTheme="minorHAnsi" w:eastAsia="Times New Roman" w:hAnsiTheme="minorHAnsi" w:cstheme="minorHAnsi"/>
                <w:sz w:val="20"/>
                <w:szCs w:val="20"/>
                <w:lang w:val="es-ES_tradnl" w:eastAsia="es-CR"/>
              </w:rPr>
            </w:pPr>
          </w:p>
        </w:tc>
      </w:tr>
      <w:tr w:rsidR="003833A6" w:rsidRPr="007F4D6F" w14:paraId="4EB7D770" w14:textId="77777777" w:rsidTr="000F0D79">
        <w:trPr>
          <w:trHeight w:val="50"/>
          <w:jc w:val="center"/>
        </w:trPr>
        <w:tc>
          <w:tcPr>
            <w:tcW w:w="1398" w:type="dxa"/>
            <w:shd w:val="clear" w:color="auto" w:fill="auto"/>
          </w:tcPr>
          <w:p w14:paraId="0CC53692" w14:textId="0C0DB32D" w:rsidR="003833A6" w:rsidRPr="000F0D79" w:rsidRDefault="003833A6" w:rsidP="003833A6">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Sara Pérez Salas</w:t>
            </w:r>
          </w:p>
        </w:tc>
        <w:tc>
          <w:tcPr>
            <w:tcW w:w="1482" w:type="dxa"/>
            <w:shd w:val="clear" w:color="auto" w:fill="auto"/>
          </w:tcPr>
          <w:p w14:paraId="04CB26AE" w14:textId="049F69EB" w:rsidR="003833A6" w:rsidRPr="000F0D79" w:rsidRDefault="003833A6" w:rsidP="003833A6">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Despacho Ministerial</w:t>
            </w:r>
          </w:p>
        </w:tc>
        <w:tc>
          <w:tcPr>
            <w:tcW w:w="1161" w:type="dxa"/>
            <w:shd w:val="clear" w:color="auto" w:fill="auto"/>
          </w:tcPr>
          <w:p w14:paraId="00979810" w14:textId="3D528C7D" w:rsidR="003833A6" w:rsidRPr="000F0D79" w:rsidRDefault="003833A6" w:rsidP="003833A6">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22</w:t>
            </w:r>
            <w:r>
              <w:rPr>
                <w:rFonts w:asciiTheme="minorHAnsi" w:eastAsia="Times New Roman" w:hAnsiTheme="minorHAnsi" w:cstheme="minorHAnsi"/>
                <w:sz w:val="20"/>
                <w:szCs w:val="20"/>
                <w:lang w:val="es-CR" w:eastAsia="es-CR"/>
              </w:rPr>
              <w:t xml:space="preserve"> </w:t>
            </w:r>
            <w:r>
              <w:rPr>
                <w:rFonts w:asciiTheme="minorHAnsi" w:eastAsia="Times New Roman" w:hAnsiTheme="minorHAnsi" w:cstheme="minorHAnsi"/>
                <w:sz w:val="20"/>
                <w:szCs w:val="20"/>
                <w:lang w:val="es-CR" w:eastAsia="es-CR"/>
              </w:rPr>
              <w:t>de junio de 2023</w:t>
            </w:r>
          </w:p>
        </w:tc>
        <w:tc>
          <w:tcPr>
            <w:tcW w:w="1172" w:type="dxa"/>
            <w:shd w:val="clear" w:color="auto" w:fill="auto"/>
          </w:tcPr>
          <w:p w14:paraId="52B14FCA" w14:textId="2F13432E" w:rsidR="003833A6" w:rsidRPr="000F0D79" w:rsidRDefault="003833A6" w:rsidP="003833A6">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23</w:t>
            </w:r>
            <w:r>
              <w:rPr>
                <w:rFonts w:asciiTheme="minorHAnsi" w:eastAsia="Times New Roman" w:hAnsiTheme="minorHAnsi" w:cstheme="minorHAnsi"/>
                <w:sz w:val="20"/>
                <w:szCs w:val="20"/>
                <w:lang w:val="es-CR" w:eastAsia="es-CR"/>
              </w:rPr>
              <w:t xml:space="preserve"> </w:t>
            </w:r>
            <w:r>
              <w:rPr>
                <w:rFonts w:asciiTheme="minorHAnsi" w:eastAsia="Times New Roman" w:hAnsiTheme="minorHAnsi" w:cstheme="minorHAnsi"/>
                <w:sz w:val="20"/>
                <w:szCs w:val="20"/>
                <w:lang w:val="es-CR" w:eastAsia="es-CR"/>
              </w:rPr>
              <w:t>de junio de 2023</w:t>
            </w:r>
          </w:p>
        </w:tc>
        <w:tc>
          <w:tcPr>
            <w:tcW w:w="1101" w:type="dxa"/>
            <w:shd w:val="clear" w:color="auto" w:fill="auto"/>
          </w:tcPr>
          <w:p w14:paraId="774ED824" w14:textId="6D461785" w:rsidR="003833A6" w:rsidRPr="000F0D79" w:rsidRDefault="003833A6" w:rsidP="003833A6">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Belice</w:t>
            </w:r>
          </w:p>
        </w:tc>
        <w:tc>
          <w:tcPr>
            <w:tcW w:w="1723" w:type="dxa"/>
            <w:shd w:val="clear" w:color="auto" w:fill="auto"/>
          </w:tcPr>
          <w:p w14:paraId="26C6C7A1" w14:textId="35012D46" w:rsidR="003833A6" w:rsidRPr="000F0D79" w:rsidRDefault="003833A6" w:rsidP="003833A6">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 xml:space="preserve">58° reunión del Consejo de </w:t>
            </w:r>
            <w:proofErr w:type="gramStart"/>
            <w:r w:rsidRPr="000F0D79">
              <w:rPr>
                <w:rFonts w:asciiTheme="minorHAnsi" w:eastAsia="Times New Roman" w:hAnsiTheme="minorHAnsi" w:cstheme="minorHAnsi"/>
                <w:sz w:val="20"/>
                <w:szCs w:val="20"/>
                <w:lang w:val="es-CR" w:eastAsia="es-CR"/>
              </w:rPr>
              <w:t>Ministros</w:t>
            </w:r>
            <w:proofErr w:type="gramEnd"/>
            <w:r w:rsidRPr="000F0D79">
              <w:rPr>
                <w:rFonts w:asciiTheme="minorHAnsi" w:eastAsia="Times New Roman" w:hAnsiTheme="minorHAnsi" w:cstheme="minorHAnsi"/>
                <w:sz w:val="20"/>
                <w:szCs w:val="20"/>
                <w:lang w:val="es-CR" w:eastAsia="es-CR"/>
              </w:rPr>
              <w:t xml:space="preserve"> de Salud de Centroamérica y República Dominicana (COMISCA)</w:t>
            </w:r>
          </w:p>
        </w:tc>
        <w:tc>
          <w:tcPr>
            <w:tcW w:w="2458" w:type="dxa"/>
            <w:shd w:val="clear" w:color="auto" w:fill="auto"/>
            <w:vAlign w:val="center"/>
          </w:tcPr>
          <w:p w14:paraId="32E52A5B" w14:textId="30563C1F" w:rsidR="003833A6" w:rsidRPr="000F0D79" w:rsidRDefault="003833A6" w:rsidP="003833A6">
            <w:pPr>
              <w:spacing w:line="240" w:lineRule="auto"/>
              <w:jc w:val="center"/>
              <w:rPr>
                <w:rFonts w:asciiTheme="minorHAnsi" w:eastAsia="Times New Roman" w:hAnsiTheme="minorHAnsi" w:cstheme="minorHAnsi"/>
                <w:i/>
                <w:iCs/>
                <w:sz w:val="20"/>
                <w:szCs w:val="20"/>
                <w:u w:val="single"/>
                <w:lang w:val="es-CR" w:eastAsia="es-CR"/>
              </w:rPr>
            </w:pPr>
            <w:r>
              <w:rPr>
                <w:rFonts w:asciiTheme="minorHAnsi" w:eastAsia="Times New Roman" w:hAnsiTheme="minorHAnsi" w:cstheme="minorHAnsi"/>
                <w:i/>
                <w:iCs/>
                <w:sz w:val="20"/>
                <w:szCs w:val="20"/>
                <w:u w:val="single"/>
                <w:lang w:val="es-CR" w:eastAsia="es-CR"/>
              </w:rPr>
              <w:t>Pendiente de entrega.</w:t>
            </w:r>
          </w:p>
        </w:tc>
        <w:tc>
          <w:tcPr>
            <w:tcW w:w="1554" w:type="dxa"/>
            <w:shd w:val="clear" w:color="auto" w:fill="auto"/>
          </w:tcPr>
          <w:p w14:paraId="1C96A7BF" w14:textId="74AD4642" w:rsidR="003833A6" w:rsidRPr="000F0D79" w:rsidRDefault="003833A6" w:rsidP="003833A6">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Ministerio de Salud de Costa Rica</w:t>
            </w:r>
          </w:p>
        </w:tc>
        <w:tc>
          <w:tcPr>
            <w:tcW w:w="1464" w:type="dxa"/>
            <w:shd w:val="clear" w:color="auto" w:fill="auto"/>
          </w:tcPr>
          <w:p w14:paraId="5AAE1730" w14:textId="70564043" w:rsidR="003833A6" w:rsidRPr="000F0D79" w:rsidRDefault="003833A6" w:rsidP="003833A6">
            <w:pPr>
              <w:spacing w:line="240" w:lineRule="auto"/>
              <w:jc w:val="right"/>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 xml:space="preserve">₡ 476 353,86 </w:t>
            </w:r>
          </w:p>
        </w:tc>
        <w:tc>
          <w:tcPr>
            <w:tcW w:w="1486" w:type="dxa"/>
            <w:shd w:val="clear" w:color="auto" w:fill="auto"/>
          </w:tcPr>
          <w:p w14:paraId="63BC6D3E" w14:textId="19D14DA7" w:rsidR="003833A6" w:rsidRPr="00502CAD" w:rsidRDefault="003833A6" w:rsidP="003833A6">
            <w:pPr>
              <w:spacing w:line="240" w:lineRule="auto"/>
              <w:rPr>
                <w:rFonts w:asciiTheme="minorHAnsi" w:eastAsia="Times New Roman" w:hAnsiTheme="minorHAnsi" w:cstheme="minorHAnsi"/>
                <w:sz w:val="20"/>
                <w:szCs w:val="20"/>
                <w:lang w:val="es-ES_tradnl" w:eastAsia="es-CR"/>
              </w:rPr>
            </w:pPr>
            <w:r w:rsidRPr="000F0D79">
              <w:rPr>
                <w:rFonts w:asciiTheme="minorHAnsi" w:eastAsia="Times New Roman" w:hAnsiTheme="minorHAnsi" w:cstheme="minorHAnsi"/>
                <w:sz w:val="20"/>
                <w:szCs w:val="20"/>
                <w:lang w:val="es-CR" w:eastAsia="es-CR"/>
              </w:rPr>
              <w:t xml:space="preserve">La fecha de salida se ajusta por medio del oficio MS-DM-4699-2023 en virtud de la disponibilidad de vuelos. </w:t>
            </w:r>
          </w:p>
        </w:tc>
      </w:tr>
      <w:tr w:rsidR="003833A6" w:rsidRPr="007F4D6F" w14:paraId="3B234920" w14:textId="77777777" w:rsidTr="000F0D79">
        <w:trPr>
          <w:trHeight w:val="50"/>
          <w:jc w:val="center"/>
        </w:trPr>
        <w:tc>
          <w:tcPr>
            <w:tcW w:w="1398" w:type="dxa"/>
            <w:shd w:val="clear" w:color="auto" w:fill="auto"/>
          </w:tcPr>
          <w:p w14:paraId="42A18FC1" w14:textId="7C6D63C3" w:rsidR="003833A6" w:rsidRPr="00414D59" w:rsidRDefault="003833A6" w:rsidP="003833A6">
            <w:pPr>
              <w:spacing w:line="240" w:lineRule="auto"/>
              <w:rPr>
                <w:rFonts w:asciiTheme="minorHAnsi" w:eastAsia="Times New Roman" w:hAnsiTheme="minorHAnsi" w:cstheme="minorHAnsi"/>
                <w:sz w:val="20"/>
                <w:szCs w:val="20"/>
                <w:lang w:val="es-ES_tradnl" w:eastAsia="es-CR"/>
              </w:rPr>
            </w:pPr>
            <w:r w:rsidRPr="000F0D79">
              <w:rPr>
                <w:rFonts w:asciiTheme="minorHAnsi" w:eastAsia="Times New Roman" w:hAnsiTheme="minorHAnsi" w:cstheme="minorHAnsi"/>
                <w:sz w:val="20"/>
                <w:szCs w:val="20"/>
                <w:lang w:val="es-CR" w:eastAsia="es-CR"/>
              </w:rPr>
              <w:t>Isaac Vargas Roldán</w:t>
            </w:r>
          </w:p>
        </w:tc>
        <w:tc>
          <w:tcPr>
            <w:tcW w:w="1482" w:type="dxa"/>
            <w:shd w:val="clear" w:color="auto" w:fill="auto"/>
          </w:tcPr>
          <w:p w14:paraId="4B14A6D2" w14:textId="0B993CEF" w:rsidR="003833A6" w:rsidRPr="007F4D6F" w:rsidRDefault="003833A6" w:rsidP="003833A6">
            <w:pPr>
              <w:spacing w:line="240" w:lineRule="auto"/>
              <w:rPr>
                <w:rFonts w:asciiTheme="minorHAnsi" w:eastAsia="Times New Roman" w:hAnsiTheme="minorHAnsi" w:cstheme="minorHAnsi"/>
                <w:sz w:val="20"/>
                <w:szCs w:val="20"/>
                <w:lang w:val="es-ES_tradnl" w:eastAsia="es-CR"/>
              </w:rPr>
            </w:pPr>
            <w:r w:rsidRPr="000F0D79">
              <w:rPr>
                <w:rFonts w:asciiTheme="minorHAnsi" w:eastAsia="Times New Roman" w:hAnsiTheme="minorHAnsi" w:cstheme="minorHAnsi"/>
                <w:sz w:val="20"/>
                <w:szCs w:val="20"/>
                <w:lang w:val="es-CR" w:eastAsia="es-CR"/>
              </w:rPr>
              <w:t xml:space="preserve">Dirección de Vigilancia de la Salud </w:t>
            </w:r>
          </w:p>
        </w:tc>
        <w:tc>
          <w:tcPr>
            <w:tcW w:w="1161" w:type="dxa"/>
            <w:shd w:val="clear" w:color="auto" w:fill="auto"/>
          </w:tcPr>
          <w:p w14:paraId="7250999B" w14:textId="12D1BC9B" w:rsidR="003833A6" w:rsidRPr="007F4D6F" w:rsidRDefault="003833A6" w:rsidP="003833A6">
            <w:pPr>
              <w:spacing w:line="240" w:lineRule="auto"/>
              <w:rPr>
                <w:rFonts w:asciiTheme="minorHAnsi" w:eastAsia="Times New Roman" w:hAnsiTheme="minorHAnsi" w:cstheme="minorHAnsi"/>
                <w:sz w:val="20"/>
                <w:szCs w:val="20"/>
                <w:lang w:val="es-ES_tradnl" w:eastAsia="es-CR"/>
              </w:rPr>
            </w:pPr>
            <w:r w:rsidRPr="000F0D79">
              <w:rPr>
                <w:rFonts w:asciiTheme="minorHAnsi" w:eastAsia="Times New Roman" w:hAnsiTheme="minorHAnsi" w:cstheme="minorHAnsi"/>
                <w:sz w:val="20"/>
                <w:szCs w:val="20"/>
                <w:lang w:val="es-CR" w:eastAsia="es-CR"/>
              </w:rPr>
              <w:t>26</w:t>
            </w:r>
            <w:r>
              <w:rPr>
                <w:rFonts w:asciiTheme="minorHAnsi" w:eastAsia="Times New Roman" w:hAnsiTheme="minorHAnsi" w:cstheme="minorHAnsi"/>
                <w:sz w:val="20"/>
                <w:szCs w:val="20"/>
                <w:lang w:val="es-CR" w:eastAsia="es-CR"/>
              </w:rPr>
              <w:t xml:space="preserve"> </w:t>
            </w:r>
            <w:r>
              <w:rPr>
                <w:rFonts w:asciiTheme="minorHAnsi" w:eastAsia="Times New Roman" w:hAnsiTheme="minorHAnsi" w:cstheme="minorHAnsi"/>
                <w:sz w:val="20"/>
                <w:szCs w:val="20"/>
                <w:lang w:val="es-CR" w:eastAsia="es-CR"/>
              </w:rPr>
              <w:t>de junio de 2023</w:t>
            </w:r>
          </w:p>
        </w:tc>
        <w:tc>
          <w:tcPr>
            <w:tcW w:w="1172" w:type="dxa"/>
            <w:shd w:val="clear" w:color="auto" w:fill="auto"/>
          </w:tcPr>
          <w:p w14:paraId="1921CEEA" w14:textId="2D744CF1" w:rsidR="003833A6" w:rsidRPr="007F4D6F" w:rsidRDefault="003833A6" w:rsidP="003833A6">
            <w:pPr>
              <w:spacing w:line="240" w:lineRule="auto"/>
              <w:rPr>
                <w:rFonts w:asciiTheme="minorHAnsi" w:eastAsia="Times New Roman" w:hAnsiTheme="minorHAnsi" w:cstheme="minorHAnsi"/>
                <w:sz w:val="20"/>
                <w:szCs w:val="20"/>
                <w:lang w:val="es-ES_tradnl" w:eastAsia="es-CR"/>
              </w:rPr>
            </w:pPr>
            <w:r w:rsidRPr="000F0D79">
              <w:rPr>
                <w:rFonts w:asciiTheme="minorHAnsi" w:eastAsia="Times New Roman" w:hAnsiTheme="minorHAnsi" w:cstheme="minorHAnsi"/>
                <w:sz w:val="20"/>
                <w:szCs w:val="20"/>
                <w:lang w:val="es-CR" w:eastAsia="es-CR"/>
              </w:rPr>
              <w:t>30</w:t>
            </w:r>
            <w:r>
              <w:rPr>
                <w:rFonts w:asciiTheme="minorHAnsi" w:eastAsia="Times New Roman" w:hAnsiTheme="minorHAnsi" w:cstheme="minorHAnsi"/>
                <w:sz w:val="20"/>
                <w:szCs w:val="20"/>
                <w:lang w:val="es-CR" w:eastAsia="es-CR"/>
              </w:rPr>
              <w:t xml:space="preserve"> </w:t>
            </w:r>
            <w:r>
              <w:rPr>
                <w:rFonts w:asciiTheme="minorHAnsi" w:eastAsia="Times New Roman" w:hAnsiTheme="minorHAnsi" w:cstheme="minorHAnsi"/>
                <w:sz w:val="20"/>
                <w:szCs w:val="20"/>
                <w:lang w:val="es-CR" w:eastAsia="es-CR"/>
              </w:rPr>
              <w:t>de junio de 2023</w:t>
            </w:r>
          </w:p>
        </w:tc>
        <w:tc>
          <w:tcPr>
            <w:tcW w:w="1101" w:type="dxa"/>
            <w:shd w:val="clear" w:color="auto" w:fill="auto"/>
          </w:tcPr>
          <w:p w14:paraId="410BA75F" w14:textId="00511096" w:rsidR="003833A6" w:rsidRPr="007F4D6F" w:rsidRDefault="003833A6" w:rsidP="003833A6">
            <w:pPr>
              <w:spacing w:line="240" w:lineRule="auto"/>
              <w:rPr>
                <w:rFonts w:asciiTheme="minorHAnsi" w:eastAsia="Times New Roman" w:hAnsiTheme="minorHAnsi" w:cstheme="minorHAnsi"/>
                <w:sz w:val="20"/>
                <w:szCs w:val="20"/>
                <w:lang w:val="es-ES_tradnl" w:eastAsia="es-CR"/>
              </w:rPr>
            </w:pPr>
            <w:r w:rsidRPr="000F0D79">
              <w:rPr>
                <w:rFonts w:asciiTheme="minorHAnsi" w:eastAsia="Times New Roman" w:hAnsiTheme="minorHAnsi" w:cstheme="minorHAnsi"/>
                <w:sz w:val="20"/>
                <w:szCs w:val="20"/>
                <w:lang w:val="es-CR" w:eastAsia="es-CR"/>
              </w:rPr>
              <w:t>Nicaragua</w:t>
            </w:r>
          </w:p>
        </w:tc>
        <w:tc>
          <w:tcPr>
            <w:tcW w:w="1723" w:type="dxa"/>
            <w:shd w:val="clear" w:color="auto" w:fill="auto"/>
          </w:tcPr>
          <w:p w14:paraId="7720C279" w14:textId="40F5F859" w:rsidR="003833A6" w:rsidRPr="007F4D6F" w:rsidRDefault="003833A6" w:rsidP="003833A6">
            <w:pPr>
              <w:spacing w:line="240" w:lineRule="auto"/>
              <w:rPr>
                <w:rFonts w:asciiTheme="minorHAnsi" w:eastAsia="Times New Roman" w:hAnsiTheme="minorHAnsi" w:cstheme="minorHAnsi"/>
                <w:sz w:val="20"/>
                <w:szCs w:val="20"/>
                <w:lang w:val="es-ES_tradnl" w:eastAsia="es-CR"/>
              </w:rPr>
            </w:pPr>
            <w:r w:rsidRPr="000F0D79">
              <w:rPr>
                <w:rFonts w:asciiTheme="minorHAnsi" w:eastAsia="Times New Roman" w:hAnsiTheme="minorHAnsi" w:cstheme="minorHAnsi"/>
                <w:sz w:val="20"/>
                <w:szCs w:val="20"/>
                <w:lang w:val="es-CR" w:eastAsia="es-CR"/>
              </w:rPr>
              <w:t>Reunión Presencial técnica para el seguimiento al plan de implementación de intervenciones conjuntas transfronterizas para la eliminación de la Malaria</w:t>
            </w:r>
          </w:p>
        </w:tc>
        <w:tc>
          <w:tcPr>
            <w:tcW w:w="2458" w:type="dxa"/>
            <w:shd w:val="clear" w:color="auto" w:fill="auto"/>
          </w:tcPr>
          <w:p w14:paraId="3ED1896D" w14:textId="37454E78" w:rsidR="003833A6" w:rsidRPr="007F4D6F" w:rsidRDefault="003833A6" w:rsidP="003833A6">
            <w:pPr>
              <w:spacing w:line="240" w:lineRule="auto"/>
              <w:rPr>
                <w:rFonts w:asciiTheme="minorHAnsi" w:eastAsia="Times New Roman" w:hAnsiTheme="minorHAnsi" w:cstheme="minorHAnsi"/>
                <w:sz w:val="20"/>
                <w:szCs w:val="20"/>
                <w:lang w:val="es-ES_tradnl" w:eastAsia="es-CR"/>
              </w:rPr>
            </w:pPr>
            <w:r w:rsidRPr="000F0D79">
              <w:rPr>
                <w:rFonts w:asciiTheme="minorHAnsi" w:eastAsia="Times New Roman" w:hAnsiTheme="minorHAnsi" w:cstheme="minorHAnsi"/>
                <w:sz w:val="20"/>
                <w:szCs w:val="20"/>
                <w:lang w:val="es-CR" w:eastAsia="es-CR"/>
              </w:rPr>
              <w:t xml:space="preserve"> --</w:t>
            </w:r>
          </w:p>
        </w:tc>
        <w:tc>
          <w:tcPr>
            <w:tcW w:w="1554" w:type="dxa"/>
            <w:shd w:val="clear" w:color="auto" w:fill="auto"/>
          </w:tcPr>
          <w:p w14:paraId="272F4CBA" w14:textId="77777777" w:rsidR="003833A6" w:rsidRDefault="003833A6" w:rsidP="003833A6">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Banco Interamericano de Desarrollo (BID)</w:t>
            </w:r>
          </w:p>
          <w:p w14:paraId="6D93DEA8" w14:textId="77777777" w:rsidR="003833A6" w:rsidRDefault="003833A6" w:rsidP="003833A6">
            <w:pPr>
              <w:spacing w:line="240" w:lineRule="auto"/>
              <w:rPr>
                <w:rFonts w:asciiTheme="minorHAnsi" w:eastAsia="Times New Roman" w:hAnsiTheme="minorHAnsi" w:cstheme="minorHAnsi"/>
                <w:sz w:val="20"/>
                <w:szCs w:val="20"/>
                <w:lang w:val="es-CR" w:eastAsia="es-CR"/>
              </w:rPr>
            </w:pPr>
            <w:r w:rsidRPr="000F0D79">
              <w:rPr>
                <w:rFonts w:asciiTheme="minorHAnsi" w:eastAsia="Times New Roman" w:hAnsiTheme="minorHAnsi" w:cstheme="minorHAnsi"/>
                <w:sz w:val="20"/>
                <w:szCs w:val="20"/>
                <w:lang w:val="es-CR" w:eastAsia="es-CR"/>
              </w:rPr>
              <w:t xml:space="preserve">Secretaría Ejecutiva del Consejo de </w:t>
            </w:r>
            <w:proofErr w:type="gramStart"/>
            <w:r w:rsidRPr="000F0D79">
              <w:rPr>
                <w:rFonts w:asciiTheme="minorHAnsi" w:eastAsia="Times New Roman" w:hAnsiTheme="minorHAnsi" w:cstheme="minorHAnsi"/>
                <w:sz w:val="20"/>
                <w:szCs w:val="20"/>
                <w:lang w:val="es-CR" w:eastAsia="es-CR"/>
              </w:rPr>
              <w:t>Ministro</w:t>
            </w:r>
            <w:r>
              <w:rPr>
                <w:rFonts w:asciiTheme="minorHAnsi" w:eastAsia="Times New Roman" w:hAnsiTheme="minorHAnsi" w:cstheme="minorHAnsi"/>
                <w:sz w:val="20"/>
                <w:szCs w:val="20"/>
                <w:lang w:val="es-CR" w:eastAsia="es-CR"/>
              </w:rPr>
              <w:t>s</w:t>
            </w:r>
            <w:proofErr w:type="gramEnd"/>
            <w:r w:rsidRPr="000F0D79">
              <w:rPr>
                <w:rFonts w:asciiTheme="minorHAnsi" w:eastAsia="Times New Roman" w:hAnsiTheme="minorHAnsi" w:cstheme="minorHAnsi"/>
                <w:sz w:val="20"/>
                <w:szCs w:val="20"/>
                <w:lang w:val="es-CR" w:eastAsia="es-CR"/>
              </w:rPr>
              <w:t xml:space="preserve"> de Salud de Centroamérica y República Dominicana (SE-COMISCA)</w:t>
            </w:r>
          </w:p>
          <w:p w14:paraId="079202FA" w14:textId="2EAAE805" w:rsidR="003833A6" w:rsidRPr="007F4D6F" w:rsidRDefault="003833A6" w:rsidP="003833A6">
            <w:pPr>
              <w:spacing w:line="240" w:lineRule="auto"/>
              <w:rPr>
                <w:rFonts w:asciiTheme="minorHAnsi" w:eastAsia="Times New Roman" w:hAnsiTheme="minorHAnsi" w:cstheme="minorHAnsi"/>
                <w:sz w:val="20"/>
                <w:szCs w:val="20"/>
                <w:lang w:val="es-ES_tradnl" w:eastAsia="es-CR"/>
              </w:rPr>
            </w:pPr>
            <w:r w:rsidRPr="000F0D79">
              <w:rPr>
                <w:rFonts w:asciiTheme="minorHAnsi" w:eastAsia="Times New Roman" w:hAnsiTheme="minorHAnsi" w:cstheme="minorHAnsi"/>
                <w:sz w:val="20"/>
                <w:szCs w:val="20"/>
                <w:lang w:val="es-CR" w:eastAsia="es-CR"/>
              </w:rPr>
              <w:t xml:space="preserve">Secretaría de la </w:t>
            </w:r>
            <w:r w:rsidRPr="000F0D79">
              <w:rPr>
                <w:rFonts w:asciiTheme="minorHAnsi" w:eastAsia="Times New Roman" w:hAnsiTheme="minorHAnsi" w:cstheme="minorHAnsi"/>
                <w:sz w:val="20"/>
                <w:szCs w:val="20"/>
                <w:lang w:val="es-CR" w:eastAsia="es-CR"/>
              </w:rPr>
              <w:t>integración</w:t>
            </w:r>
            <w:r w:rsidRPr="000F0D79">
              <w:rPr>
                <w:rFonts w:asciiTheme="minorHAnsi" w:eastAsia="Times New Roman" w:hAnsiTheme="minorHAnsi" w:cstheme="minorHAnsi"/>
                <w:sz w:val="20"/>
                <w:szCs w:val="20"/>
                <w:lang w:val="es-CR" w:eastAsia="es-CR"/>
              </w:rPr>
              <w:t xml:space="preserve"> Social Centroamericana (SISCA)</w:t>
            </w:r>
          </w:p>
        </w:tc>
        <w:tc>
          <w:tcPr>
            <w:tcW w:w="1464" w:type="dxa"/>
            <w:shd w:val="clear" w:color="auto" w:fill="auto"/>
          </w:tcPr>
          <w:p w14:paraId="0788E546" w14:textId="47995968" w:rsidR="003833A6" w:rsidRPr="007F4D6F" w:rsidRDefault="003833A6" w:rsidP="003833A6">
            <w:pPr>
              <w:spacing w:line="240" w:lineRule="auto"/>
              <w:rPr>
                <w:rFonts w:asciiTheme="minorHAnsi" w:eastAsia="Times New Roman" w:hAnsiTheme="minorHAnsi" w:cstheme="minorHAnsi"/>
                <w:sz w:val="20"/>
                <w:szCs w:val="20"/>
                <w:lang w:val="es-ES_tradnl" w:eastAsia="es-CR"/>
              </w:rPr>
            </w:pPr>
            <w:r w:rsidRPr="000F0D79">
              <w:rPr>
                <w:rFonts w:asciiTheme="minorHAnsi" w:eastAsia="Times New Roman" w:hAnsiTheme="minorHAnsi" w:cstheme="minorHAnsi"/>
                <w:sz w:val="20"/>
                <w:szCs w:val="20"/>
                <w:lang w:val="es-CR" w:eastAsia="es-CR"/>
              </w:rPr>
              <w:t>No se dan viáticos institucionales.</w:t>
            </w:r>
          </w:p>
        </w:tc>
        <w:tc>
          <w:tcPr>
            <w:tcW w:w="1486" w:type="dxa"/>
            <w:shd w:val="clear" w:color="auto" w:fill="auto"/>
          </w:tcPr>
          <w:p w14:paraId="29D0679A" w14:textId="6107C093" w:rsidR="003833A6" w:rsidRPr="00502CAD" w:rsidRDefault="003833A6" w:rsidP="003833A6">
            <w:pPr>
              <w:spacing w:line="240" w:lineRule="auto"/>
              <w:rPr>
                <w:rFonts w:asciiTheme="minorHAnsi" w:eastAsia="Times New Roman" w:hAnsiTheme="minorHAnsi" w:cstheme="minorHAnsi"/>
                <w:sz w:val="20"/>
                <w:szCs w:val="20"/>
                <w:lang w:val="es-ES_tradnl" w:eastAsia="es-CR"/>
              </w:rPr>
            </w:pPr>
            <w:r w:rsidRPr="000F0D79">
              <w:rPr>
                <w:rFonts w:asciiTheme="minorHAnsi" w:eastAsia="Times New Roman" w:hAnsiTheme="minorHAnsi" w:cstheme="minorHAnsi"/>
                <w:sz w:val="20"/>
                <w:szCs w:val="20"/>
                <w:lang w:val="es-CR" w:eastAsia="es-CR"/>
              </w:rPr>
              <w:t xml:space="preserve">Queda sin efecto por medio del oficio MS-DM-4693-2023. </w:t>
            </w:r>
          </w:p>
        </w:tc>
      </w:tr>
      <w:tr w:rsidR="003833A6" w:rsidRPr="007F4D6F" w14:paraId="009C348C" w14:textId="77777777" w:rsidTr="00AC6289">
        <w:trPr>
          <w:trHeight w:val="50"/>
          <w:jc w:val="center"/>
        </w:trPr>
        <w:tc>
          <w:tcPr>
            <w:tcW w:w="14999" w:type="dxa"/>
            <w:gridSpan w:val="10"/>
            <w:shd w:val="clear" w:color="auto" w:fill="2F5496" w:themeFill="accent1" w:themeFillShade="BF"/>
          </w:tcPr>
          <w:p w14:paraId="53B923B8" w14:textId="77777777" w:rsidR="003833A6" w:rsidRPr="007F4D6F" w:rsidRDefault="003833A6" w:rsidP="003833A6">
            <w:pPr>
              <w:spacing w:line="240" w:lineRule="auto"/>
              <w:jc w:val="center"/>
              <w:rPr>
                <w:rFonts w:asciiTheme="minorHAnsi" w:eastAsia="Times New Roman" w:hAnsiTheme="minorHAnsi" w:cstheme="minorHAnsi"/>
                <w:b/>
                <w:bCs/>
                <w:color w:val="FFFFFF" w:themeColor="background1"/>
                <w:sz w:val="20"/>
                <w:szCs w:val="20"/>
                <w:lang w:val="es-ES_tradnl" w:eastAsia="es-CR"/>
              </w:rPr>
            </w:pPr>
            <w:r w:rsidRPr="007F4D6F">
              <w:rPr>
                <w:rFonts w:asciiTheme="minorHAnsi" w:eastAsia="Times New Roman" w:hAnsiTheme="minorHAnsi" w:cstheme="minorHAnsi"/>
                <w:b/>
                <w:bCs/>
                <w:color w:val="FFFFFF" w:themeColor="background1"/>
                <w:sz w:val="20"/>
                <w:szCs w:val="20"/>
                <w:lang w:val="es-ES_tradnl" w:eastAsia="es-CR"/>
              </w:rPr>
              <w:t>Última línea</w:t>
            </w:r>
          </w:p>
        </w:tc>
      </w:tr>
    </w:tbl>
    <w:p w14:paraId="03988527" w14:textId="77777777" w:rsidR="00A27168" w:rsidRDefault="00A27168" w:rsidP="00A27168">
      <w:pPr>
        <w:rPr>
          <w:sz w:val="2"/>
          <w:szCs w:val="2"/>
        </w:rPr>
      </w:pPr>
    </w:p>
    <w:p w14:paraId="0D38D5AE" w14:textId="77777777" w:rsidR="00A27168" w:rsidRDefault="00A27168" w:rsidP="00A27168">
      <w:pPr>
        <w:rPr>
          <w:sz w:val="2"/>
          <w:szCs w:val="2"/>
        </w:rPr>
      </w:pPr>
    </w:p>
    <w:p w14:paraId="586A2F23" w14:textId="77777777" w:rsidR="00A27168" w:rsidRDefault="00A27168" w:rsidP="00A27168">
      <w:pPr>
        <w:rPr>
          <w:sz w:val="2"/>
          <w:szCs w:val="2"/>
        </w:rPr>
      </w:pPr>
    </w:p>
    <w:sectPr w:rsidR="00A27168" w:rsidSect="002C0E2C">
      <w:headerReference w:type="default" r:id="rId4"/>
      <w:footerReference w:type="default" r:id="rId5"/>
      <w:pgSz w:w="15840" w:h="12240" w:orient="landscape" w:code="1"/>
      <w:pgMar w:top="1440" w:right="1440" w:bottom="1440" w:left="1440" w:header="703" w:footer="416" w:gutter="0"/>
      <w:pgNumType w:start="1"/>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altName w:val="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DC4C5F" w14:textId="77777777" w:rsidR="003833A6" w:rsidRDefault="003833A6" w:rsidP="002C0E2C">
    <w:pPr>
      <w:spacing w:line="240" w:lineRule="auto"/>
      <w:jc w:val="center"/>
      <w:rPr>
        <w:rFonts w:ascii="Calibri" w:eastAsia="Calibri" w:hAnsi="Calibri" w:cs="Calibri"/>
        <w:b/>
        <w:color w:val="004691"/>
        <w:sz w:val="20"/>
        <w:szCs w:val="20"/>
      </w:rPr>
    </w:pPr>
    <w:r>
      <w:rPr>
        <w:rFonts w:ascii="Calibri" w:eastAsia="Calibri" w:hAnsi="Calibri" w:cs="Calibri"/>
        <w:b/>
        <w:color w:val="004691"/>
        <w:sz w:val="20"/>
        <w:szCs w:val="20"/>
      </w:rPr>
      <w:t xml:space="preserve">Unidad de </w:t>
    </w:r>
    <w:r>
      <w:rPr>
        <w:rFonts w:ascii="Calibri" w:eastAsia="Calibri" w:hAnsi="Calibri" w:cs="Calibri"/>
        <w:b/>
        <w:color w:val="004691"/>
        <w:sz w:val="20"/>
        <w:szCs w:val="20"/>
      </w:rPr>
      <w:t>Relaciones Internacionales</w:t>
    </w:r>
  </w:p>
  <w:p w14:paraId="536A9C3F" w14:textId="77777777" w:rsidR="003833A6" w:rsidRDefault="003833A6" w:rsidP="002C0E2C">
    <w:pPr>
      <w:spacing w:line="240" w:lineRule="auto"/>
      <w:jc w:val="center"/>
      <w:rPr>
        <w:rFonts w:ascii="Calibri" w:eastAsia="Calibri" w:hAnsi="Calibri" w:cs="Calibri"/>
        <w:color w:val="004691"/>
        <w:sz w:val="20"/>
        <w:szCs w:val="20"/>
      </w:rPr>
    </w:pPr>
    <w:hyperlink r:id="rId1" w:history="1">
      <w:r w:rsidRPr="002E62BC">
        <w:rPr>
          <w:rStyle w:val="Hipervnculo"/>
          <w:rFonts w:ascii="Calibri" w:eastAsia="Calibri" w:hAnsi="Calibri" w:cs="Calibri"/>
          <w:sz w:val="20"/>
          <w:szCs w:val="20"/>
        </w:rPr>
        <w:t>internacionales@misalud.go.cr</w:t>
      </w:r>
    </w:hyperlink>
  </w:p>
  <w:p w14:paraId="3BF8FE85" w14:textId="77777777" w:rsidR="003833A6" w:rsidRDefault="003833A6" w:rsidP="002C0E2C">
    <w:pPr>
      <w:spacing w:line="240" w:lineRule="auto"/>
      <w:jc w:val="center"/>
      <w:rPr>
        <w:rFonts w:ascii="Calibri" w:eastAsia="Calibri" w:hAnsi="Calibri" w:cs="Calibri"/>
        <w:color w:val="004691"/>
        <w:sz w:val="20"/>
        <w:szCs w:val="20"/>
      </w:rPr>
    </w:pPr>
    <w:r>
      <w:rPr>
        <w:rFonts w:ascii="Calibri" w:eastAsia="Calibri" w:hAnsi="Calibri" w:cs="Calibri"/>
        <w:color w:val="004691"/>
        <w:sz w:val="20"/>
        <w:szCs w:val="20"/>
      </w:rPr>
      <w:t xml:space="preserve">Tel. </w:t>
    </w:r>
    <w:r w:rsidRPr="00CD01EB">
      <w:rPr>
        <w:rFonts w:ascii="Calibri" w:eastAsia="Calibri" w:hAnsi="Calibri" w:cs="Calibri"/>
        <w:color w:val="004691"/>
        <w:sz w:val="20"/>
        <w:szCs w:val="20"/>
      </w:rPr>
      <w:t>2233-0</w:t>
    </w:r>
    <w:r>
      <w:rPr>
        <w:rFonts w:ascii="Calibri" w:eastAsia="Calibri" w:hAnsi="Calibri" w:cs="Calibri"/>
        <w:color w:val="004691"/>
        <w:sz w:val="20"/>
        <w:szCs w:val="20"/>
      </w:rPr>
      <w:t>104</w:t>
    </w:r>
    <w:r w:rsidRPr="00CD01EB">
      <w:rPr>
        <w:rFonts w:ascii="Calibri" w:eastAsia="Calibri" w:hAnsi="Calibri" w:cs="Calibri"/>
        <w:color w:val="004691"/>
        <w:sz w:val="20"/>
        <w:szCs w:val="20"/>
      </w:rPr>
      <w:t xml:space="preserve"> / 222</w:t>
    </w:r>
    <w:r>
      <w:rPr>
        <w:rFonts w:ascii="Calibri" w:eastAsia="Calibri" w:hAnsi="Calibri" w:cs="Calibri"/>
        <w:color w:val="004691"/>
        <w:sz w:val="20"/>
        <w:szCs w:val="20"/>
      </w:rPr>
      <w:t>1-8712</w:t>
    </w:r>
  </w:p>
  <w:p w14:paraId="5A4901CA" w14:textId="77777777" w:rsidR="003833A6" w:rsidRDefault="003833A6" w:rsidP="002C0E2C">
    <w:pPr>
      <w:spacing w:line="240" w:lineRule="auto"/>
      <w:jc w:val="center"/>
      <w:rPr>
        <w:color w:val="004691"/>
        <w:sz w:val="18"/>
        <w:szCs w:val="18"/>
      </w:rPr>
    </w:pPr>
    <w:r>
      <w:rPr>
        <w:rFonts w:ascii="Calibri" w:eastAsia="Calibri" w:hAnsi="Calibri" w:cs="Calibri"/>
        <w:color w:val="004691"/>
        <w:sz w:val="20"/>
        <w:szCs w:val="20"/>
      </w:rPr>
      <w:t>www.ministeriodesalud.go.cr</w:t>
    </w:r>
    <w:r>
      <w:rPr>
        <w:noProof/>
      </w:rPr>
      <w:drawing>
        <wp:anchor distT="0" distB="0" distL="0" distR="0" simplePos="0" relativeHeight="251661312" behindDoc="1" locked="0" layoutInCell="1" hidden="0" allowOverlap="1" wp14:anchorId="6B7E8A93" wp14:editId="7097264E">
          <wp:simplePos x="0" y="0"/>
          <wp:positionH relativeFrom="column">
            <wp:posOffset>-1000115</wp:posOffset>
          </wp:positionH>
          <wp:positionV relativeFrom="paragraph">
            <wp:posOffset>7429500</wp:posOffset>
          </wp:positionV>
          <wp:extent cx="1866900" cy="1143000"/>
          <wp:effectExtent l="0" t="0" r="0" b="0"/>
          <wp:wrapNone/>
          <wp:docPr id="19"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2"/>
                  <a:srcRect l="-940" t="-314" r="76363" b="-3637"/>
                  <a:stretch>
                    <a:fillRect/>
                  </a:stretch>
                </pic:blipFill>
                <pic:spPr>
                  <a:xfrm>
                    <a:off x="0" y="0"/>
                    <a:ext cx="1866900" cy="1143000"/>
                  </a:xfrm>
                  <a:prstGeom prst="rect">
                    <a:avLst/>
                  </a:prstGeom>
                  <a:ln/>
                </pic:spPr>
              </pic:pic>
            </a:graphicData>
          </a:graphic>
        </wp:anchor>
      </w:drawing>
    </w:r>
    <w:r>
      <w:rPr>
        <w:noProof/>
      </w:rPr>
      <w:drawing>
        <wp:anchor distT="0" distB="0" distL="0" distR="0" simplePos="0" relativeHeight="251662336" behindDoc="1" locked="0" layoutInCell="1" hidden="0" allowOverlap="1" wp14:anchorId="71A576BE" wp14:editId="73C95354">
          <wp:simplePos x="0" y="0"/>
          <wp:positionH relativeFrom="column">
            <wp:posOffset>4552950</wp:posOffset>
          </wp:positionH>
          <wp:positionV relativeFrom="paragraph">
            <wp:posOffset>7429500</wp:posOffset>
          </wp:positionV>
          <wp:extent cx="2085975" cy="1143000"/>
          <wp:effectExtent l="0" t="0" r="0" b="0"/>
          <wp:wrapNone/>
          <wp:docPr id="20"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2"/>
                  <a:srcRect l="73165" t="-314" r="-625" b="-3637"/>
                  <a:stretch>
                    <a:fillRect/>
                  </a:stretch>
                </pic:blipFill>
                <pic:spPr>
                  <a:xfrm>
                    <a:off x="0" y="0"/>
                    <a:ext cx="2085975" cy="1143000"/>
                  </a:xfrm>
                  <a:prstGeom prst="rect">
                    <a:avLst/>
                  </a:prstGeom>
                  <a:ln/>
                </pic:spPr>
              </pic:pic>
            </a:graphicData>
          </a:graphic>
        </wp:anchor>
      </w:drawing>
    </w:r>
  </w:p>
  <w:p w14:paraId="3DD69B8B" w14:textId="77777777" w:rsidR="003833A6" w:rsidRDefault="003833A6">
    <w:pPr>
      <w:ind w:right="-40"/>
      <w:jc w:val="right"/>
      <w:rPr>
        <w:b/>
        <w:color w:val="004691"/>
        <w:sz w:val="18"/>
        <w:szCs w:val="18"/>
      </w:rPr>
    </w:pPr>
    <w:r>
      <w:rPr>
        <w:b/>
        <w:color w:val="004691"/>
        <w:sz w:val="18"/>
        <w:szCs w:val="18"/>
      </w:rPr>
      <w:fldChar w:fldCharType="begin"/>
    </w:r>
    <w:r>
      <w:rPr>
        <w:b/>
        <w:color w:val="004691"/>
        <w:sz w:val="18"/>
        <w:szCs w:val="18"/>
      </w:rPr>
      <w:instrText>PAGE</w:instrText>
    </w:r>
    <w:r>
      <w:rPr>
        <w:b/>
        <w:color w:val="004691"/>
        <w:sz w:val="18"/>
        <w:szCs w:val="18"/>
      </w:rPr>
      <w:fldChar w:fldCharType="separate"/>
    </w:r>
    <w:r>
      <w:rPr>
        <w:b/>
        <w:noProof/>
        <w:color w:val="004691"/>
        <w:sz w:val="18"/>
        <w:szCs w:val="18"/>
      </w:rPr>
      <w:t>1</w:t>
    </w:r>
    <w:r>
      <w:rPr>
        <w:b/>
        <w:color w:val="004691"/>
        <w:sz w:val="18"/>
        <w:szCs w:val="18"/>
      </w:rPr>
      <w:fldChar w:fldCharType="end"/>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449594" w14:textId="77777777" w:rsidR="003833A6" w:rsidRPr="00CD01EB" w:rsidRDefault="003833A6">
    <w:pPr>
      <w:rPr>
        <w:sz w:val="2"/>
        <w:szCs w:val="2"/>
      </w:rPr>
    </w:pPr>
    <w:r>
      <w:rPr>
        <w:noProof/>
      </w:rPr>
      <w:drawing>
        <wp:anchor distT="0" distB="0" distL="0" distR="0" simplePos="0" relativeHeight="251660288" behindDoc="0" locked="0" layoutInCell="1" hidden="0" allowOverlap="1" wp14:anchorId="177210EE" wp14:editId="0E00258C">
          <wp:simplePos x="0" y="0"/>
          <wp:positionH relativeFrom="margin">
            <wp:align>right</wp:align>
          </wp:positionH>
          <wp:positionV relativeFrom="paragraph">
            <wp:posOffset>-219075</wp:posOffset>
          </wp:positionV>
          <wp:extent cx="1600200" cy="802640"/>
          <wp:effectExtent l="0" t="0" r="0" b="0"/>
          <wp:wrapTopAndBottom distT="0" distB="0"/>
          <wp:docPr id="1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600200" cy="802640"/>
                  </a:xfrm>
                  <a:prstGeom prst="rect">
                    <a:avLst/>
                  </a:prstGeom>
                  <a:ln/>
                </pic:spPr>
              </pic:pic>
            </a:graphicData>
          </a:graphic>
          <wp14:sizeRelH relativeFrom="margin">
            <wp14:pctWidth>0</wp14:pctWidth>
          </wp14:sizeRelH>
          <wp14:sizeRelV relativeFrom="margin">
            <wp14:pctHeight>0</wp14:pctHeight>
          </wp14:sizeRelV>
        </wp:anchor>
      </w:drawing>
    </w:r>
    <w:r>
      <w:rPr>
        <w:noProof/>
      </w:rPr>
      <w:drawing>
        <wp:anchor distT="114300" distB="114300" distL="114300" distR="114300" simplePos="0" relativeHeight="251659264" behindDoc="0" locked="0" layoutInCell="1" hidden="0" allowOverlap="1" wp14:anchorId="36AD3058" wp14:editId="2D247A8F">
          <wp:simplePos x="0" y="0"/>
          <wp:positionH relativeFrom="margin">
            <wp:posOffset>0</wp:posOffset>
          </wp:positionH>
          <wp:positionV relativeFrom="paragraph">
            <wp:posOffset>-279400</wp:posOffset>
          </wp:positionV>
          <wp:extent cx="2181225" cy="920115"/>
          <wp:effectExtent l="0" t="0" r="0" b="0"/>
          <wp:wrapTopAndBottom distT="114300" distB="114300"/>
          <wp:docPr id="1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
                  <a:srcRect/>
                  <a:stretch>
                    <a:fillRect/>
                  </a:stretch>
                </pic:blipFill>
                <pic:spPr>
                  <a:xfrm>
                    <a:off x="0" y="0"/>
                    <a:ext cx="2181225" cy="920115"/>
                  </a:xfrm>
                  <a:prstGeom prst="rect">
                    <a:avLst/>
                  </a:prstGeom>
                  <a:ln/>
                </pic:spPr>
              </pic:pic>
            </a:graphicData>
          </a:graphic>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7168"/>
    <w:rsid w:val="000F0D79"/>
    <w:rsid w:val="003833A6"/>
    <w:rsid w:val="00490BB5"/>
    <w:rsid w:val="005A4C53"/>
    <w:rsid w:val="0065321F"/>
    <w:rsid w:val="009C4EAA"/>
    <w:rsid w:val="00A27168"/>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8C4EBD"/>
  <w15:chartTrackingRefBased/>
  <w15:docId w15:val="{B9F007C3-AE4E-45CC-99D9-AD9EEBDFD7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27168"/>
    <w:pPr>
      <w:spacing w:after="0" w:line="276" w:lineRule="auto"/>
    </w:pPr>
    <w:rPr>
      <w:rFonts w:ascii="Arial" w:eastAsia="Arial" w:hAnsi="Arial" w:cs="Arial"/>
      <w:kern w:val="0"/>
      <w:lang w:val="es-419" w:eastAsia="es-ES"/>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A2716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3306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image" Target="media/image3.jpg"/><Relationship Id="rId1" Type="http://schemas.openxmlformats.org/officeDocument/2006/relationships/hyperlink" Target="mailto:internacionales@misalud.go.cr"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11</Pages>
  <Words>1520</Words>
  <Characters>8363</Characters>
  <Application>Microsoft Office Word</Application>
  <DocSecurity>0</DocSecurity>
  <Lines>69</Lines>
  <Paragraphs>19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9864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Adriana Salazar González</dc:creator>
  <cp:keywords/>
  <dc:description/>
  <cp:lastModifiedBy>Adriana Salazar González</cp:lastModifiedBy>
  <cp:revision>4</cp:revision>
  <dcterms:created xsi:type="dcterms:W3CDTF">2023-10-02T16:02:00Z</dcterms:created>
  <dcterms:modified xsi:type="dcterms:W3CDTF">2023-10-02T17:48:00Z</dcterms:modified>
</cp:coreProperties>
</file>