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B2DC83" w14:textId="77777777" w:rsidR="00E21C05" w:rsidRPr="004D61A4" w:rsidRDefault="00E21C05" w:rsidP="00E21C05">
      <w:pPr>
        <w:jc w:val="center"/>
        <w:rPr>
          <w:b/>
          <w:bCs/>
          <w:sz w:val="24"/>
          <w:szCs w:val="24"/>
          <w:lang w:val="es-ES_tradnl"/>
        </w:rPr>
      </w:pPr>
      <w:r w:rsidRPr="004D61A4">
        <w:rPr>
          <w:b/>
          <w:bCs/>
          <w:sz w:val="24"/>
          <w:szCs w:val="24"/>
          <w:lang w:val="es-ES_tradnl"/>
        </w:rPr>
        <w:t>Participación de funcionarios del Ministerio de Salud en actividades fuera del país</w:t>
      </w:r>
    </w:p>
    <w:p w14:paraId="18C28DCB" w14:textId="03D3CA2A" w:rsidR="00E21C05" w:rsidRPr="004D61A4" w:rsidRDefault="00B904AF" w:rsidP="00E21C05">
      <w:pPr>
        <w:jc w:val="center"/>
        <w:rPr>
          <w:b/>
          <w:bCs/>
          <w:sz w:val="24"/>
          <w:szCs w:val="24"/>
          <w:lang w:val="es-ES_tradnl"/>
        </w:rPr>
      </w:pPr>
      <w:r>
        <w:rPr>
          <w:b/>
          <w:bCs/>
          <w:sz w:val="24"/>
          <w:szCs w:val="24"/>
          <w:lang w:val="es-ES_tradnl"/>
        </w:rPr>
        <w:t>Mayo 2024</w:t>
      </w:r>
    </w:p>
    <w:p w14:paraId="7AC6767D" w14:textId="77777777" w:rsidR="00E21C05" w:rsidRPr="004D61A4" w:rsidRDefault="00E21C05" w:rsidP="00E21C05">
      <w:pPr>
        <w:jc w:val="center"/>
        <w:rPr>
          <w:b/>
          <w:bCs/>
          <w:sz w:val="20"/>
          <w:szCs w:val="20"/>
          <w:lang w:val="es-ES_tradnl"/>
        </w:rPr>
      </w:pPr>
    </w:p>
    <w:tbl>
      <w:tblPr>
        <w:tblW w:w="149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68"/>
        <w:gridCol w:w="1453"/>
        <w:gridCol w:w="1073"/>
        <w:gridCol w:w="1230"/>
        <w:gridCol w:w="1189"/>
        <w:gridCol w:w="1816"/>
        <w:gridCol w:w="2134"/>
        <w:gridCol w:w="1673"/>
        <w:gridCol w:w="1488"/>
        <w:gridCol w:w="1575"/>
      </w:tblGrid>
      <w:tr w:rsidR="00E749AF" w:rsidRPr="00E749AF" w14:paraId="74312BB7" w14:textId="77777777" w:rsidTr="00B904AF">
        <w:trPr>
          <w:trHeight w:val="870"/>
          <w:tblHeader/>
          <w:jc w:val="center"/>
        </w:trPr>
        <w:tc>
          <w:tcPr>
            <w:tcW w:w="1368" w:type="dxa"/>
            <w:shd w:val="clear" w:color="000000" w:fill="B4C6E7"/>
            <w:vAlign w:val="center"/>
            <w:hideMark/>
          </w:tcPr>
          <w:p w14:paraId="2ABCA022"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Nombre del funcionario</w:t>
            </w:r>
          </w:p>
        </w:tc>
        <w:tc>
          <w:tcPr>
            <w:tcW w:w="1453" w:type="dxa"/>
            <w:shd w:val="clear" w:color="000000" w:fill="B4C6E7"/>
            <w:vAlign w:val="center"/>
            <w:hideMark/>
          </w:tcPr>
          <w:p w14:paraId="2158029C"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 xml:space="preserve">Dirección a la que pertenece </w:t>
            </w:r>
          </w:p>
        </w:tc>
        <w:tc>
          <w:tcPr>
            <w:tcW w:w="1073" w:type="dxa"/>
            <w:shd w:val="clear" w:color="000000" w:fill="B4C6E7"/>
            <w:vAlign w:val="center"/>
            <w:hideMark/>
          </w:tcPr>
          <w:p w14:paraId="4868CE5F"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 xml:space="preserve">Fecha de inicio </w:t>
            </w:r>
          </w:p>
        </w:tc>
        <w:tc>
          <w:tcPr>
            <w:tcW w:w="1230" w:type="dxa"/>
            <w:shd w:val="clear" w:color="000000" w:fill="B4C6E7"/>
            <w:vAlign w:val="center"/>
            <w:hideMark/>
          </w:tcPr>
          <w:p w14:paraId="77C1F916"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Fecha de finalización</w:t>
            </w:r>
          </w:p>
        </w:tc>
        <w:tc>
          <w:tcPr>
            <w:tcW w:w="1189" w:type="dxa"/>
            <w:shd w:val="clear" w:color="000000" w:fill="B4C6E7"/>
            <w:vAlign w:val="center"/>
            <w:hideMark/>
          </w:tcPr>
          <w:p w14:paraId="677DB461"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 xml:space="preserve">Lugar </w:t>
            </w:r>
          </w:p>
        </w:tc>
        <w:tc>
          <w:tcPr>
            <w:tcW w:w="1816" w:type="dxa"/>
            <w:shd w:val="clear" w:color="000000" w:fill="B4C6E7"/>
            <w:vAlign w:val="center"/>
            <w:hideMark/>
          </w:tcPr>
          <w:p w14:paraId="5C7DE2F3"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Actividad</w:t>
            </w:r>
          </w:p>
        </w:tc>
        <w:tc>
          <w:tcPr>
            <w:tcW w:w="2134" w:type="dxa"/>
            <w:shd w:val="clear" w:color="000000" w:fill="B4C6E7"/>
            <w:vAlign w:val="center"/>
            <w:hideMark/>
          </w:tcPr>
          <w:p w14:paraId="64786BD4"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Compromisos</w:t>
            </w:r>
          </w:p>
        </w:tc>
        <w:tc>
          <w:tcPr>
            <w:tcW w:w="1673" w:type="dxa"/>
            <w:shd w:val="clear" w:color="000000" w:fill="B4C6E7"/>
            <w:vAlign w:val="center"/>
            <w:hideMark/>
          </w:tcPr>
          <w:p w14:paraId="7ACD7EE6"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 xml:space="preserve">Financiado por </w:t>
            </w:r>
          </w:p>
        </w:tc>
        <w:tc>
          <w:tcPr>
            <w:tcW w:w="1488" w:type="dxa"/>
            <w:shd w:val="clear" w:color="000000" w:fill="B4C6E7"/>
            <w:vAlign w:val="center"/>
            <w:hideMark/>
          </w:tcPr>
          <w:p w14:paraId="388A4A6C"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 xml:space="preserve">Viáticos </w:t>
            </w:r>
          </w:p>
        </w:tc>
        <w:tc>
          <w:tcPr>
            <w:tcW w:w="1575" w:type="dxa"/>
            <w:shd w:val="clear" w:color="000000" w:fill="B4C6E7"/>
            <w:vAlign w:val="center"/>
            <w:hideMark/>
          </w:tcPr>
          <w:p w14:paraId="2C55D74B" w14:textId="77777777" w:rsidR="00E21C05" w:rsidRPr="00E749AF" w:rsidRDefault="00E21C05" w:rsidP="004A7DF1">
            <w:pPr>
              <w:spacing w:line="240" w:lineRule="auto"/>
              <w:jc w:val="center"/>
              <w:rPr>
                <w:rFonts w:eastAsia="Times New Roman"/>
                <w:b/>
                <w:bCs/>
                <w:sz w:val="20"/>
                <w:szCs w:val="20"/>
                <w:lang w:val="es-ES_tradnl" w:eastAsia="es-CR"/>
              </w:rPr>
            </w:pPr>
            <w:r w:rsidRPr="00E749AF">
              <w:rPr>
                <w:rFonts w:eastAsia="Times New Roman"/>
                <w:b/>
                <w:bCs/>
                <w:sz w:val="20"/>
                <w:szCs w:val="20"/>
                <w:lang w:val="es-ES_tradnl" w:eastAsia="es-CR"/>
              </w:rPr>
              <w:t>Observaciones</w:t>
            </w:r>
          </w:p>
        </w:tc>
      </w:tr>
      <w:tr w:rsidR="00B904AF" w:rsidRPr="00E749AF" w14:paraId="320D28CD" w14:textId="77777777" w:rsidTr="00B904AF">
        <w:trPr>
          <w:trHeight w:val="50"/>
          <w:jc w:val="center"/>
        </w:trPr>
        <w:tc>
          <w:tcPr>
            <w:tcW w:w="1368" w:type="dxa"/>
            <w:shd w:val="clear" w:color="auto" w:fill="auto"/>
          </w:tcPr>
          <w:p w14:paraId="1D66F2A9" w14:textId="23F6DCE7"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Gerardo Solano Elizondo</w:t>
            </w:r>
          </w:p>
        </w:tc>
        <w:tc>
          <w:tcPr>
            <w:tcW w:w="1453" w:type="dxa"/>
            <w:shd w:val="clear" w:color="auto" w:fill="auto"/>
          </w:tcPr>
          <w:p w14:paraId="1177F585" w14:textId="50855C30"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Dirección de Servicios de Salud </w:t>
            </w:r>
          </w:p>
        </w:tc>
        <w:tc>
          <w:tcPr>
            <w:tcW w:w="1073" w:type="dxa"/>
            <w:shd w:val="clear" w:color="auto" w:fill="auto"/>
          </w:tcPr>
          <w:p w14:paraId="4212A4AA" w14:textId="272E883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6-may-24</w:t>
            </w:r>
          </w:p>
        </w:tc>
        <w:tc>
          <w:tcPr>
            <w:tcW w:w="1230" w:type="dxa"/>
            <w:shd w:val="clear" w:color="auto" w:fill="auto"/>
          </w:tcPr>
          <w:p w14:paraId="6043F42F" w14:textId="3F2C533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9-may-24</w:t>
            </w:r>
          </w:p>
        </w:tc>
        <w:tc>
          <w:tcPr>
            <w:tcW w:w="1189" w:type="dxa"/>
            <w:shd w:val="clear" w:color="auto" w:fill="auto"/>
          </w:tcPr>
          <w:p w14:paraId="29FB9487" w14:textId="228219E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Suiza</w:t>
            </w:r>
          </w:p>
        </w:tc>
        <w:tc>
          <w:tcPr>
            <w:tcW w:w="1816" w:type="dxa"/>
            <w:shd w:val="clear" w:color="auto" w:fill="auto"/>
          </w:tcPr>
          <w:p w14:paraId="337DD6A3" w14:textId="7428D5CF" w:rsidR="00B904AF" w:rsidRPr="00E749AF" w:rsidRDefault="00B904AF" w:rsidP="00B904AF">
            <w:pPr>
              <w:spacing w:line="240" w:lineRule="auto"/>
              <w:rPr>
                <w:rFonts w:eastAsia="Times New Roman"/>
                <w:sz w:val="20"/>
                <w:szCs w:val="20"/>
                <w:lang w:val="es-CR" w:eastAsia="es-CR"/>
              </w:rPr>
            </w:pPr>
            <w:r w:rsidRPr="00B904AF">
              <w:rPr>
                <w:rFonts w:eastAsia="Times New Roman"/>
                <w:sz w:val="20"/>
                <w:szCs w:val="20"/>
                <w:lang w:val="es-CR" w:eastAsia="es-CR"/>
              </w:rPr>
              <w:t xml:space="preserve">22ª Reunión del Grupo Asesor Estratégico de Equipos Médicos de Emergencia y </w:t>
            </w:r>
            <w:proofErr w:type="spellStart"/>
            <w:r w:rsidRPr="00B904AF">
              <w:rPr>
                <w:rFonts w:eastAsia="Times New Roman"/>
                <w:sz w:val="20"/>
                <w:szCs w:val="20"/>
                <w:lang w:val="es-CR" w:eastAsia="es-CR"/>
              </w:rPr>
              <w:t>Humanitarian</w:t>
            </w:r>
            <w:proofErr w:type="spellEnd"/>
            <w:r w:rsidRPr="00B904AF">
              <w:rPr>
                <w:rFonts w:eastAsia="Times New Roman"/>
                <w:sz w:val="20"/>
                <w:szCs w:val="20"/>
                <w:lang w:val="es-CR" w:eastAsia="es-CR"/>
              </w:rPr>
              <w:t xml:space="preserve"> Networks and </w:t>
            </w:r>
            <w:proofErr w:type="spellStart"/>
            <w:r w:rsidRPr="00B904AF">
              <w:rPr>
                <w:rFonts w:eastAsia="Times New Roman"/>
                <w:sz w:val="20"/>
                <w:szCs w:val="20"/>
                <w:lang w:val="es-CR" w:eastAsia="es-CR"/>
              </w:rPr>
              <w:t>Partnerships</w:t>
            </w:r>
            <w:proofErr w:type="spellEnd"/>
            <w:r w:rsidRPr="00B904AF">
              <w:rPr>
                <w:rFonts w:eastAsia="Times New Roman"/>
                <w:sz w:val="20"/>
                <w:szCs w:val="20"/>
                <w:lang w:val="es-CR" w:eastAsia="es-CR"/>
              </w:rPr>
              <w:t xml:space="preserve"> </w:t>
            </w:r>
            <w:proofErr w:type="spellStart"/>
            <w:r w:rsidRPr="00B904AF">
              <w:rPr>
                <w:rFonts w:eastAsia="Times New Roman"/>
                <w:sz w:val="20"/>
                <w:szCs w:val="20"/>
                <w:lang w:val="es-CR" w:eastAsia="es-CR"/>
              </w:rPr>
              <w:t>Weeks</w:t>
            </w:r>
            <w:proofErr w:type="spellEnd"/>
            <w:r w:rsidRPr="00B904AF">
              <w:rPr>
                <w:rFonts w:eastAsia="Times New Roman"/>
                <w:sz w:val="20"/>
                <w:szCs w:val="20"/>
                <w:lang w:val="es-CR" w:eastAsia="es-CR"/>
              </w:rPr>
              <w:t xml:space="preserve"> 2024</w:t>
            </w:r>
          </w:p>
        </w:tc>
        <w:tc>
          <w:tcPr>
            <w:tcW w:w="2134" w:type="dxa"/>
            <w:shd w:val="clear" w:color="auto" w:fill="auto"/>
          </w:tcPr>
          <w:p w14:paraId="7D9FEBA6" w14:textId="5D9F620E" w:rsidR="00B904AF" w:rsidRPr="00E749AF" w:rsidRDefault="00B904AF" w:rsidP="00E749AF">
            <w:pPr>
              <w:spacing w:line="240" w:lineRule="auto"/>
              <w:rPr>
                <w:rFonts w:eastAsia="Times New Roman"/>
                <w:i/>
                <w:iCs/>
                <w:sz w:val="20"/>
                <w:szCs w:val="20"/>
                <w:lang w:val="es-ES_tradnl" w:eastAsia="es-CR"/>
              </w:rPr>
            </w:pPr>
            <w:r w:rsidRPr="00B904AF">
              <w:rPr>
                <w:rFonts w:eastAsia="Times New Roman"/>
                <w:sz w:val="20"/>
                <w:szCs w:val="20"/>
                <w:lang w:val="es-CR" w:eastAsia="es-CR"/>
              </w:rPr>
              <w:t xml:space="preserve">No se asumen compromisos. </w:t>
            </w:r>
          </w:p>
        </w:tc>
        <w:tc>
          <w:tcPr>
            <w:tcW w:w="1673" w:type="dxa"/>
            <w:shd w:val="clear" w:color="auto" w:fill="auto"/>
          </w:tcPr>
          <w:p w14:paraId="7B204799" w14:textId="468196AA"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Organización Panamericana de la Salud (OPS)</w:t>
            </w:r>
          </w:p>
        </w:tc>
        <w:tc>
          <w:tcPr>
            <w:tcW w:w="1488" w:type="dxa"/>
            <w:shd w:val="clear" w:color="auto" w:fill="auto"/>
          </w:tcPr>
          <w:p w14:paraId="2067A202" w14:textId="747DE0F4"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42BEF015" w14:textId="77777777" w:rsidR="00B904AF" w:rsidRPr="00E749AF" w:rsidRDefault="00B904AF" w:rsidP="00B904AF">
            <w:pPr>
              <w:spacing w:line="240" w:lineRule="auto"/>
              <w:rPr>
                <w:rFonts w:eastAsia="Times New Roman"/>
                <w:sz w:val="20"/>
                <w:szCs w:val="20"/>
                <w:lang w:val="es-ES_tradnl" w:eastAsia="es-CR"/>
              </w:rPr>
            </w:pPr>
          </w:p>
        </w:tc>
      </w:tr>
      <w:tr w:rsidR="00B904AF" w:rsidRPr="00E749AF" w14:paraId="6B599275" w14:textId="77777777" w:rsidTr="00B904AF">
        <w:trPr>
          <w:trHeight w:val="50"/>
          <w:jc w:val="center"/>
        </w:trPr>
        <w:tc>
          <w:tcPr>
            <w:tcW w:w="1368" w:type="dxa"/>
            <w:shd w:val="clear" w:color="auto" w:fill="auto"/>
          </w:tcPr>
          <w:p w14:paraId="3DE30BC7" w14:textId="1C2BF1B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Aarón Agüero Zumbado </w:t>
            </w:r>
          </w:p>
        </w:tc>
        <w:tc>
          <w:tcPr>
            <w:tcW w:w="1453" w:type="dxa"/>
            <w:shd w:val="clear" w:color="auto" w:fill="auto"/>
          </w:tcPr>
          <w:p w14:paraId="4A4799D3" w14:textId="5CE5DEAA"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Vigilancia de la Salud</w:t>
            </w:r>
          </w:p>
        </w:tc>
        <w:tc>
          <w:tcPr>
            <w:tcW w:w="1073" w:type="dxa"/>
            <w:shd w:val="clear" w:color="auto" w:fill="auto"/>
          </w:tcPr>
          <w:p w14:paraId="37E506E6" w14:textId="799BF50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7-may-24</w:t>
            </w:r>
          </w:p>
        </w:tc>
        <w:tc>
          <w:tcPr>
            <w:tcW w:w="1230" w:type="dxa"/>
            <w:shd w:val="clear" w:color="auto" w:fill="auto"/>
          </w:tcPr>
          <w:p w14:paraId="684677D3" w14:textId="6F13DC24"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10-may-24</w:t>
            </w:r>
          </w:p>
        </w:tc>
        <w:tc>
          <w:tcPr>
            <w:tcW w:w="1189" w:type="dxa"/>
            <w:shd w:val="clear" w:color="auto" w:fill="auto"/>
          </w:tcPr>
          <w:p w14:paraId="726FC46C" w14:textId="67F13FB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Panamá</w:t>
            </w:r>
          </w:p>
        </w:tc>
        <w:tc>
          <w:tcPr>
            <w:tcW w:w="1816" w:type="dxa"/>
            <w:shd w:val="clear" w:color="auto" w:fill="auto"/>
          </w:tcPr>
          <w:p w14:paraId="44CF5D38" w14:textId="2D27672B"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Taller Regional sobre Estrategias Nacionales de Inmunización</w:t>
            </w:r>
          </w:p>
        </w:tc>
        <w:tc>
          <w:tcPr>
            <w:tcW w:w="2134" w:type="dxa"/>
            <w:shd w:val="clear" w:color="auto" w:fill="auto"/>
          </w:tcPr>
          <w:p w14:paraId="6237FC17" w14:textId="5BAD9BDC"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No se asumen compromisos. </w:t>
            </w:r>
          </w:p>
        </w:tc>
        <w:tc>
          <w:tcPr>
            <w:tcW w:w="1673" w:type="dxa"/>
            <w:shd w:val="clear" w:color="auto" w:fill="auto"/>
          </w:tcPr>
          <w:p w14:paraId="18CEFAE4" w14:textId="2E412C73"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Fondo de las Naciones Unidas para la Infancia (UNICEF)</w:t>
            </w:r>
          </w:p>
        </w:tc>
        <w:tc>
          <w:tcPr>
            <w:tcW w:w="1488" w:type="dxa"/>
            <w:shd w:val="clear" w:color="auto" w:fill="auto"/>
          </w:tcPr>
          <w:p w14:paraId="577BABF5" w14:textId="15531657" w:rsidR="00B904AF" w:rsidRPr="00E749AF" w:rsidRDefault="00B904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3E80B982" w14:textId="77777777" w:rsidR="00B904AF" w:rsidRPr="00E749AF" w:rsidRDefault="00B904AF" w:rsidP="00B904AF">
            <w:pPr>
              <w:spacing w:line="240" w:lineRule="auto"/>
              <w:rPr>
                <w:rFonts w:eastAsia="Times New Roman"/>
                <w:sz w:val="20"/>
                <w:szCs w:val="20"/>
                <w:lang w:val="es-ES_tradnl" w:eastAsia="es-CR"/>
              </w:rPr>
            </w:pPr>
          </w:p>
        </w:tc>
      </w:tr>
      <w:tr w:rsidR="00B904AF" w:rsidRPr="00E749AF" w14:paraId="01FE2A5C" w14:textId="77777777" w:rsidTr="00B904AF">
        <w:trPr>
          <w:trHeight w:val="50"/>
          <w:jc w:val="center"/>
        </w:trPr>
        <w:tc>
          <w:tcPr>
            <w:tcW w:w="1368" w:type="dxa"/>
            <w:shd w:val="clear" w:color="auto" w:fill="auto"/>
          </w:tcPr>
          <w:p w14:paraId="6654715C" w14:textId="2F8CC3E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María José Lafuente González</w:t>
            </w:r>
          </w:p>
        </w:tc>
        <w:tc>
          <w:tcPr>
            <w:tcW w:w="1453" w:type="dxa"/>
            <w:shd w:val="clear" w:color="auto" w:fill="auto"/>
          </w:tcPr>
          <w:p w14:paraId="508DD520" w14:textId="4645170A"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Vigilancia de la Salud</w:t>
            </w:r>
          </w:p>
        </w:tc>
        <w:tc>
          <w:tcPr>
            <w:tcW w:w="1073" w:type="dxa"/>
            <w:shd w:val="clear" w:color="auto" w:fill="auto"/>
          </w:tcPr>
          <w:p w14:paraId="6C360C62" w14:textId="6391C075"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14-may-24</w:t>
            </w:r>
          </w:p>
        </w:tc>
        <w:tc>
          <w:tcPr>
            <w:tcW w:w="1230" w:type="dxa"/>
            <w:shd w:val="clear" w:color="auto" w:fill="auto"/>
          </w:tcPr>
          <w:p w14:paraId="7085EAAF" w14:textId="699142E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16-may-24</w:t>
            </w:r>
          </w:p>
        </w:tc>
        <w:tc>
          <w:tcPr>
            <w:tcW w:w="1189" w:type="dxa"/>
            <w:shd w:val="clear" w:color="auto" w:fill="auto"/>
          </w:tcPr>
          <w:p w14:paraId="5C8928BE" w14:textId="04C1C363"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México</w:t>
            </w:r>
          </w:p>
        </w:tc>
        <w:tc>
          <w:tcPr>
            <w:tcW w:w="1816" w:type="dxa"/>
            <w:shd w:val="clear" w:color="auto" w:fill="auto"/>
          </w:tcPr>
          <w:p w14:paraId="14ECF3E4" w14:textId="18716A6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Reunión Regional </w:t>
            </w:r>
            <w:proofErr w:type="spellStart"/>
            <w:r w:rsidRPr="00B904AF">
              <w:rPr>
                <w:rFonts w:eastAsia="Times New Roman"/>
                <w:sz w:val="20"/>
                <w:szCs w:val="20"/>
                <w:lang w:val="es-CR" w:eastAsia="es-CR"/>
              </w:rPr>
              <w:t>SARInet</w:t>
            </w:r>
            <w:proofErr w:type="spellEnd"/>
            <w:r w:rsidRPr="00B904AF">
              <w:rPr>
                <w:rFonts w:eastAsia="Times New Roman"/>
                <w:sz w:val="20"/>
                <w:szCs w:val="20"/>
                <w:lang w:val="es-CR" w:eastAsia="es-CR"/>
              </w:rPr>
              <w:t xml:space="preserve"> plus y REVELAC-i</w:t>
            </w:r>
          </w:p>
        </w:tc>
        <w:tc>
          <w:tcPr>
            <w:tcW w:w="2134" w:type="dxa"/>
            <w:shd w:val="clear" w:color="auto" w:fill="auto"/>
          </w:tcPr>
          <w:p w14:paraId="615536C3" w14:textId="520BEF8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No se asumen compromisos. </w:t>
            </w:r>
          </w:p>
        </w:tc>
        <w:tc>
          <w:tcPr>
            <w:tcW w:w="1673" w:type="dxa"/>
            <w:shd w:val="clear" w:color="auto" w:fill="auto"/>
          </w:tcPr>
          <w:p w14:paraId="1D22B4E1" w14:textId="2EF0B60E"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Organización Panamericana de la Salud (OPS)</w:t>
            </w:r>
          </w:p>
        </w:tc>
        <w:tc>
          <w:tcPr>
            <w:tcW w:w="1488" w:type="dxa"/>
            <w:shd w:val="clear" w:color="auto" w:fill="auto"/>
          </w:tcPr>
          <w:p w14:paraId="5781CDA4" w14:textId="638510C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29BAE55F" w14:textId="77777777" w:rsidR="00B904AF" w:rsidRPr="00E749AF" w:rsidRDefault="00B904AF" w:rsidP="00B904AF">
            <w:pPr>
              <w:spacing w:line="240" w:lineRule="auto"/>
              <w:rPr>
                <w:rFonts w:eastAsia="Times New Roman"/>
                <w:sz w:val="20"/>
                <w:szCs w:val="20"/>
                <w:lang w:val="es-ES_tradnl" w:eastAsia="es-CR"/>
              </w:rPr>
            </w:pPr>
          </w:p>
        </w:tc>
      </w:tr>
      <w:tr w:rsidR="00B904AF" w:rsidRPr="00E749AF" w14:paraId="111FD741" w14:textId="77777777" w:rsidTr="00B904AF">
        <w:trPr>
          <w:trHeight w:val="50"/>
          <w:jc w:val="center"/>
        </w:trPr>
        <w:tc>
          <w:tcPr>
            <w:tcW w:w="1368" w:type="dxa"/>
            <w:shd w:val="clear" w:color="auto" w:fill="auto"/>
          </w:tcPr>
          <w:p w14:paraId="0EABAB6B" w14:textId="08761921"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Jaime Rumoroso Solís</w:t>
            </w:r>
          </w:p>
        </w:tc>
        <w:tc>
          <w:tcPr>
            <w:tcW w:w="1453" w:type="dxa"/>
            <w:shd w:val="clear" w:color="auto" w:fill="auto"/>
          </w:tcPr>
          <w:p w14:paraId="6ADBF0DA" w14:textId="35AECBEC"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Dirección de Regulación de Productos de Interés Sanitario </w:t>
            </w:r>
          </w:p>
        </w:tc>
        <w:tc>
          <w:tcPr>
            <w:tcW w:w="1073" w:type="dxa"/>
            <w:shd w:val="clear" w:color="auto" w:fill="auto"/>
          </w:tcPr>
          <w:p w14:paraId="12B3C8E5" w14:textId="0DD1FAC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19-may-24</w:t>
            </w:r>
          </w:p>
        </w:tc>
        <w:tc>
          <w:tcPr>
            <w:tcW w:w="1230" w:type="dxa"/>
            <w:shd w:val="clear" w:color="auto" w:fill="auto"/>
          </w:tcPr>
          <w:p w14:paraId="162EA9AC" w14:textId="4B8E2FD5"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25-may-24</w:t>
            </w:r>
          </w:p>
        </w:tc>
        <w:tc>
          <w:tcPr>
            <w:tcW w:w="1189" w:type="dxa"/>
            <w:shd w:val="clear" w:color="auto" w:fill="auto"/>
          </w:tcPr>
          <w:p w14:paraId="172FF2F8" w14:textId="28CDD72C"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Suecia</w:t>
            </w:r>
          </w:p>
        </w:tc>
        <w:tc>
          <w:tcPr>
            <w:tcW w:w="1816" w:type="dxa"/>
            <w:shd w:val="clear" w:color="auto" w:fill="auto"/>
          </w:tcPr>
          <w:p w14:paraId="2588D283" w14:textId="7BC46FD3"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Taller UMC F2F Detección de señales y evaluación de causalidad en la práctica</w:t>
            </w:r>
          </w:p>
        </w:tc>
        <w:tc>
          <w:tcPr>
            <w:tcW w:w="2134" w:type="dxa"/>
            <w:shd w:val="clear" w:color="auto" w:fill="auto"/>
          </w:tcPr>
          <w:p w14:paraId="0D00AAD5" w14:textId="3A02DE60"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Completar la investigación realizada durante el taller para la combinación Interferón Beta-1b – Ceguera, a fin de definir si se confirma o descarta la señal. Plantear la potencial elaboración del </w:t>
            </w:r>
            <w:r w:rsidRPr="00B904AF">
              <w:rPr>
                <w:rFonts w:eastAsia="Times New Roman"/>
                <w:sz w:val="20"/>
                <w:szCs w:val="20"/>
                <w:lang w:val="es-CR" w:eastAsia="es-CR"/>
              </w:rPr>
              <w:lastRenderedPageBreak/>
              <w:t>manual de procedimiento para la detección de señales de RAM/ESAVI en series de casos, conforme con la normativa vigente.</w:t>
            </w:r>
          </w:p>
        </w:tc>
        <w:tc>
          <w:tcPr>
            <w:tcW w:w="1673" w:type="dxa"/>
            <w:shd w:val="clear" w:color="auto" w:fill="auto"/>
          </w:tcPr>
          <w:p w14:paraId="6DA66C8A" w14:textId="1B19D1E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Organización Mundial de la Salud (OMS)</w:t>
            </w:r>
          </w:p>
        </w:tc>
        <w:tc>
          <w:tcPr>
            <w:tcW w:w="1488" w:type="dxa"/>
            <w:shd w:val="clear" w:color="auto" w:fill="auto"/>
          </w:tcPr>
          <w:p w14:paraId="249EEF0F" w14:textId="4897751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0045CEEC" w14:textId="77777777" w:rsidR="00B904AF" w:rsidRPr="00E749AF" w:rsidRDefault="00B904AF" w:rsidP="00B904AF">
            <w:pPr>
              <w:spacing w:line="240" w:lineRule="auto"/>
              <w:rPr>
                <w:rFonts w:eastAsia="Times New Roman"/>
                <w:sz w:val="20"/>
                <w:szCs w:val="20"/>
                <w:lang w:val="es-ES_tradnl" w:eastAsia="es-CR"/>
              </w:rPr>
            </w:pPr>
          </w:p>
        </w:tc>
      </w:tr>
      <w:tr w:rsidR="00B904AF" w:rsidRPr="00E749AF" w14:paraId="4E17C344" w14:textId="77777777" w:rsidTr="00B904AF">
        <w:trPr>
          <w:trHeight w:val="50"/>
          <w:jc w:val="center"/>
        </w:trPr>
        <w:tc>
          <w:tcPr>
            <w:tcW w:w="1368" w:type="dxa"/>
            <w:shd w:val="clear" w:color="auto" w:fill="auto"/>
          </w:tcPr>
          <w:p w14:paraId="0D918FD7" w14:textId="58800B6A"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Olga Segura Cárdenas</w:t>
            </w:r>
          </w:p>
        </w:tc>
        <w:tc>
          <w:tcPr>
            <w:tcW w:w="1453" w:type="dxa"/>
            <w:shd w:val="clear" w:color="auto" w:fill="auto"/>
          </w:tcPr>
          <w:p w14:paraId="2447E7EE" w14:textId="4342B74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Protección Radiológica y Salud Ambiental</w:t>
            </w:r>
          </w:p>
        </w:tc>
        <w:tc>
          <w:tcPr>
            <w:tcW w:w="1073" w:type="dxa"/>
            <w:shd w:val="clear" w:color="auto" w:fill="auto"/>
          </w:tcPr>
          <w:p w14:paraId="759963AA" w14:textId="717EDDFC"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21-may-24</w:t>
            </w:r>
          </w:p>
        </w:tc>
        <w:tc>
          <w:tcPr>
            <w:tcW w:w="1230" w:type="dxa"/>
            <w:shd w:val="clear" w:color="auto" w:fill="auto"/>
          </w:tcPr>
          <w:p w14:paraId="18916ABE" w14:textId="2B1704A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23-may-24</w:t>
            </w:r>
          </w:p>
        </w:tc>
        <w:tc>
          <w:tcPr>
            <w:tcW w:w="1189" w:type="dxa"/>
            <w:shd w:val="clear" w:color="auto" w:fill="auto"/>
          </w:tcPr>
          <w:p w14:paraId="1DB8C9C7" w14:textId="2D1A8177"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Panamá</w:t>
            </w:r>
          </w:p>
        </w:tc>
        <w:tc>
          <w:tcPr>
            <w:tcW w:w="1816" w:type="dxa"/>
            <w:shd w:val="clear" w:color="auto" w:fill="auto"/>
          </w:tcPr>
          <w:p w14:paraId="55218719" w14:textId="6CE5834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Evento de cierre del proyecto FMAM-ONUDI "Fortalecimiento de iniciativas regionales y mejoramiento de la cooperación regional para la gestión ambientalmente racional de los </w:t>
            </w:r>
            <w:proofErr w:type="spellStart"/>
            <w:r w:rsidRPr="00B904AF">
              <w:rPr>
                <w:rFonts w:eastAsia="Times New Roman"/>
                <w:sz w:val="20"/>
                <w:szCs w:val="20"/>
                <w:lang w:val="es-CR" w:eastAsia="es-CR"/>
              </w:rPr>
              <w:t>COPs</w:t>
            </w:r>
            <w:proofErr w:type="spellEnd"/>
            <w:r w:rsidRPr="00B904AF">
              <w:rPr>
                <w:rFonts w:eastAsia="Times New Roman"/>
                <w:sz w:val="20"/>
                <w:szCs w:val="20"/>
                <w:lang w:val="es-CR" w:eastAsia="es-CR"/>
              </w:rPr>
              <w:t xml:space="preserve"> en Residuos de Aparatos Eléctricos y Electrónicos (RAEE) en Países Latinoamericanos"</w:t>
            </w:r>
          </w:p>
        </w:tc>
        <w:tc>
          <w:tcPr>
            <w:tcW w:w="2134" w:type="dxa"/>
            <w:shd w:val="clear" w:color="auto" w:fill="auto"/>
          </w:tcPr>
          <w:p w14:paraId="02489F94" w14:textId="632E4322"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Integrar en el Comité intersectorial para la </w:t>
            </w:r>
            <w:r w:rsidR="00E749AF" w:rsidRPr="00B904AF">
              <w:rPr>
                <w:rFonts w:eastAsia="Times New Roman"/>
                <w:sz w:val="20"/>
                <w:szCs w:val="20"/>
                <w:lang w:val="es-CR" w:eastAsia="es-CR"/>
              </w:rPr>
              <w:t>gestión</w:t>
            </w:r>
            <w:r w:rsidRPr="00B904AF">
              <w:rPr>
                <w:rFonts w:eastAsia="Times New Roman"/>
                <w:sz w:val="20"/>
                <w:szCs w:val="20"/>
                <w:lang w:val="es-CR" w:eastAsia="es-CR"/>
              </w:rPr>
              <w:t xml:space="preserve"> integral de residuos electrónicos (CEGIRE) a toda la cadena de valor de los AEE considerando a los productores, distribuidores, comercializadores, consumidores, gestores y usuarios finales según la normativa existente y bajo los principios de responsabilidad extendida al productor y responsabilidad compartida y diferenciada. Articular con la academia acciones que permitan formar y fortalecer capacidades y </w:t>
            </w:r>
            <w:r w:rsidRPr="00B904AF">
              <w:rPr>
                <w:rFonts w:eastAsia="Times New Roman"/>
                <w:sz w:val="20"/>
                <w:szCs w:val="20"/>
                <w:lang w:val="es-CR" w:eastAsia="es-CR"/>
              </w:rPr>
              <w:lastRenderedPageBreak/>
              <w:t xml:space="preserve">conocimiento en personal técnico y profesional, así como promover el desarrollo de proyectos de investigación innovación y desarrollo en temas relacionados a la </w:t>
            </w:r>
            <w:r w:rsidR="00E749AF" w:rsidRPr="00B904AF">
              <w:rPr>
                <w:rFonts w:eastAsia="Times New Roman"/>
                <w:sz w:val="20"/>
                <w:szCs w:val="20"/>
                <w:lang w:val="es-CR" w:eastAsia="es-CR"/>
              </w:rPr>
              <w:t>gestión</w:t>
            </w:r>
            <w:r w:rsidRPr="00B904AF">
              <w:rPr>
                <w:rFonts w:eastAsia="Times New Roman"/>
                <w:sz w:val="20"/>
                <w:szCs w:val="20"/>
                <w:lang w:val="es-CR" w:eastAsia="es-CR"/>
              </w:rPr>
              <w:t xml:space="preserve"> ambientalmente segura de los RAEE. Desarrollar campañas de sensibilización y concientización en el conjunto con otros actores clave como productores, distribuidores, gestores de RAEE, </w:t>
            </w:r>
            <w:r w:rsidR="00E749AF" w:rsidRPr="00B904AF">
              <w:rPr>
                <w:rFonts w:eastAsia="Times New Roman"/>
                <w:sz w:val="20"/>
                <w:szCs w:val="20"/>
                <w:lang w:val="es-CR" w:eastAsia="es-CR"/>
              </w:rPr>
              <w:t>academia,</w:t>
            </w:r>
            <w:r w:rsidRPr="00B904AF">
              <w:rPr>
                <w:rFonts w:eastAsia="Times New Roman"/>
                <w:sz w:val="20"/>
                <w:szCs w:val="20"/>
                <w:lang w:val="es-CR" w:eastAsia="es-CR"/>
              </w:rPr>
              <w:t xml:space="preserve"> gobiernos locales, organizaciones no gubernamentales y organismos internacionales para fortalecer una cultura de consumo con criterios circulares y sostenible en la población. Continuar con el trabajo </w:t>
            </w:r>
            <w:r w:rsidRPr="00B904AF">
              <w:rPr>
                <w:rFonts w:eastAsia="Times New Roman"/>
                <w:sz w:val="20"/>
                <w:szCs w:val="20"/>
                <w:lang w:val="es-CR" w:eastAsia="es-CR"/>
              </w:rPr>
              <w:lastRenderedPageBreak/>
              <w:t xml:space="preserve">colaborativo entre países de la Región, compartiendo información, mejores </w:t>
            </w:r>
            <w:r w:rsidR="00E749AF" w:rsidRPr="00B904AF">
              <w:rPr>
                <w:rFonts w:eastAsia="Times New Roman"/>
                <w:sz w:val="20"/>
                <w:szCs w:val="20"/>
                <w:lang w:val="es-CR" w:eastAsia="es-CR"/>
              </w:rPr>
              <w:t>prácticas</w:t>
            </w:r>
            <w:r w:rsidRPr="00B904AF">
              <w:rPr>
                <w:rFonts w:eastAsia="Times New Roman"/>
                <w:sz w:val="20"/>
                <w:szCs w:val="20"/>
                <w:lang w:val="es-CR" w:eastAsia="es-CR"/>
              </w:rPr>
              <w:t xml:space="preserve"> y organizando eventos regionales de capacitación y concientización, tomando en cuenta las bases y lecciones aprendidas del Proyecto PREAL. </w:t>
            </w:r>
          </w:p>
        </w:tc>
        <w:tc>
          <w:tcPr>
            <w:tcW w:w="1673" w:type="dxa"/>
            <w:shd w:val="clear" w:color="auto" w:fill="auto"/>
          </w:tcPr>
          <w:p w14:paraId="371EADE8" w14:textId="43B86BE0"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Organización de las Naciones Unidas para el Desarrollo Industrial (ONUDI)</w:t>
            </w:r>
          </w:p>
        </w:tc>
        <w:tc>
          <w:tcPr>
            <w:tcW w:w="1488" w:type="dxa"/>
            <w:shd w:val="clear" w:color="auto" w:fill="auto"/>
          </w:tcPr>
          <w:p w14:paraId="2F027F84" w14:textId="150F401A"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0DE2BA75" w14:textId="77777777" w:rsidR="00B904AF" w:rsidRPr="00E749AF" w:rsidRDefault="00B904AF" w:rsidP="00B904AF">
            <w:pPr>
              <w:spacing w:line="240" w:lineRule="auto"/>
              <w:rPr>
                <w:rFonts w:eastAsia="Times New Roman"/>
                <w:sz w:val="20"/>
                <w:szCs w:val="20"/>
                <w:lang w:val="es-ES_tradnl" w:eastAsia="es-CR"/>
              </w:rPr>
            </w:pPr>
          </w:p>
        </w:tc>
      </w:tr>
      <w:tr w:rsidR="00B904AF" w:rsidRPr="00E749AF" w14:paraId="4E196DBC" w14:textId="77777777" w:rsidTr="00B904AF">
        <w:trPr>
          <w:trHeight w:val="50"/>
          <w:jc w:val="center"/>
        </w:trPr>
        <w:tc>
          <w:tcPr>
            <w:tcW w:w="1368" w:type="dxa"/>
            <w:shd w:val="clear" w:color="auto" w:fill="auto"/>
          </w:tcPr>
          <w:p w14:paraId="00AADA5A" w14:textId="65FD34C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Gloriana Mora Cascante</w:t>
            </w:r>
          </w:p>
        </w:tc>
        <w:tc>
          <w:tcPr>
            <w:tcW w:w="1453" w:type="dxa"/>
            <w:shd w:val="clear" w:color="auto" w:fill="auto"/>
          </w:tcPr>
          <w:p w14:paraId="35876F96" w14:textId="3DDE6CEB"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Dirección de Servicios de Salud </w:t>
            </w:r>
          </w:p>
        </w:tc>
        <w:tc>
          <w:tcPr>
            <w:tcW w:w="1073" w:type="dxa"/>
            <w:shd w:val="clear" w:color="auto" w:fill="auto"/>
          </w:tcPr>
          <w:p w14:paraId="27D08C83" w14:textId="190536C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06AB3351" w14:textId="781468F4"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28-may-24</w:t>
            </w:r>
          </w:p>
        </w:tc>
        <w:tc>
          <w:tcPr>
            <w:tcW w:w="1189" w:type="dxa"/>
            <w:shd w:val="clear" w:color="auto" w:fill="auto"/>
          </w:tcPr>
          <w:p w14:paraId="70DC66F7" w14:textId="420B5CF7"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Guatemala</w:t>
            </w:r>
          </w:p>
        </w:tc>
        <w:tc>
          <w:tcPr>
            <w:tcW w:w="1816" w:type="dxa"/>
            <w:shd w:val="clear" w:color="auto" w:fill="auto"/>
          </w:tcPr>
          <w:p w14:paraId="526708F1" w14:textId="48FA412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Reunión presencial de la Comisión Técnica de Desarrollo de Recursos Humanos en Salud (CTDRHUS)</w:t>
            </w:r>
          </w:p>
        </w:tc>
        <w:tc>
          <w:tcPr>
            <w:tcW w:w="2134" w:type="dxa"/>
            <w:shd w:val="clear" w:color="auto" w:fill="auto"/>
          </w:tcPr>
          <w:p w14:paraId="55CEDF17" w14:textId="43A34632"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No se asumen compromisos. </w:t>
            </w:r>
          </w:p>
        </w:tc>
        <w:tc>
          <w:tcPr>
            <w:tcW w:w="1673" w:type="dxa"/>
            <w:shd w:val="clear" w:color="auto" w:fill="auto"/>
          </w:tcPr>
          <w:p w14:paraId="7C515184" w14:textId="69C8C6C0"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Secretaría Ejecutiva del Consejo de Ministros de Salud de Centroamérica y República Dominicana (SE-COMISCA)</w:t>
            </w:r>
          </w:p>
        </w:tc>
        <w:tc>
          <w:tcPr>
            <w:tcW w:w="1488" w:type="dxa"/>
            <w:shd w:val="clear" w:color="auto" w:fill="auto"/>
          </w:tcPr>
          <w:p w14:paraId="56B11ED3" w14:textId="567DA4BE"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63F877D1" w14:textId="2D25E391"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w:t>
            </w:r>
          </w:p>
        </w:tc>
      </w:tr>
      <w:tr w:rsidR="00B904AF" w:rsidRPr="00E749AF" w14:paraId="2930711C" w14:textId="77777777" w:rsidTr="00B904AF">
        <w:trPr>
          <w:trHeight w:val="50"/>
          <w:jc w:val="center"/>
        </w:trPr>
        <w:tc>
          <w:tcPr>
            <w:tcW w:w="1368" w:type="dxa"/>
            <w:shd w:val="clear" w:color="auto" w:fill="auto"/>
          </w:tcPr>
          <w:p w14:paraId="409392D9" w14:textId="219803A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Lourdes Sánchez Delgado</w:t>
            </w:r>
          </w:p>
        </w:tc>
        <w:tc>
          <w:tcPr>
            <w:tcW w:w="1453" w:type="dxa"/>
            <w:shd w:val="clear" w:color="auto" w:fill="auto"/>
          </w:tcPr>
          <w:p w14:paraId="78756898" w14:textId="5FD0C634"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Protección Radiológica y Salud Ambiental</w:t>
            </w:r>
          </w:p>
        </w:tc>
        <w:tc>
          <w:tcPr>
            <w:tcW w:w="1073" w:type="dxa"/>
            <w:shd w:val="clear" w:color="auto" w:fill="auto"/>
          </w:tcPr>
          <w:p w14:paraId="4B3A8049" w14:textId="67509CFE"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1E584E1B" w14:textId="1AA3AFE4"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30-may-24</w:t>
            </w:r>
          </w:p>
        </w:tc>
        <w:tc>
          <w:tcPr>
            <w:tcW w:w="1189" w:type="dxa"/>
            <w:shd w:val="clear" w:color="auto" w:fill="auto"/>
          </w:tcPr>
          <w:p w14:paraId="3CB936A1" w14:textId="149F7BB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Bolivia</w:t>
            </w:r>
          </w:p>
        </w:tc>
        <w:tc>
          <w:tcPr>
            <w:tcW w:w="1816" w:type="dxa"/>
            <w:shd w:val="clear" w:color="auto" w:fill="auto"/>
          </w:tcPr>
          <w:p w14:paraId="287189A5" w14:textId="455A1D08"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Taller presencial “Gestión de proyectos de cooperación triangular”</w:t>
            </w:r>
          </w:p>
        </w:tc>
        <w:tc>
          <w:tcPr>
            <w:tcW w:w="2134" w:type="dxa"/>
            <w:shd w:val="clear" w:color="auto" w:fill="auto"/>
          </w:tcPr>
          <w:p w14:paraId="26BA398A" w14:textId="2D1897EB"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 --</w:t>
            </w:r>
          </w:p>
        </w:tc>
        <w:tc>
          <w:tcPr>
            <w:tcW w:w="1673" w:type="dxa"/>
            <w:shd w:val="clear" w:color="auto" w:fill="auto"/>
          </w:tcPr>
          <w:p w14:paraId="513E1842" w14:textId="2388EE4F"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Fondo Regional de Cooperación Triangular</w:t>
            </w:r>
          </w:p>
        </w:tc>
        <w:tc>
          <w:tcPr>
            <w:tcW w:w="1488" w:type="dxa"/>
            <w:shd w:val="clear" w:color="auto" w:fill="auto"/>
          </w:tcPr>
          <w:p w14:paraId="56356D7F" w14:textId="572B21AB"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5AB692F4" w14:textId="2CB7763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Queda sin efecto por medio del oficio MS-DM-1737-2024.</w:t>
            </w:r>
          </w:p>
        </w:tc>
      </w:tr>
      <w:tr w:rsidR="00B904AF" w:rsidRPr="00E749AF" w14:paraId="22FF48F3" w14:textId="77777777" w:rsidTr="00B904AF">
        <w:trPr>
          <w:trHeight w:val="50"/>
          <w:jc w:val="center"/>
        </w:trPr>
        <w:tc>
          <w:tcPr>
            <w:tcW w:w="1368" w:type="dxa"/>
            <w:shd w:val="clear" w:color="auto" w:fill="auto"/>
          </w:tcPr>
          <w:p w14:paraId="42700A2D" w14:textId="153ECE56"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Ana Victoria </w:t>
            </w:r>
            <w:proofErr w:type="spellStart"/>
            <w:r w:rsidRPr="00B904AF">
              <w:rPr>
                <w:rFonts w:eastAsia="Times New Roman"/>
                <w:sz w:val="20"/>
                <w:szCs w:val="20"/>
                <w:lang w:val="es-CR" w:eastAsia="es-CR"/>
              </w:rPr>
              <w:t>Giusti</w:t>
            </w:r>
            <w:proofErr w:type="spellEnd"/>
            <w:r w:rsidRPr="00B904AF">
              <w:rPr>
                <w:rFonts w:eastAsia="Times New Roman"/>
                <w:sz w:val="20"/>
                <w:szCs w:val="20"/>
                <w:lang w:val="es-CR" w:eastAsia="es-CR"/>
              </w:rPr>
              <w:t xml:space="preserve"> Méndez</w:t>
            </w:r>
          </w:p>
        </w:tc>
        <w:tc>
          <w:tcPr>
            <w:tcW w:w="1453" w:type="dxa"/>
            <w:shd w:val="clear" w:color="auto" w:fill="auto"/>
          </w:tcPr>
          <w:p w14:paraId="5F43335E" w14:textId="257E6F1E"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Protección Radiológica y Salud Ambiental</w:t>
            </w:r>
          </w:p>
        </w:tc>
        <w:tc>
          <w:tcPr>
            <w:tcW w:w="1073" w:type="dxa"/>
            <w:shd w:val="clear" w:color="auto" w:fill="auto"/>
          </w:tcPr>
          <w:p w14:paraId="301680E1" w14:textId="7E799C60"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6A5B0882" w14:textId="1A70FDD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30-may-24</w:t>
            </w:r>
          </w:p>
        </w:tc>
        <w:tc>
          <w:tcPr>
            <w:tcW w:w="1189" w:type="dxa"/>
            <w:shd w:val="clear" w:color="auto" w:fill="auto"/>
          </w:tcPr>
          <w:p w14:paraId="41625C16" w14:textId="7BC721C1"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Bolivia</w:t>
            </w:r>
          </w:p>
        </w:tc>
        <w:tc>
          <w:tcPr>
            <w:tcW w:w="1816" w:type="dxa"/>
            <w:shd w:val="clear" w:color="auto" w:fill="auto"/>
          </w:tcPr>
          <w:p w14:paraId="7573914E" w14:textId="2166E49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Taller presencial “Gestión de proyectos de cooperación triangular”</w:t>
            </w:r>
          </w:p>
        </w:tc>
        <w:tc>
          <w:tcPr>
            <w:tcW w:w="2134" w:type="dxa"/>
            <w:shd w:val="clear" w:color="auto" w:fill="auto"/>
          </w:tcPr>
          <w:p w14:paraId="6D9A4AF4" w14:textId="77A7D6B1" w:rsidR="00B904AF" w:rsidRPr="00E749AF" w:rsidRDefault="00E749AF" w:rsidP="00E749AF">
            <w:pPr>
              <w:spacing w:line="240" w:lineRule="auto"/>
              <w:jc w:val="center"/>
              <w:rPr>
                <w:rFonts w:eastAsia="Times New Roman"/>
                <w:i/>
                <w:iCs/>
                <w:sz w:val="20"/>
                <w:szCs w:val="20"/>
                <w:lang w:val="es-ES_tradnl" w:eastAsia="es-CR"/>
              </w:rPr>
            </w:pPr>
            <w:r w:rsidRPr="00E749AF">
              <w:rPr>
                <w:rFonts w:eastAsia="Times New Roman"/>
                <w:i/>
                <w:iCs/>
                <w:sz w:val="20"/>
                <w:szCs w:val="20"/>
                <w:lang w:val="es-ES_tradnl" w:eastAsia="es-CR"/>
              </w:rPr>
              <w:t>Informe pendiente</w:t>
            </w:r>
          </w:p>
        </w:tc>
        <w:tc>
          <w:tcPr>
            <w:tcW w:w="1673" w:type="dxa"/>
            <w:shd w:val="clear" w:color="auto" w:fill="auto"/>
          </w:tcPr>
          <w:p w14:paraId="533A68F4" w14:textId="0EFD7B5D"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Fondo Regional de Cooperación Triangular</w:t>
            </w:r>
          </w:p>
        </w:tc>
        <w:tc>
          <w:tcPr>
            <w:tcW w:w="1488" w:type="dxa"/>
            <w:shd w:val="clear" w:color="auto" w:fill="auto"/>
          </w:tcPr>
          <w:p w14:paraId="02D92B4A" w14:textId="2D725569"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605E76C5" w14:textId="16436095" w:rsidR="00B904AF" w:rsidRPr="00E749AF" w:rsidRDefault="00B904AF" w:rsidP="00B904AF">
            <w:pPr>
              <w:spacing w:line="240" w:lineRule="auto"/>
              <w:rPr>
                <w:rFonts w:eastAsia="Times New Roman"/>
                <w:sz w:val="20"/>
                <w:szCs w:val="20"/>
                <w:lang w:val="es-ES_tradnl" w:eastAsia="es-CR"/>
              </w:rPr>
            </w:pPr>
            <w:r w:rsidRPr="00B904AF">
              <w:rPr>
                <w:rFonts w:eastAsia="Times New Roman"/>
                <w:sz w:val="20"/>
                <w:szCs w:val="20"/>
                <w:lang w:val="es-CR" w:eastAsia="es-CR"/>
              </w:rPr>
              <w:t> </w:t>
            </w:r>
          </w:p>
        </w:tc>
      </w:tr>
      <w:tr w:rsidR="00E749AF" w:rsidRPr="00E749AF" w14:paraId="5953C00C" w14:textId="77777777" w:rsidTr="00B904AF">
        <w:trPr>
          <w:trHeight w:val="50"/>
          <w:jc w:val="center"/>
        </w:trPr>
        <w:tc>
          <w:tcPr>
            <w:tcW w:w="1368" w:type="dxa"/>
            <w:shd w:val="clear" w:color="auto" w:fill="auto"/>
          </w:tcPr>
          <w:p w14:paraId="369E538A" w14:textId="0A20D7D1"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 xml:space="preserve">Mary Munive </w:t>
            </w:r>
            <w:proofErr w:type="spellStart"/>
            <w:r w:rsidRPr="00B904AF">
              <w:rPr>
                <w:rFonts w:eastAsia="Times New Roman"/>
                <w:sz w:val="20"/>
                <w:szCs w:val="20"/>
                <w:lang w:val="es-CR" w:eastAsia="es-CR"/>
              </w:rPr>
              <w:t>Angermüller</w:t>
            </w:r>
            <w:proofErr w:type="spellEnd"/>
          </w:p>
        </w:tc>
        <w:tc>
          <w:tcPr>
            <w:tcW w:w="1453" w:type="dxa"/>
            <w:shd w:val="clear" w:color="auto" w:fill="auto"/>
          </w:tcPr>
          <w:p w14:paraId="72F7B6FD" w14:textId="2904341C"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Despacho Ministerial </w:t>
            </w:r>
          </w:p>
        </w:tc>
        <w:tc>
          <w:tcPr>
            <w:tcW w:w="1073" w:type="dxa"/>
            <w:shd w:val="clear" w:color="auto" w:fill="auto"/>
          </w:tcPr>
          <w:p w14:paraId="2433EA4B" w14:textId="214FDF14"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76B005C0" w14:textId="102DD1FE"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4-jun-24</w:t>
            </w:r>
          </w:p>
        </w:tc>
        <w:tc>
          <w:tcPr>
            <w:tcW w:w="1189" w:type="dxa"/>
            <w:shd w:val="clear" w:color="auto" w:fill="auto"/>
          </w:tcPr>
          <w:p w14:paraId="59D99407" w14:textId="48DDBAF0"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Suiza</w:t>
            </w:r>
          </w:p>
        </w:tc>
        <w:tc>
          <w:tcPr>
            <w:tcW w:w="1816" w:type="dxa"/>
            <w:shd w:val="clear" w:color="auto" w:fill="auto"/>
          </w:tcPr>
          <w:p w14:paraId="0B10C55C" w14:textId="7D5975D5"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77° Asamblea Mundial de la Salud </w:t>
            </w:r>
          </w:p>
        </w:tc>
        <w:tc>
          <w:tcPr>
            <w:tcW w:w="2134" w:type="dxa"/>
            <w:shd w:val="clear" w:color="auto" w:fill="auto"/>
          </w:tcPr>
          <w:p w14:paraId="1D7014B8" w14:textId="70CE06E9" w:rsidR="00E749AF" w:rsidRPr="00877C79" w:rsidRDefault="00877C79" w:rsidP="00877C79">
            <w:pPr>
              <w:spacing w:line="240" w:lineRule="auto"/>
              <w:rPr>
                <w:rFonts w:eastAsia="Times New Roman"/>
                <w:sz w:val="20"/>
                <w:szCs w:val="20"/>
                <w:lang w:val="es-CR" w:eastAsia="es-CR"/>
              </w:rPr>
            </w:pPr>
            <w:r w:rsidRPr="00877C79">
              <w:rPr>
                <w:rFonts w:eastAsia="Times New Roman"/>
                <w:sz w:val="20"/>
                <w:szCs w:val="20"/>
                <w:lang w:val="es-CR" w:eastAsia="es-CR"/>
              </w:rPr>
              <w:t xml:space="preserve">Elección de Costa Rica como miembro del Comité Ejecutivo de la Organización Mundial de la Salud. Apoyo a la resolución: “Resistencia a los antimicrobianos: acelerar las respuestas nacionales y mundiales. Apoyo a la resolución: “Economía y salud para todos”. Apoyo a la resolución: “Participación social para la cobertura sanitaria universal, la salud y el bienestar”. Apoyo a la resolución: “Aumento de la disponibilidad, el acceso ético y la supervisión del trasplante de células, tejidos y órganos humanos”. Costa Rica acuerda separarse de la decisión de alargar por un año más el mandato del Órgano de Negociación </w:t>
            </w:r>
            <w:r w:rsidRPr="00877C79">
              <w:rPr>
                <w:rFonts w:eastAsia="Times New Roman"/>
                <w:sz w:val="20"/>
                <w:szCs w:val="20"/>
                <w:lang w:val="es-CR" w:eastAsia="es-CR"/>
              </w:rPr>
              <w:lastRenderedPageBreak/>
              <w:t xml:space="preserve">Intergubernamental, el cual lleva a cabo la confección de la propuesta del “Acuerdo sobre prevención, preparación y respuesta a futuras pandemias”. 14.º Programa General de Trabajo 2025-2028. Fortalecimiento de la salud mental y el apoyo psicosocial antes, durante y después de los conflictos armados, los desastres naturales y provocados por el ser humano y las emergencias sanitarias y de otro tipo. Acelerar los progresos hacia la </w:t>
            </w:r>
            <w:r>
              <w:rPr>
                <w:rFonts w:eastAsia="Times New Roman"/>
                <w:sz w:val="20"/>
                <w:szCs w:val="20"/>
                <w:lang w:val="es-CR" w:eastAsia="es-CR"/>
              </w:rPr>
              <w:t>r</w:t>
            </w:r>
            <w:r w:rsidRPr="00877C79">
              <w:rPr>
                <w:rFonts w:eastAsia="Times New Roman"/>
                <w:sz w:val="20"/>
                <w:szCs w:val="20"/>
                <w:lang w:val="es-CR" w:eastAsia="es-CR"/>
              </w:rPr>
              <w:t xml:space="preserve">educción de la mortalidad materna, neonatal e infantil para alcanzar las metas 3.1 y 3.2 de los Objetivos de Desarrollo Sostenible. </w:t>
            </w:r>
            <w:r w:rsidRPr="00877C79">
              <w:rPr>
                <w:rFonts w:eastAsia="Times New Roman"/>
                <w:sz w:val="20"/>
                <w:szCs w:val="20"/>
                <w:lang w:val="es-CR" w:eastAsia="es-CR"/>
              </w:rPr>
              <w:lastRenderedPageBreak/>
              <w:t xml:space="preserve">Fortalecimiento de la gestión de riesgos biológicos en el laboratorio. Fortalecimiento de la preparación frente a emergencias sanitarias provocadas por desastres derivados de peligros naturales. Iniciativa Mundial de Salud y Paz. Estado de la recaudación de las contribuciones señaladas, y Estados Miembros con atrasos de contribuciones de importancia bastante para que esté justificado aplicar el Artículo 7 de la Constitución de la Organización Mundial de la Salud. Fortalecimiento de la salud y el bienestar a través de eventos deportivos. Cambio climático y salud. Armonización de la participación de </w:t>
            </w:r>
            <w:r w:rsidRPr="00877C79">
              <w:rPr>
                <w:rFonts w:eastAsia="Times New Roman"/>
                <w:sz w:val="20"/>
                <w:szCs w:val="20"/>
                <w:lang w:val="es-CR" w:eastAsia="es-CR"/>
              </w:rPr>
              <w:lastRenderedPageBreak/>
              <w:t>Palestina en la Organización Mundial de la Salud y en las Naciones Unidas. Situación sanitaria en el territorio palestino ocupado, incluida Jerusalén oriental. Fortalecimiento de la preparación y respuesta frente a emergencias de salud pública mediante enmiendas específicas al Reglamento Sanitario Internacional (2005).</w:t>
            </w:r>
          </w:p>
        </w:tc>
        <w:tc>
          <w:tcPr>
            <w:tcW w:w="1673" w:type="dxa"/>
            <w:shd w:val="clear" w:color="auto" w:fill="auto"/>
          </w:tcPr>
          <w:p w14:paraId="6FD79675" w14:textId="63624B00"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 xml:space="preserve">Ministerio de Salud de Costa Rica </w:t>
            </w:r>
          </w:p>
        </w:tc>
        <w:tc>
          <w:tcPr>
            <w:tcW w:w="1488" w:type="dxa"/>
            <w:shd w:val="clear" w:color="auto" w:fill="auto"/>
          </w:tcPr>
          <w:p w14:paraId="3CB3E883" w14:textId="74CA1828" w:rsidR="00E749AF" w:rsidRPr="00E749AF" w:rsidRDefault="00E749AF" w:rsidP="00E749AF">
            <w:pPr>
              <w:spacing w:line="240" w:lineRule="auto"/>
              <w:jc w:val="right"/>
              <w:rPr>
                <w:rFonts w:eastAsia="Times New Roman"/>
                <w:sz w:val="20"/>
                <w:szCs w:val="20"/>
                <w:lang w:val="es-ES_tradnl" w:eastAsia="es-CR"/>
              </w:rPr>
            </w:pPr>
            <w:r w:rsidRPr="00B904AF">
              <w:rPr>
                <w:rFonts w:eastAsia="Times New Roman"/>
                <w:sz w:val="20"/>
                <w:szCs w:val="20"/>
                <w:lang w:val="es-CR" w:eastAsia="es-CR"/>
              </w:rPr>
              <w:t xml:space="preserve">₡2 540 700,91 </w:t>
            </w:r>
          </w:p>
        </w:tc>
        <w:tc>
          <w:tcPr>
            <w:tcW w:w="1575" w:type="dxa"/>
            <w:shd w:val="clear" w:color="auto" w:fill="auto"/>
          </w:tcPr>
          <w:p w14:paraId="5CEBB38B" w14:textId="77777777" w:rsidR="00E749AF" w:rsidRPr="00E749AF" w:rsidRDefault="00E749AF" w:rsidP="00E749AF">
            <w:pPr>
              <w:spacing w:line="240" w:lineRule="auto"/>
              <w:rPr>
                <w:rFonts w:eastAsia="Times New Roman"/>
                <w:sz w:val="20"/>
                <w:szCs w:val="20"/>
                <w:lang w:val="es-ES_tradnl" w:eastAsia="es-CR"/>
              </w:rPr>
            </w:pPr>
          </w:p>
        </w:tc>
      </w:tr>
      <w:tr w:rsidR="00E749AF" w:rsidRPr="00E749AF" w14:paraId="1D443727" w14:textId="77777777" w:rsidTr="00B904AF">
        <w:trPr>
          <w:trHeight w:val="50"/>
          <w:jc w:val="center"/>
        </w:trPr>
        <w:tc>
          <w:tcPr>
            <w:tcW w:w="1368" w:type="dxa"/>
            <w:shd w:val="clear" w:color="auto" w:fill="auto"/>
          </w:tcPr>
          <w:p w14:paraId="7CFB836B" w14:textId="67826BCA"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 xml:space="preserve">Mariela Marín Mena </w:t>
            </w:r>
          </w:p>
        </w:tc>
        <w:tc>
          <w:tcPr>
            <w:tcW w:w="1453" w:type="dxa"/>
            <w:shd w:val="clear" w:color="auto" w:fill="auto"/>
          </w:tcPr>
          <w:p w14:paraId="57ED91C3" w14:textId="116E1A19"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Despacho Ministerial </w:t>
            </w:r>
          </w:p>
        </w:tc>
        <w:tc>
          <w:tcPr>
            <w:tcW w:w="1073" w:type="dxa"/>
            <w:shd w:val="clear" w:color="auto" w:fill="auto"/>
          </w:tcPr>
          <w:p w14:paraId="4FFDC346" w14:textId="47EBF245"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553941AD" w14:textId="41BA1BF4"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1-jun-24</w:t>
            </w:r>
          </w:p>
        </w:tc>
        <w:tc>
          <w:tcPr>
            <w:tcW w:w="1189" w:type="dxa"/>
            <w:shd w:val="clear" w:color="auto" w:fill="auto"/>
          </w:tcPr>
          <w:p w14:paraId="10995D3F" w14:textId="1BCF4625"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Suiza</w:t>
            </w:r>
          </w:p>
        </w:tc>
        <w:tc>
          <w:tcPr>
            <w:tcW w:w="1816" w:type="dxa"/>
            <w:shd w:val="clear" w:color="auto" w:fill="auto"/>
          </w:tcPr>
          <w:p w14:paraId="669AF3BB" w14:textId="79C2BF7F"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77° Asamblea Mundial de la Salud </w:t>
            </w:r>
          </w:p>
        </w:tc>
        <w:tc>
          <w:tcPr>
            <w:tcW w:w="2134" w:type="dxa"/>
            <w:shd w:val="clear" w:color="auto" w:fill="auto"/>
          </w:tcPr>
          <w:p w14:paraId="7339E593" w14:textId="77777777" w:rsidR="00E749AF" w:rsidRDefault="00E749AF" w:rsidP="00E749AF">
            <w:pPr>
              <w:spacing w:line="240" w:lineRule="auto"/>
              <w:rPr>
                <w:rFonts w:eastAsia="Times New Roman"/>
                <w:sz w:val="20"/>
                <w:szCs w:val="20"/>
                <w:lang w:val="es-CR" w:eastAsia="es-CR"/>
              </w:rPr>
            </w:pPr>
            <w:r w:rsidRPr="00B904AF">
              <w:rPr>
                <w:rFonts w:eastAsia="Times New Roman"/>
                <w:sz w:val="20"/>
                <w:szCs w:val="20"/>
                <w:lang w:val="es-CR" w:eastAsia="es-CR"/>
              </w:rPr>
              <w:t xml:space="preserve">Apoyo a las resoluciones “Resistencia a los antimicrobianos: acelerar las respuestas nacionales y mundiales”, “Economía y salud para todos”, “Participación social para la cobertura sanitaria universal, la salud y el bienestar”, “Aumento de la disponibilidad, el </w:t>
            </w:r>
            <w:r w:rsidRPr="00B904AF">
              <w:rPr>
                <w:rFonts w:eastAsia="Times New Roman"/>
                <w:sz w:val="20"/>
                <w:szCs w:val="20"/>
                <w:lang w:val="es-CR" w:eastAsia="es-CR"/>
              </w:rPr>
              <w:lastRenderedPageBreak/>
              <w:t>acceso ético y la supervisión del trasplante de células, tejidos y órganos humanos”, “14.º Programa General de Trabajo 2025-2028”, “Fortalecimiento de la salud mental y el apoyo psicosocial antes, durante y después de los conflictos armados, los desastres naturales y provocados por el ser humano y las emergencias sanitarias y de otro tipo”, “Acelerar los progresos hacia la reducción de la mortalidad materna, neonatal e infantil para alcanzar las metas 3.1 y 3.2 de los 10. Objetivos de Desarrollo Sostenible”, “Fortalecimiento de la</w:t>
            </w:r>
          </w:p>
          <w:p w14:paraId="61852F76" w14:textId="0F293F94"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gestión de riesgos biológicos en el </w:t>
            </w:r>
            <w:r w:rsidRPr="00B904AF">
              <w:rPr>
                <w:rFonts w:eastAsia="Times New Roman"/>
                <w:sz w:val="20"/>
                <w:szCs w:val="20"/>
                <w:lang w:val="es-CR" w:eastAsia="es-CR"/>
              </w:rPr>
              <w:lastRenderedPageBreak/>
              <w:t xml:space="preserve">laboratorio”, “Fortalecimiento de la preparación frente a emergencias sanitarias provocadas por desastres derivados de peligros naturales”, “Iniciativa Mundial de Salud y Paz”, “Estado de la recaudación de las contribuciones señaladas, y Estados Miembros con atrasos de contribuciones de importancia bastante para que esté justificado aplicar el Artículo 7 de la Constitución de la Organización Mundial de la Salud”, “Fortalecimiento de la salud y el bienestar a través de eventos deportivos”, “Cambio climático y salud”, “Armonización de la participación de Palestina en la Organización Mundial de la Salud y en las </w:t>
            </w:r>
            <w:r w:rsidRPr="00B904AF">
              <w:rPr>
                <w:rFonts w:eastAsia="Times New Roman"/>
                <w:sz w:val="20"/>
                <w:szCs w:val="20"/>
                <w:lang w:val="es-CR" w:eastAsia="es-CR"/>
              </w:rPr>
              <w:lastRenderedPageBreak/>
              <w:t xml:space="preserve">Naciones Unidas”, “Situación sanitaria en el territorio palestino ocupado, incluida Jerusalén oriental” y “Fortalecimiento de la preparación y respuesta frente a emergencias de salud pública mediante enmiendas específicas al Reglamento Sanitario Internacional (2005)”. Costa Rica acuerda separarse de la decisión de alargar por un año más el mandato del Órgano de Negociación Intergubernamental, el cual lleva a cabo la confección de la propuesta del “Acuerdo sobre prevención, preparación y respuesta a futuras pandemias”. </w:t>
            </w:r>
          </w:p>
        </w:tc>
        <w:tc>
          <w:tcPr>
            <w:tcW w:w="1673" w:type="dxa"/>
            <w:shd w:val="clear" w:color="auto" w:fill="auto"/>
          </w:tcPr>
          <w:p w14:paraId="4D7ABC99" w14:textId="17E3656C"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 xml:space="preserve">Ministerio de Salud de Costa Rica </w:t>
            </w:r>
          </w:p>
        </w:tc>
        <w:tc>
          <w:tcPr>
            <w:tcW w:w="1488" w:type="dxa"/>
            <w:shd w:val="clear" w:color="auto" w:fill="auto"/>
          </w:tcPr>
          <w:p w14:paraId="78A227A6" w14:textId="5ABA8181" w:rsidR="00E749AF" w:rsidRPr="00E749AF" w:rsidRDefault="00E749AF" w:rsidP="00E749AF">
            <w:pPr>
              <w:spacing w:line="240" w:lineRule="auto"/>
              <w:jc w:val="right"/>
              <w:rPr>
                <w:rFonts w:eastAsia="Times New Roman"/>
                <w:sz w:val="20"/>
                <w:szCs w:val="20"/>
                <w:lang w:val="es-ES_tradnl" w:eastAsia="es-CR"/>
              </w:rPr>
            </w:pPr>
            <w:r w:rsidRPr="00B904AF">
              <w:rPr>
                <w:rFonts w:eastAsia="Times New Roman"/>
                <w:sz w:val="20"/>
                <w:szCs w:val="20"/>
                <w:lang w:val="es-CR" w:eastAsia="es-CR"/>
              </w:rPr>
              <w:t xml:space="preserve">₡1 911 550,68 </w:t>
            </w:r>
          </w:p>
        </w:tc>
        <w:tc>
          <w:tcPr>
            <w:tcW w:w="1575" w:type="dxa"/>
            <w:shd w:val="clear" w:color="auto" w:fill="auto"/>
          </w:tcPr>
          <w:p w14:paraId="7FD804FC" w14:textId="77777777" w:rsidR="00E749AF" w:rsidRPr="00E749AF" w:rsidRDefault="00E749AF" w:rsidP="00E749AF">
            <w:pPr>
              <w:spacing w:line="240" w:lineRule="auto"/>
              <w:rPr>
                <w:rFonts w:eastAsia="Times New Roman"/>
                <w:sz w:val="20"/>
                <w:szCs w:val="20"/>
                <w:lang w:val="es-ES_tradnl" w:eastAsia="es-CR"/>
              </w:rPr>
            </w:pPr>
          </w:p>
        </w:tc>
      </w:tr>
      <w:tr w:rsidR="00E749AF" w:rsidRPr="00E749AF" w14:paraId="18069F4F" w14:textId="77777777" w:rsidTr="000B50C6">
        <w:trPr>
          <w:trHeight w:val="50"/>
          <w:jc w:val="center"/>
        </w:trPr>
        <w:tc>
          <w:tcPr>
            <w:tcW w:w="1368" w:type="dxa"/>
            <w:shd w:val="clear" w:color="auto" w:fill="auto"/>
          </w:tcPr>
          <w:p w14:paraId="5D049388" w14:textId="6FE5AE1C"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 xml:space="preserve">Sara Pérez Salas </w:t>
            </w:r>
          </w:p>
        </w:tc>
        <w:tc>
          <w:tcPr>
            <w:tcW w:w="1453" w:type="dxa"/>
            <w:shd w:val="clear" w:color="auto" w:fill="auto"/>
          </w:tcPr>
          <w:p w14:paraId="139CA35F" w14:textId="59554A7A"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Despacho Ministerial </w:t>
            </w:r>
          </w:p>
        </w:tc>
        <w:tc>
          <w:tcPr>
            <w:tcW w:w="1073" w:type="dxa"/>
            <w:shd w:val="clear" w:color="auto" w:fill="auto"/>
          </w:tcPr>
          <w:p w14:paraId="7B343A9E" w14:textId="3817102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1DB9A7B3" w14:textId="67D355DF"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1-jun-24</w:t>
            </w:r>
          </w:p>
        </w:tc>
        <w:tc>
          <w:tcPr>
            <w:tcW w:w="1189" w:type="dxa"/>
            <w:shd w:val="clear" w:color="auto" w:fill="auto"/>
          </w:tcPr>
          <w:p w14:paraId="766351DE" w14:textId="31924493"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Suiza</w:t>
            </w:r>
          </w:p>
        </w:tc>
        <w:tc>
          <w:tcPr>
            <w:tcW w:w="1816" w:type="dxa"/>
            <w:shd w:val="clear" w:color="auto" w:fill="auto"/>
          </w:tcPr>
          <w:p w14:paraId="5B48BBAA" w14:textId="535D78D8"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77° Asamblea Mundial de la Salud </w:t>
            </w:r>
          </w:p>
        </w:tc>
        <w:tc>
          <w:tcPr>
            <w:tcW w:w="2134" w:type="dxa"/>
            <w:shd w:val="clear" w:color="auto" w:fill="auto"/>
          </w:tcPr>
          <w:p w14:paraId="10545914" w14:textId="43F1CE3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 --</w:t>
            </w:r>
          </w:p>
        </w:tc>
        <w:tc>
          <w:tcPr>
            <w:tcW w:w="1673" w:type="dxa"/>
            <w:shd w:val="clear" w:color="auto" w:fill="auto"/>
          </w:tcPr>
          <w:p w14:paraId="0EEA1276" w14:textId="2E80BBFE"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Ministerio de Salud de Costa Rica </w:t>
            </w:r>
          </w:p>
        </w:tc>
        <w:tc>
          <w:tcPr>
            <w:tcW w:w="1488" w:type="dxa"/>
            <w:shd w:val="clear" w:color="auto" w:fill="auto"/>
          </w:tcPr>
          <w:p w14:paraId="44D2E334" w14:textId="1BB8D8F7"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 --</w:t>
            </w:r>
          </w:p>
        </w:tc>
        <w:tc>
          <w:tcPr>
            <w:tcW w:w="1575" w:type="dxa"/>
            <w:shd w:val="clear" w:color="auto" w:fill="auto"/>
          </w:tcPr>
          <w:p w14:paraId="69630D6B" w14:textId="1D683F78"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Se deja sin efecto por medio del oficio </w:t>
            </w:r>
            <w:r w:rsidRPr="00B904AF">
              <w:rPr>
                <w:rFonts w:eastAsia="Times New Roman"/>
                <w:sz w:val="20"/>
                <w:szCs w:val="20"/>
                <w:lang w:val="es-CR" w:eastAsia="es-CR"/>
              </w:rPr>
              <w:lastRenderedPageBreak/>
              <w:t>MS-DM-1784-2024.</w:t>
            </w:r>
          </w:p>
        </w:tc>
      </w:tr>
      <w:tr w:rsidR="00E749AF" w:rsidRPr="00E749AF" w14:paraId="396E760A" w14:textId="77777777" w:rsidTr="00B904AF">
        <w:trPr>
          <w:trHeight w:val="50"/>
          <w:jc w:val="center"/>
        </w:trPr>
        <w:tc>
          <w:tcPr>
            <w:tcW w:w="1368" w:type="dxa"/>
            <w:shd w:val="clear" w:color="auto" w:fill="auto"/>
          </w:tcPr>
          <w:p w14:paraId="511A6095" w14:textId="435799DD"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lastRenderedPageBreak/>
              <w:t>Dayra Ramírez Ruiz</w:t>
            </w:r>
          </w:p>
        </w:tc>
        <w:tc>
          <w:tcPr>
            <w:tcW w:w="1453" w:type="dxa"/>
            <w:shd w:val="clear" w:color="auto" w:fill="auto"/>
          </w:tcPr>
          <w:p w14:paraId="7BF80785" w14:textId="12B680C4"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Dirección de Regulación de Productos de Interés Sanitario </w:t>
            </w:r>
          </w:p>
        </w:tc>
        <w:tc>
          <w:tcPr>
            <w:tcW w:w="1073" w:type="dxa"/>
            <w:shd w:val="clear" w:color="auto" w:fill="auto"/>
          </w:tcPr>
          <w:p w14:paraId="75457FE2" w14:textId="7E768BA2"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06480A00" w14:textId="24D7BB0B"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31-may-24</w:t>
            </w:r>
          </w:p>
        </w:tc>
        <w:tc>
          <w:tcPr>
            <w:tcW w:w="1189" w:type="dxa"/>
            <w:shd w:val="clear" w:color="auto" w:fill="auto"/>
          </w:tcPr>
          <w:p w14:paraId="14B45015" w14:textId="032F4BC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Austria</w:t>
            </w:r>
          </w:p>
        </w:tc>
        <w:tc>
          <w:tcPr>
            <w:tcW w:w="1816" w:type="dxa"/>
            <w:shd w:val="clear" w:color="auto" w:fill="auto"/>
          </w:tcPr>
          <w:p w14:paraId="6471044D" w14:textId="487A95F0"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Simposio Internacional sobre Inocuidad y Control de Alimentos</w:t>
            </w:r>
          </w:p>
        </w:tc>
        <w:tc>
          <w:tcPr>
            <w:tcW w:w="2134" w:type="dxa"/>
            <w:shd w:val="clear" w:color="auto" w:fill="auto"/>
          </w:tcPr>
          <w:p w14:paraId="5EBEF389" w14:textId="21D6FC12"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 --</w:t>
            </w:r>
          </w:p>
        </w:tc>
        <w:tc>
          <w:tcPr>
            <w:tcW w:w="1673" w:type="dxa"/>
            <w:shd w:val="clear" w:color="auto" w:fill="auto"/>
          </w:tcPr>
          <w:p w14:paraId="5E91A862" w14:textId="4F910DE3"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Organismo Internacional de Energía Atómica (OIEA)</w:t>
            </w:r>
          </w:p>
        </w:tc>
        <w:tc>
          <w:tcPr>
            <w:tcW w:w="1488" w:type="dxa"/>
            <w:shd w:val="clear" w:color="auto" w:fill="auto"/>
          </w:tcPr>
          <w:p w14:paraId="14F59ABC" w14:textId="0ACEA505"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2D3DDDB0" w14:textId="349D6558"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La funcionaria no obtuvo financiamiento por parte del organizador del evento. Se desiste de la participación. </w:t>
            </w:r>
          </w:p>
        </w:tc>
      </w:tr>
      <w:tr w:rsidR="00E749AF" w:rsidRPr="00E749AF" w14:paraId="25378F2E" w14:textId="77777777" w:rsidTr="00B904AF">
        <w:trPr>
          <w:trHeight w:val="50"/>
          <w:jc w:val="center"/>
        </w:trPr>
        <w:tc>
          <w:tcPr>
            <w:tcW w:w="1368" w:type="dxa"/>
            <w:shd w:val="clear" w:color="auto" w:fill="auto"/>
          </w:tcPr>
          <w:p w14:paraId="5DB333F3" w14:textId="1545A11C"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Mariela Alfaro Segura</w:t>
            </w:r>
          </w:p>
        </w:tc>
        <w:tc>
          <w:tcPr>
            <w:tcW w:w="1453" w:type="dxa"/>
            <w:shd w:val="clear" w:color="auto" w:fill="auto"/>
          </w:tcPr>
          <w:p w14:paraId="3EDCD4B5" w14:textId="2B42753B"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Dirección de Regulación de Productos de Interés Sanitario </w:t>
            </w:r>
          </w:p>
        </w:tc>
        <w:tc>
          <w:tcPr>
            <w:tcW w:w="1073" w:type="dxa"/>
            <w:shd w:val="clear" w:color="auto" w:fill="auto"/>
          </w:tcPr>
          <w:p w14:paraId="38D8FF04" w14:textId="2F982BE8"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27-may-24</w:t>
            </w:r>
          </w:p>
        </w:tc>
        <w:tc>
          <w:tcPr>
            <w:tcW w:w="1230" w:type="dxa"/>
            <w:shd w:val="clear" w:color="auto" w:fill="auto"/>
          </w:tcPr>
          <w:p w14:paraId="77BC1F6E" w14:textId="7BD92417"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31-may-24</w:t>
            </w:r>
          </w:p>
        </w:tc>
        <w:tc>
          <w:tcPr>
            <w:tcW w:w="1189" w:type="dxa"/>
            <w:shd w:val="clear" w:color="auto" w:fill="auto"/>
          </w:tcPr>
          <w:p w14:paraId="070EBD25" w14:textId="544A8B21"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Austria</w:t>
            </w:r>
          </w:p>
        </w:tc>
        <w:tc>
          <w:tcPr>
            <w:tcW w:w="1816" w:type="dxa"/>
            <w:shd w:val="clear" w:color="auto" w:fill="auto"/>
          </w:tcPr>
          <w:p w14:paraId="5B7AE36C" w14:textId="4AC845BB"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Simposio Internacional sobre Inocuidad y Control de Alimentos</w:t>
            </w:r>
          </w:p>
        </w:tc>
        <w:tc>
          <w:tcPr>
            <w:tcW w:w="2134" w:type="dxa"/>
            <w:shd w:val="clear" w:color="auto" w:fill="auto"/>
          </w:tcPr>
          <w:p w14:paraId="14737BCE" w14:textId="0028017C"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 --</w:t>
            </w:r>
          </w:p>
        </w:tc>
        <w:tc>
          <w:tcPr>
            <w:tcW w:w="1673" w:type="dxa"/>
            <w:shd w:val="clear" w:color="auto" w:fill="auto"/>
          </w:tcPr>
          <w:p w14:paraId="2D6151F2" w14:textId="19CDB0C4"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Organismo Internacional de Energía Atómica (OIEA)</w:t>
            </w:r>
          </w:p>
        </w:tc>
        <w:tc>
          <w:tcPr>
            <w:tcW w:w="1488" w:type="dxa"/>
            <w:shd w:val="clear" w:color="auto" w:fill="auto"/>
          </w:tcPr>
          <w:p w14:paraId="09918F07" w14:textId="030303F5"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3028B86A" w14:textId="25BB8B0E"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La funcionaria no obtuvo financiamiento por parte del organizador del evento. Se desiste de la participación. </w:t>
            </w:r>
          </w:p>
        </w:tc>
      </w:tr>
      <w:tr w:rsidR="00E749AF" w:rsidRPr="00E749AF" w14:paraId="1B6A2453" w14:textId="77777777" w:rsidTr="00B904AF">
        <w:trPr>
          <w:trHeight w:val="50"/>
          <w:jc w:val="center"/>
        </w:trPr>
        <w:tc>
          <w:tcPr>
            <w:tcW w:w="1368" w:type="dxa"/>
            <w:shd w:val="clear" w:color="auto" w:fill="auto"/>
          </w:tcPr>
          <w:p w14:paraId="5F7C94ED" w14:textId="061C14B3"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Sandra Delgado Jiménez</w:t>
            </w:r>
          </w:p>
        </w:tc>
        <w:tc>
          <w:tcPr>
            <w:tcW w:w="1453" w:type="dxa"/>
            <w:shd w:val="clear" w:color="auto" w:fill="auto"/>
          </w:tcPr>
          <w:p w14:paraId="496A314C" w14:textId="7E52CBC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Dirección de Vigilancia de la Salud</w:t>
            </w:r>
          </w:p>
        </w:tc>
        <w:tc>
          <w:tcPr>
            <w:tcW w:w="1073" w:type="dxa"/>
            <w:shd w:val="clear" w:color="auto" w:fill="auto"/>
          </w:tcPr>
          <w:p w14:paraId="09F20B5A" w14:textId="4960665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29-may-24</w:t>
            </w:r>
          </w:p>
        </w:tc>
        <w:tc>
          <w:tcPr>
            <w:tcW w:w="1230" w:type="dxa"/>
            <w:shd w:val="clear" w:color="auto" w:fill="auto"/>
          </w:tcPr>
          <w:p w14:paraId="25AA2DE6" w14:textId="1242D161"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30-may-24</w:t>
            </w:r>
          </w:p>
        </w:tc>
        <w:tc>
          <w:tcPr>
            <w:tcW w:w="1189" w:type="dxa"/>
            <w:shd w:val="clear" w:color="auto" w:fill="auto"/>
          </w:tcPr>
          <w:p w14:paraId="0CAF9EDC" w14:textId="28672B70"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EE.UU.</w:t>
            </w:r>
          </w:p>
        </w:tc>
        <w:tc>
          <w:tcPr>
            <w:tcW w:w="1816" w:type="dxa"/>
            <w:shd w:val="clear" w:color="auto" w:fill="auto"/>
          </w:tcPr>
          <w:p w14:paraId="486E0A47" w14:textId="18FA402E"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Reunión de Intercambio de Experiencias sobre las Barreras y Oportunidades para la Incorporación de los Determinantes Sociales en los Sistemas de Información para la Equidad en Salud</w:t>
            </w:r>
          </w:p>
        </w:tc>
        <w:tc>
          <w:tcPr>
            <w:tcW w:w="2134" w:type="dxa"/>
            <w:shd w:val="clear" w:color="auto" w:fill="auto"/>
          </w:tcPr>
          <w:p w14:paraId="408D3403" w14:textId="537CEC0B"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 xml:space="preserve">No se asumen compromisos. </w:t>
            </w:r>
          </w:p>
        </w:tc>
        <w:tc>
          <w:tcPr>
            <w:tcW w:w="1673" w:type="dxa"/>
            <w:shd w:val="clear" w:color="auto" w:fill="auto"/>
          </w:tcPr>
          <w:p w14:paraId="0411385A" w14:textId="7A7838D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Organización Panamericana de la Salud (OPS)</w:t>
            </w:r>
          </w:p>
        </w:tc>
        <w:tc>
          <w:tcPr>
            <w:tcW w:w="1488" w:type="dxa"/>
            <w:shd w:val="clear" w:color="auto" w:fill="auto"/>
          </w:tcPr>
          <w:p w14:paraId="23AB7F55" w14:textId="71295796" w:rsidR="00E749AF" w:rsidRPr="00E749AF" w:rsidRDefault="00E749AF" w:rsidP="00E749AF">
            <w:pPr>
              <w:spacing w:line="240" w:lineRule="auto"/>
              <w:rPr>
                <w:rFonts w:eastAsia="Times New Roman"/>
                <w:sz w:val="20"/>
                <w:szCs w:val="20"/>
                <w:lang w:val="es-ES_tradnl" w:eastAsia="es-CR"/>
              </w:rPr>
            </w:pPr>
            <w:r w:rsidRPr="00B904AF">
              <w:rPr>
                <w:rFonts w:eastAsia="Times New Roman"/>
                <w:sz w:val="20"/>
                <w:szCs w:val="20"/>
                <w:lang w:val="es-CR" w:eastAsia="es-CR"/>
              </w:rPr>
              <w:t>No se dan viáticos institucionales.</w:t>
            </w:r>
          </w:p>
        </w:tc>
        <w:tc>
          <w:tcPr>
            <w:tcW w:w="1575" w:type="dxa"/>
            <w:shd w:val="clear" w:color="auto" w:fill="auto"/>
          </w:tcPr>
          <w:p w14:paraId="0540A0EC" w14:textId="77777777" w:rsidR="00E749AF" w:rsidRPr="00E749AF" w:rsidRDefault="00E749AF" w:rsidP="00E749AF">
            <w:pPr>
              <w:spacing w:line="240" w:lineRule="auto"/>
              <w:rPr>
                <w:rFonts w:eastAsia="Times New Roman"/>
                <w:sz w:val="20"/>
                <w:szCs w:val="20"/>
                <w:lang w:val="es-ES_tradnl" w:eastAsia="es-CR"/>
              </w:rPr>
            </w:pPr>
          </w:p>
        </w:tc>
      </w:tr>
      <w:tr w:rsidR="00E749AF" w:rsidRPr="00E749AF" w14:paraId="1CEA9513" w14:textId="77777777" w:rsidTr="004A7DF1">
        <w:trPr>
          <w:trHeight w:val="50"/>
          <w:jc w:val="center"/>
        </w:trPr>
        <w:tc>
          <w:tcPr>
            <w:tcW w:w="14999" w:type="dxa"/>
            <w:gridSpan w:val="10"/>
            <w:shd w:val="clear" w:color="auto" w:fill="0F4761" w:themeFill="accent1" w:themeFillShade="BF"/>
          </w:tcPr>
          <w:p w14:paraId="284C9486" w14:textId="77777777" w:rsidR="00E749AF" w:rsidRPr="00E749AF" w:rsidRDefault="00E749AF" w:rsidP="00E749AF">
            <w:pPr>
              <w:spacing w:line="240" w:lineRule="auto"/>
              <w:jc w:val="center"/>
              <w:rPr>
                <w:rFonts w:eastAsia="Times New Roman"/>
                <w:b/>
                <w:bCs/>
                <w:color w:val="FFFFFF" w:themeColor="background1"/>
                <w:sz w:val="20"/>
                <w:szCs w:val="20"/>
                <w:lang w:val="es-ES_tradnl" w:eastAsia="es-CR"/>
              </w:rPr>
            </w:pPr>
            <w:r w:rsidRPr="00E749AF">
              <w:rPr>
                <w:rFonts w:eastAsia="Times New Roman"/>
                <w:b/>
                <w:bCs/>
                <w:color w:val="FFFFFF" w:themeColor="background1"/>
                <w:sz w:val="20"/>
                <w:szCs w:val="20"/>
                <w:lang w:val="es-ES_tradnl" w:eastAsia="es-CR"/>
              </w:rPr>
              <w:t>Última línea</w:t>
            </w:r>
          </w:p>
        </w:tc>
      </w:tr>
    </w:tbl>
    <w:p w14:paraId="6E65C850" w14:textId="77777777" w:rsidR="00E21C05" w:rsidRPr="004D61A4" w:rsidRDefault="00E21C05" w:rsidP="00E21C05">
      <w:pPr>
        <w:rPr>
          <w:sz w:val="20"/>
          <w:szCs w:val="20"/>
          <w:lang w:val="es-ES_tradnl"/>
        </w:rPr>
      </w:pPr>
    </w:p>
    <w:sectPr w:rsidR="00E21C05" w:rsidRPr="004D61A4" w:rsidSect="00E21C05">
      <w:headerReference w:type="default" r:id="rId6"/>
      <w:footerReference w:type="default" r:id="rId7"/>
      <w:pgSz w:w="15840" w:h="12240" w:orient="landscape"/>
      <w:pgMar w:top="1440" w:right="1276" w:bottom="1440" w:left="1701" w:header="703" w:footer="956"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D21729F" w14:textId="77777777" w:rsidR="00B904AF" w:rsidRDefault="00B904AF" w:rsidP="00B904AF">
      <w:pPr>
        <w:spacing w:line="240" w:lineRule="auto"/>
      </w:pPr>
      <w:r>
        <w:separator/>
      </w:r>
    </w:p>
  </w:endnote>
  <w:endnote w:type="continuationSeparator" w:id="0">
    <w:p w14:paraId="4C90247F" w14:textId="77777777" w:rsidR="00B904AF" w:rsidRDefault="00B904AF" w:rsidP="00B904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altName w:val="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3C7753" w14:textId="77777777" w:rsidR="00E749AF" w:rsidRDefault="00E749AF" w:rsidP="004D61A4">
    <w:pPr>
      <w:spacing w:line="240" w:lineRule="auto"/>
      <w:ind w:right="-40"/>
      <w:jc w:val="center"/>
      <w:rPr>
        <w:b/>
        <w:color w:val="004691"/>
        <w:sz w:val="18"/>
        <w:szCs w:val="18"/>
      </w:rPr>
    </w:pPr>
  </w:p>
  <w:p w14:paraId="24BA87FE" w14:textId="77777777" w:rsidR="00E749AF" w:rsidRPr="00976BED" w:rsidRDefault="00E749AF" w:rsidP="004D61A4">
    <w:pPr>
      <w:spacing w:line="240" w:lineRule="auto"/>
      <w:jc w:val="center"/>
      <w:rPr>
        <w:rFonts w:eastAsia="Calibri"/>
        <w:b/>
        <w:color w:val="0E2841" w:themeColor="text2"/>
        <w:sz w:val="15"/>
        <w:szCs w:val="15"/>
      </w:rPr>
    </w:pPr>
    <w:r>
      <w:rPr>
        <w:rFonts w:eastAsia="Calibri"/>
        <w:b/>
        <w:color w:val="0E2841" w:themeColor="text2"/>
        <w:sz w:val="15"/>
        <w:szCs w:val="15"/>
      </w:rPr>
      <w:t xml:space="preserve">Unidad de Relaciones Internacionales </w:t>
    </w:r>
  </w:p>
  <w:p w14:paraId="22FFD0C6" w14:textId="77777777" w:rsidR="00E749AF" w:rsidRPr="00976BED" w:rsidRDefault="00877C79" w:rsidP="004D61A4">
    <w:pPr>
      <w:spacing w:line="240" w:lineRule="auto"/>
      <w:jc w:val="center"/>
      <w:rPr>
        <w:rFonts w:eastAsia="Calibri"/>
        <w:color w:val="0E2841" w:themeColor="text2"/>
        <w:sz w:val="15"/>
        <w:szCs w:val="15"/>
      </w:rPr>
    </w:pPr>
    <w:hyperlink r:id="rId1" w:history="1">
      <w:r w:rsidR="00E749AF" w:rsidRPr="00A83DCD">
        <w:rPr>
          <w:rStyle w:val="Hipervnculo"/>
          <w:rFonts w:eastAsia="Calibri"/>
          <w:sz w:val="15"/>
          <w:szCs w:val="15"/>
        </w:rPr>
        <w:t>internacionales@misalud.go.cr</w:t>
      </w:r>
    </w:hyperlink>
  </w:p>
  <w:p w14:paraId="4AF909EE" w14:textId="77777777" w:rsidR="00E749AF" w:rsidRDefault="00E749AF" w:rsidP="004D61A4">
    <w:pPr>
      <w:spacing w:line="240" w:lineRule="auto"/>
      <w:jc w:val="center"/>
      <w:rPr>
        <w:rFonts w:eastAsia="Calibri"/>
        <w:color w:val="0E2841" w:themeColor="text2"/>
        <w:sz w:val="15"/>
        <w:szCs w:val="15"/>
      </w:rPr>
    </w:pPr>
    <w:r w:rsidRPr="00976BED">
      <w:rPr>
        <w:rFonts w:eastAsia="Calibri"/>
        <w:color w:val="0E2841" w:themeColor="text2"/>
        <w:sz w:val="15"/>
        <w:szCs w:val="15"/>
      </w:rPr>
      <w:t xml:space="preserve">Tel. </w:t>
    </w:r>
    <w:r>
      <w:rPr>
        <w:rFonts w:eastAsia="Calibri"/>
        <w:color w:val="0E2841" w:themeColor="text2"/>
        <w:sz w:val="15"/>
        <w:szCs w:val="15"/>
      </w:rPr>
      <w:t>4003-5182</w:t>
    </w:r>
  </w:p>
  <w:p w14:paraId="4EFECCAC" w14:textId="77777777" w:rsidR="00E749AF" w:rsidRDefault="00E749AF" w:rsidP="004D61A4">
    <w:pPr>
      <w:spacing w:line="240" w:lineRule="auto"/>
      <w:jc w:val="center"/>
      <w:rPr>
        <w:rFonts w:eastAsia="Calibri"/>
        <w:color w:val="0E2841" w:themeColor="text2"/>
        <w:sz w:val="15"/>
        <w:szCs w:val="15"/>
      </w:rPr>
    </w:pPr>
    <w:r>
      <w:rPr>
        <w:noProof/>
      </w:rPr>
      <w:drawing>
        <wp:anchor distT="0" distB="0" distL="114300" distR="114300" simplePos="0" relativeHeight="251661312" behindDoc="0" locked="0" layoutInCell="1" allowOverlap="1" wp14:anchorId="53BA7D2A" wp14:editId="3460A015">
          <wp:simplePos x="0" y="0"/>
          <wp:positionH relativeFrom="page">
            <wp:align>left</wp:align>
          </wp:positionH>
          <wp:positionV relativeFrom="paragraph">
            <wp:posOffset>229870</wp:posOffset>
          </wp:positionV>
          <wp:extent cx="10052685" cy="545465"/>
          <wp:effectExtent l="0" t="0" r="5715" b="6985"/>
          <wp:wrapSquare wrapText="bothSides"/>
          <wp:docPr id="10342579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10052685" cy="54546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0" locked="0" layoutInCell="1" allowOverlap="1" wp14:anchorId="79EA07B6" wp14:editId="2236D944">
          <wp:simplePos x="0" y="0"/>
          <wp:positionH relativeFrom="page">
            <wp:align>right</wp:align>
          </wp:positionH>
          <wp:positionV relativeFrom="paragraph">
            <wp:posOffset>1120140</wp:posOffset>
          </wp:positionV>
          <wp:extent cx="7766685" cy="545465"/>
          <wp:effectExtent l="0" t="0" r="5715" b="6985"/>
          <wp:wrapNone/>
          <wp:docPr id="936501021" name="Imagen 93650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9067003" name="Picture 959067003"/>
                  <pic:cNvPicPr/>
                </pic:nvPicPr>
                <pic:blipFill>
                  <a:blip r:embed="rId2">
                    <a:extLst>
                      <a:ext uri="{28A0092B-C50C-407E-A947-70E740481C1C}">
                        <a14:useLocalDpi xmlns:a14="http://schemas.microsoft.com/office/drawing/2010/main" val="0"/>
                      </a:ext>
                    </a:extLst>
                  </a:blip>
                  <a:stretch>
                    <a:fillRect/>
                  </a:stretch>
                </pic:blipFill>
                <pic:spPr>
                  <a:xfrm>
                    <a:off x="0" y="0"/>
                    <a:ext cx="7766685" cy="545465"/>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DE11DB" w14:textId="77777777" w:rsidR="00B904AF" w:rsidRDefault="00B904AF" w:rsidP="00B904AF">
      <w:pPr>
        <w:spacing w:line="240" w:lineRule="auto"/>
      </w:pPr>
      <w:r>
        <w:separator/>
      </w:r>
    </w:p>
  </w:footnote>
  <w:footnote w:type="continuationSeparator" w:id="0">
    <w:p w14:paraId="7BEA6728" w14:textId="77777777" w:rsidR="00B904AF" w:rsidRDefault="00B904AF" w:rsidP="00B904A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C2956B" w14:textId="77777777" w:rsidR="00E749AF" w:rsidRPr="00C617CA" w:rsidRDefault="00E749AF" w:rsidP="00A343F7">
    <w:pPr>
      <w:pStyle w:val="Encabezado"/>
      <w:rPr>
        <w:sz w:val="2"/>
        <w:szCs w:val="2"/>
      </w:rPr>
    </w:pPr>
    <w:r>
      <w:rPr>
        <w:noProof/>
      </w:rPr>
      <w:drawing>
        <wp:anchor distT="0" distB="0" distL="114300" distR="114300" simplePos="0" relativeHeight="251659264" behindDoc="0" locked="0" layoutInCell="1" allowOverlap="1" wp14:anchorId="0A52106A" wp14:editId="094C6B3B">
          <wp:simplePos x="0" y="0"/>
          <wp:positionH relativeFrom="page">
            <wp:align>left</wp:align>
          </wp:positionH>
          <wp:positionV relativeFrom="paragraph">
            <wp:posOffset>-436880</wp:posOffset>
          </wp:positionV>
          <wp:extent cx="10052685" cy="1269365"/>
          <wp:effectExtent l="0" t="0" r="5715" b="6985"/>
          <wp:wrapSquare wrapText="bothSides"/>
          <wp:docPr id="1259221905" name="Imagen 1259221905" descr="A white background with blu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621113" name="Picture 1" descr="A white background with blue text&#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0052685" cy="126936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oNotDisplayPageBoundarie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C05"/>
    <w:rsid w:val="001351F6"/>
    <w:rsid w:val="0065321F"/>
    <w:rsid w:val="00877C79"/>
    <w:rsid w:val="00A36385"/>
    <w:rsid w:val="00A9784E"/>
    <w:rsid w:val="00B904AF"/>
    <w:rsid w:val="00CA04BC"/>
    <w:rsid w:val="00E21C05"/>
    <w:rsid w:val="00E749AF"/>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6C2804"/>
  <w15:chartTrackingRefBased/>
  <w15:docId w15:val="{80794B89-8B47-46D8-BE48-5E2B09D78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1C05"/>
    <w:pPr>
      <w:spacing w:after="0" w:line="276" w:lineRule="auto"/>
    </w:pPr>
    <w:rPr>
      <w:rFonts w:ascii="Arial" w:eastAsia="Arial" w:hAnsi="Arial" w:cs="Arial"/>
      <w:kern w:val="0"/>
      <w:lang w:val="es-419" w:eastAsia="es-ES"/>
      <w14:ligatures w14:val="none"/>
    </w:rPr>
  </w:style>
  <w:style w:type="paragraph" w:styleId="Ttulo1">
    <w:name w:val="heading 1"/>
    <w:basedOn w:val="Normal"/>
    <w:next w:val="Normal"/>
    <w:link w:val="Ttulo1Car"/>
    <w:uiPriority w:val="9"/>
    <w:qFormat/>
    <w:rsid w:val="00E21C05"/>
    <w:pPr>
      <w:keepNext/>
      <w:keepLines/>
      <w:spacing w:before="360" w:after="80" w:line="259" w:lineRule="auto"/>
      <w:outlineLvl w:val="0"/>
    </w:pPr>
    <w:rPr>
      <w:rFonts w:asciiTheme="majorHAnsi" w:eastAsiaTheme="majorEastAsia" w:hAnsiTheme="majorHAnsi" w:cstheme="majorBidi"/>
      <w:color w:val="0F4761" w:themeColor="accent1" w:themeShade="BF"/>
      <w:kern w:val="2"/>
      <w:sz w:val="40"/>
      <w:szCs w:val="40"/>
      <w:lang w:val="es-CR" w:eastAsia="en-US"/>
      <w14:ligatures w14:val="standardContextual"/>
    </w:rPr>
  </w:style>
  <w:style w:type="paragraph" w:styleId="Ttulo2">
    <w:name w:val="heading 2"/>
    <w:basedOn w:val="Normal"/>
    <w:next w:val="Normal"/>
    <w:link w:val="Ttulo2Car"/>
    <w:uiPriority w:val="9"/>
    <w:semiHidden/>
    <w:unhideWhenUsed/>
    <w:qFormat/>
    <w:rsid w:val="00E21C05"/>
    <w:pPr>
      <w:keepNext/>
      <w:keepLines/>
      <w:spacing w:before="160" w:after="80" w:line="259" w:lineRule="auto"/>
      <w:outlineLvl w:val="1"/>
    </w:pPr>
    <w:rPr>
      <w:rFonts w:asciiTheme="majorHAnsi" w:eastAsiaTheme="majorEastAsia" w:hAnsiTheme="majorHAnsi" w:cstheme="majorBidi"/>
      <w:color w:val="0F4761" w:themeColor="accent1" w:themeShade="BF"/>
      <w:kern w:val="2"/>
      <w:sz w:val="32"/>
      <w:szCs w:val="32"/>
      <w:lang w:val="es-CR" w:eastAsia="en-US"/>
      <w14:ligatures w14:val="standardContextual"/>
    </w:rPr>
  </w:style>
  <w:style w:type="paragraph" w:styleId="Ttulo3">
    <w:name w:val="heading 3"/>
    <w:basedOn w:val="Normal"/>
    <w:next w:val="Normal"/>
    <w:link w:val="Ttulo3Car"/>
    <w:uiPriority w:val="9"/>
    <w:semiHidden/>
    <w:unhideWhenUsed/>
    <w:qFormat/>
    <w:rsid w:val="00E21C05"/>
    <w:pPr>
      <w:keepNext/>
      <w:keepLines/>
      <w:spacing w:before="160" w:after="80" w:line="259" w:lineRule="auto"/>
      <w:outlineLvl w:val="2"/>
    </w:pPr>
    <w:rPr>
      <w:rFonts w:asciiTheme="minorHAnsi" w:eastAsiaTheme="majorEastAsia" w:hAnsiTheme="minorHAnsi" w:cstheme="majorBidi"/>
      <w:color w:val="0F4761" w:themeColor="accent1" w:themeShade="BF"/>
      <w:kern w:val="2"/>
      <w:sz w:val="28"/>
      <w:szCs w:val="28"/>
      <w:lang w:val="es-CR" w:eastAsia="en-US"/>
      <w14:ligatures w14:val="standardContextual"/>
    </w:rPr>
  </w:style>
  <w:style w:type="paragraph" w:styleId="Ttulo4">
    <w:name w:val="heading 4"/>
    <w:basedOn w:val="Normal"/>
    <w:next w:val="Normal"/>
    <w:link w:val="Ttulo4Car"/>
    <w:uiPriority w:val="9"/>
    <w:semiHidden/>
    <w:unhideWhenUsed/>
    <w:qFormat/>
    <w:rsid w:val="00E21C05"/>
    <w:pPr>
      <w:keepNext/>
      <w:keepLines/>
      <w:spacing w:before="80" w:after="40" w:line="259" w:lineRule="auto"/>
      <w:outlineLvl w:val="3"/>
    </w:pPr>
    <w:rPr>
      <w:rFonts w:asciiTheme="minorHAnsi" w:eastAsiaTheme="majorEastAsia" w:hAnsiTheme="minorHAnsi" w:cstheme="majorBidi"/>
      <w:i/>
      <w:iCs/>
      <w:color w:val="0F4761" w:themeColor="accent1" w:themeShade="BF"/>
      <w:kern w:val="2"/>
      <w:lang w:val="es-CR" w:eastAsia="en-US"/>
      <w14:ligatures w14:val="standardContextual"/>
    </w:rPr>
  </w:style>
  <w:style w:type="paragraph" w:styleId="Ttulo5">
    <w:name w:val="heading 5"/>
    <w:basedOn w:val="Normal"/>
    <w:next w:val="Normal"/>
    <w:link w:val="Ttulo5Car"/>
    <w:uiPriority w:val="9"/>
    <w:semiHidden/>
    <w:unhideWhenUsed/>
    <w:qFormat/>
    <w:rsid w:val="00E21C05"/>
    <w:pPr>
      <w:keepNext/>
      <w:keepLines/>
      <w:spacing w:before="80" w:after="40" w:line="259" w:lineRule="auto"/>
      <w:outlineLvl w:val="4"/>
    </w:pPr>
    <w:rPr>
      <w:rFonts w:asciiTheme="minorHAnsi" w:eastAsiaTheme="majorEastAsia" w:hAnsiTheme="minorHAnsi" w:cstheme="majorBidi"/>
      <w:color w:val="0F4761" w:themeColor="accent1" w:themeShade="BF"/>
      <w:kern w:val="2"/>
      <w:lang w:val="es-CR" w:eastAsia="en-US"/>
      <w14:ligatures w14:val="standardContextual"/>
    </w:rPr>
  </w:style>
  <w:style w:type="paragraph" w:styleId="Ttulo6">
    <w:name w:val="heading 6"/>
    <w:basedOn w:val="Normal"/>
    <w:next w:val="Normal"/>
    <w:link w:val="Ttulo6Car"/>
    <w:uiPriority w:val="9"/>
    <w:semiHidden/>
    <w:unhideWhenUsed/>
    <w:qFormat/>
    <w:rsid w:val="00E21C05"/>
    <w:pPr>
      <w:keepNext/>
      <w:keepLines/>
      <w:spacing w:before="40" w:line="259" w:lineRule="auto"/>
      <w:outlineLvl w:val="5"/>
    </w:pPr>
    <w:rPr>
      <w:rFonts w:asciiTheme="minorHAnsi" w:eastAsiaTheme="majorEastAsia" w:hAnsiTheme="minorHAnsi" w:cstheme="majorBidi"/>
      <w:i/>
      <w:iCs/>
      <w:color w:val="595959" w:themeColor="text1" w:themeTint="A6"/>
      <w:kern w:val="2"/>
      <w:lang w:val="es-CR" w:eastAsia="en-US"/>
      <w14:ligatures w14:val="standardContextual"/>
    </w:rPr>
  </w:style>
  <w:style w:type="paragraph" w:styleId="Ttulo7">
    <w:name w:val="heading 7"/>
    <w:basedOn w:val="Normal"/>
    <w:next w:val="Normal"/>
    <w:link w:val="Ttulo7Car"/>
    <w:uiPriority w:val="9"/>
    <w:semiHidden/>
    <w:unhideWhenUsed/>
    <w:qFormat/>
    <w:rsid w:val="00E21C05"/>
    <w:pPr>
      <w:keepNext/>
      <w:keepLines/>
      <w:spacing w:before="40" w:line="259" w:lineRule="auto"/>
      <w:outlineLvl w:val="6"/>
    </w:pPr>
    <w:rPr>
      <w:rFonts w:asciiTheme="minorHAnsi" w:eastAsiaTheme="majorEastAsia" w:hAnsiTheme="minorHAnsi" w:cstheme="majorBidi"/>
      <w:color w:val="595959" w:themeColor="text1" w:themeTint="A6"/>
      <w:kern w:val="2"/>
      <w:lang w:val="es-CR" w:eastAsia="en-US"/>
      <w14:ligatures w14:val="standardContextual"/>
    </w:rPr>
  </w:style>
  <w:style w:type="paragraph" w:styleId="Ttulo8">
    <w:name w:val="heading 8"/>
    <w:basedOn w:val="Normal"/>
    <w:next w:val="Normal"/>
    <w:link w:val="Ttulo8Car"/>
    <w:uiPriority w:val="9"/>
    <w:semiHidden/>
    <w:unhideWhenUsed/>
    <w:qFormat/>
    <w:rsid w:val="00E21C05"/>
    <w:pPr>
      <w:keepNext/>
      <w:keepLines/>
      <w:spacing w:line="259" w:lineRule="auto"/>
      <w:outlineLvl w:val="7"/>
    </w:pPr>
    <w:rPr>
      <w:rFonts w:asciiTheme="minorHAnsi" w:eastAsiaTheme="majorEastAsia" w:hAnsiTheme="minorHAnsi" w:cstheme="majorBidi"/>
      <w:i/>
      <w:iCs/>
      <w:color w:val="272727" w:themeColor="text1" w:themeTint="D8"/>
      <w:kern w:val="2"/>
      <w:lang w:val="es-CR" w:eastAsia="en-US"/>
      <w14:ligatures w14:val="standardContextual"/>
    </w:rPr>
  </w:style>
  <w:style w:type="paragraph" w:styleId="Ttulo9">
    <w:name w:val="heading 9"/>
    <w:basedOn w:val="Normal"/>
    <w:next w:val="Normal"/>
    <w:link w:val="Ttulo9Car"/>
    <w:uiPriority w:val="9"/>
    <w:semiHidden/>
    <w:unhideWhenUsed/>
    <w:qFormat/>
    <w:rsid w:val="00E21C05"/>
    <w:pPr>
      <w:keepNext/>
      <w:keepLines/>
      <w:spacing w:line="259" w:lineRule="auto"/>
      <w:outlineLvl w:val="8"/>
    </w:pPr>
    <w:rPr>
      <w:rFonts w:asciiTheme="minorHAnsi" w:eastAsiaTheme="majorEastAsia" w:hAnsiTheme="minorHAnsi" w:cstheme="majorBidi"/>
      <w:color w:val="272727" w:themeColor="text1" w:themeTint="D8"/>
      <w:kern w:val="2"/>
      <w:lang w:val="es-CR" w:eastAsia="en-US"/>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21C05"/>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E21C05"/>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E21C05"/>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E21C05"/>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E21C05"/>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E21C05"/>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E21C05"/>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E21C05"/>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E21C05"/>
    <w:rPr>
      <w:rFonts w:eastAsiaTheme="majorEastAsia" w:cstheme="majorBidi"/>
      <w:color w:val="272727" w:themeColor="text1" w:themeTint="D8"/>
    </w:rPr>
  </w:style>
  <w:style w:type="paragraph" w:styleId="Ttulo">
    <w:name w:val="Title"/>
    <w:basedOn w:val="Normal"/>
    <w:next w:val="Normal"/>
    <w:link w:val="TtuloCar"/>
    <w:uiPriority w:val="10"/>
    <w:qFormat/>
    <w:rsid w:val="00E21C05"/>
    <w:pPr>
      <w:spacing w:after="80" w:line="240" w:lineRule="auto"/>
      <w:contextualSpacing/>
    </w:pPr>
    <w:rPr>
      <w:rFonts w:asciiTheme="majorHAnsi" w:eastAsiaTheme="majorEastAsia" w:hAnsiTheme="majorHAnsi" w:cstheme="majorBidi"/>
      <w:spacing w:val="-10"/>
      <w:kern w:val="28"/>
      <w:sz w:val="56"/>
      <w:szCs w:val="56"/>
      <w:lang w:val="es-CR" w:eastAsia="en-US"/>
      <w14:ligatures w14:val="standardContextual"/>
    </w:rPr>
  </w:style>
  <w:style w:type="character" w:customStyle="1" w:styleId="TtuloCar">
    <w:name w:val="Título Car"/>
    <w:basedOn w:val="Fuentedeprrafopredeter"/>
    <w:link w:val="Ttulo"/>
    <w:uiPriority w:val="10"/>
    <w:rsid w:val="00E21C0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E21C05"/>
    <w:pPr>
      <w:numPr>
        <w:ilvl w:val="1"/>
      </w:numPr>
      <w:spacing w:after="160" w:line="259" w:lineRule="auto"/>
    </w:pPr>
    <w:rPr>
      <w:rFonts w:asciiTheme="minorHAnsi" w:eastAsiaTheme="majorEastAsia" w:hAnsiTheme="minorHAnsi" w:cstheme="majorBidi"/>
      <w:color w:val="595959" w:themeColor="text1" w:themeTint="A6"/>
      <w:spacing w:val="15"/>
      <w:kern w:val="2"/>
      <w:sz w:val="28"/>
      <w:szCs w:val="28"/>
      <w:lang w:val="es-CR" w:eastAsia="en-US"/>
      <w14:ligatures w14:val="standardContextual"/>
    </w:rPr>
  </w:style>
  <w:style w:type="character" w:customStyle="1" w:styleId="SubttuloCar">
    <w:name w:val="Subtítulo Car"/>
    <w:basedOn w:val="Fuentedeprrafopredeter"/>
    <w:link w:val="Subttulo"/>
    <w:uiPriority w:val="11"/>
    <w:rsid w:val="00E21C05"/>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E21C05"/>
    <w:pPr>
      <w:spacing w:before="160" w:after="160" w:line="259" w:lineRule="auto"/>
      <w:jc w:val="center"/>
    </w:pPr>
    <w:rPr>
      <w:rFonts w:asciiTheme="minorHAnsi" w:eastAsiaTheme="minorHAnsi" w:hAnsiTheme="minorHAnsi" w:cstheme="minorBidi"/>
      <w:i/>
      <w:iCs/>
      <w:color w:val="404040" w:themeColor="text1" w:themeTint="BF"/>
      <w:kern w:val="2"/>
      <w:lang w:val="es-CR" w:eastAsia="en-US"/>
      <w14:ligatures w14:val="standardContextual"/>
    </w:rPr>
  </w:style>
  <w:style w:type="character" w:customStyle="1" w:styleId="CitaCar">
    <w:name w:val="Cita Car"/>
    <w:basedOn w:val="Fuentedeprrafopredeter"/>
    <w:link w:val="Cita"/>
    <w:uiPriority w:val="29"/>
    <w:rsid w:val="00E21C05"/>
    <w:rPr>
      <w:i/>
      <w:iCs/>
      <w:color w:val="404040" w:themeColor="text1" w:themeTint="BF"/>
    </w:rPr>
  </w:style>
  <w:style w:type="paragraph" w:styleId="Prrafodelista">
    <w:name w:val="List Paragraph"/>
    <w:basedOn w:val="Normal"/>
    <w:uiPriority w:val="34"/>
    <w:qFormat/>
    <w:rsid w:val="00E21C05"/>
    <w:pPr>
      <w:spacing w:after="160" w:line="259" w:lineRule="auto"/>
      <w:ind w:left="720"/>
      <w:contextualSpacing/>
    </w:pPr>
    <w:rPr>
      <w:rFonts w:asciiTheme="minorHAnsi" w:eastAsiaTheme="minorHAnsi" w:hAnsiTheme="minorHAnsi" w:cstheme="minorBidi"/>
      <w:kern w:val="2"/>
      <w:lang w:val="es-CR" w:eastAsia="en-US"/>
      <w14:ligatures w14:val="standardContextual"/>
    </w:rPr>
  </w:style>
  <w:style w:type="character" w:styleId="nfasisintenso">
    <w:name w:val="Intense Emphasis"/>
    <w:basedOn w:val="Fuentedeprrafopredeter"/>
    <w:uiPriority w:val="21"/>
    <w:qFormat/>
    <w:rsid w:val="00E21C05"/>
    <w:rPr>
      <w:i/>
      <w:iCs/>
      <w:color w:val="0F4761" w:themeColor="accent1" w:themeShade="BF"/>
    </w:rPr>
  </w:style>
  <w:style w:type="paragraph" w:styleId="Citadestacada">
    <w:name w:val="Intense Quote"/>
    <w:basedOn w:val="Normal"/>
    <w:next w:val="Normal"/>
    <w:link w:val="CitadestacadaCar"/>
    <w:uiPriority w:val="30"/>
    <w:qFormat/>
    <w:rsid w:val="00E21C05"/>
    <w:pPr>
      <w:pBdr>
        <w:top w:val="single" w:sz="4" w:space="10" w:color="0F4761" w:themeColor="accent1" w:themeShade="BF"/>
        <w:bottom w:val="single" w:sz="4" w:space="10" w:color="0F4761" w:themeColor="accent1" w:themeShade="BF"/>
      </w:pBdr>
      <w:spacing w:before="360" w:after="360" w:line="259" w:lineRule="auto"/>
      <w:ind w:left="864" w:right="864"/>
      <w:jc w:val="center"/>
    </w:pPr>
    <w:rPr>
      <w:rFonts w:asciiTheme="minorHAnsi" w:eastAsiaTheme="minorHAnsi" w:hAnsiTheme="minorHAnsi" w:cstheme="minorBidi"/>
      <w:i/>
      <w:iCs/>
      <w:color w:val="0F4761" w:themeColor="accent1" w:themeShade="BF"/>
      <w:kern w:val="2"/>
      <w:lang w:val="es-CR" w:eastAsia="en-US"/>
      <w14:ligatures w14:val="standardContextual"/>
    </w:rPr>
  </w:style>
  <w:style w:type="character" w:customStyle="1" w:styleId="CitadestacadaCar">
    <w:name w:val="Cita destacada Car"/>
    <w:basedOn w:val="Fuentedeprrafopredeter"/>
    <w:link w:val="Citadestacada"/>
    <w:uiPriority w:val="30"/>
    <w:rsid w:val="00E21C05"/>
    <w:rPr>
      <w:i/>
      <w:iCs/>
      <w:color w:val="0F4761" w:themeColor="accent1" w:themeShade="BF"/>
    </w:rPr>
  </w:style>
  <w:style w:type="character" w:styleId="Referenciaintensa">
    <w:name w:val="Intense Reference"/>
    <w:basedOn w:val="Fuentedeprrafopredeter"/>
    <w:uiPriority w:val="32"/>
    <w:qFormat/>
    <w:rsid w:val="00E21C05"/>
    <w:rPr>
      <w:b/>
      <w:bCs/>
      <w:smallCaps/>
      <w:color w:val="0F4761" w:themeColor="accent1" w:themeShade="BF"/>
      <w:spacing w:val="5"/>
    </w:rPr>
  </w:style>
  <w:style w:type="paragraph" w:styleId="Encabezado">
    <w:name w:val="header"/>
    <w:basedOn w:val="Normal"/>
    <w:link w:val="EncabezadoCar"/>
    <w:uiPriority w:val="99"/>
    <w:unhideWhenUsed/>
    <w:rsid w:val="00E21C05"/>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E21C05"/>
    <w:rPr>
      <w:rFonts w:ascii="Arial" w:eastAsia="Arial" w:hAnsi="Arial" w:cs="Arial"/>
      <w:kern w:val="0"/>
      <w:lang w:val="es-419" w:eastAsia="es-ES"/>
      <w14:ligatures w14:val="none"/>
    </w:rPr>
  </w:style>
  <w:style w:type="character" w:styleId="Hipervnculo">
    <w:name w:val="Hyperlink"/>
    <w:basedOn w:val="Fuentedeprrafopredeter"/>
    <w:uiPriority w:val="99"/>
    <w:unhideWhenUsed/>
    <w:rsid w:val="00E21C05"/>
    <w:rPr>
      <w:color w:val="467886" w:themeColor="hyperlink"/>
      <w:u w:val="single"/>
    </w:rPr>
  </w:style>
  <w:style w:type="paragraph" w:styleId="Piedepgina">
    <w:name w:val="footer"/>
    <w:basedOn w:val="Normal"/>
    <w:link w:val="PiedepginaCar"/>
    <w:uiPriority w:val="99"/>
    <w:unhideWhenUsed/>
    <w:rsid w:val="00B904AF"/>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B904AF"/>
    <w:rPr>
      <w:rFonts w:ascii="Arial" w:eastAsia="Arial" w:hAnsi="Arial" w:cs="Arial"/>
      <w:kern w:val="0"/>
      <w:lang w:val="es-419" w:eastAsia="es-E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85606649">
      <w:bodyDiv w:val="1"/>
      <w:marLeft w:val="0"/>
      <w:marRight w:val="0"/>
      <w:marTop w:val="0"/>
      <w:marBottom w:val="0"/>
      <w:divBdr>
        <w:top w:val="none" w:sz="0" w:space="0" w:color="auto"/>
        <w:left w:val="none" w:sz="0" w:space="0" w:color="auto"/>
        <w:bottom w:val="none" w:sz="0" w:space="0" w:color="auto"/>
        <w:right w:val="none" w:sz="0" w:space="0" w:color="auto"/>
      </w:divBdr>
    </w:div>
    <w:div w:id="1147674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hyperlink" Target="mailto:internacionales@misalud.go.c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13</Pages>
  <Words>1547</Words>
  <Characters>8511</Characters>
  <Application>Microsoft Office Word</Application>
  <DocSecurity>0</DocSecurity>
  <Lines>70</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Adriana Salazar González</dc:creator>
  <cp:keywords/>
  <dc:description/>
  <cp:lastModifiedBy>Adriana Salazar González</cp:lastModifiedBy>
  <cp:revision>2</cp:revision>
  <dcterms:created xsi:type="dcterms:W3CDTF">2024-08-13T14:20:00Z</dcterms:created>
  <dcterms:modified xsi:type="dcterms:W3CDTF">2024-08-22T21:21:00Z</dcterms:modified>
</cp:coreProperties>
</file>