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772F78" w14:textId="77777777" w:rsidR="005D3D10" w:rsidRPr="004D61A4" w:rsidRDefault="005D3D10" w:rsidP="005D3D10">
      <w:pPr>
        <w:jc w:val="center"/>
        <w:rPr>
          <w:b/>
          <w:bCs/>
          <w:sz w:val="24"/>
          <w:szCs w:val="24"/>
          <w:lang w:val="es-ES_tradnl"/>
        </w:rPr>
      </w:pPr>
      <w:r w:rsidRPr="004D61A4">
        <w:rPr>
          <w:b/>
          <w:bCs/>
          <w:sz w:val="24"/>
          <w:szCs w:val="24"/>
          <w:lang w:val="es-ES_tradnl"/>
        </w:rPr>
        <w:t>Participación de funcionarios del Ministerio de Salud en actividades fuera del país</w:t>
      </w:r>
    </w:p>
    <w:p w14:paraId="61651131" w14:textId="3AE69E25" w:rsidR="005D3D10" w:rsidRPr="004D61A4" w:rsidRDefault="00AA261C" w:rsidP="005D3D10">
      <w:pPr>
        <w:jc w:val="center"/>
        <w:rPr>
          <w:b/>
          <w:bCs/>
          <w:sz w:val="24"/>
          <w:szCs w:val="24"/>
          <w:lang w:val="es-ES_tradnl"/>
        </w:rPr>
      </w:pPr>
      <w:r>
        <w:rPr>
          <w:b/>
          <w:bCs/>
          <w:sz w:val="24"/>
          <w:szCs w:val="24"/>
          <w:lang w:val="es-ES_tradnl"/>
        </w:rPr>
        <w:t xml:space="preserve">Agosto </w:t>
      </w:r>
      <w:r w:rsidR="005D3D10">
        <w:rPr>
          <w:b/>
          <w:bCs/>
          <w:sz w:val="24"/>
          <w:szCs w:val="24"/>
          <w:lang w:val="es-ES_tradnl"/>
        </w:rPr>
        <w:t>2024</w:t>
      </w:r>
    </w:p>
    <w:p w14:paraId="7D5175B7" w14:textId="77777777" w:rsidR="005D3D10" w:rsidRPr="004D61A4" w:rsidRDefault="005D3D10" w:rsidP="005D3D10">
      <w:pPr>
        <w:jc w:val="center"/>
        <w:rPr>
          <w:b/>
          <w:bCs/>
          <w:sz w:val="20"/>
          <w:szCs w:val="20"/>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9"/>
        <w:gridCol w:w="1454"/>
        <w:gridCol w:w="1072"/>
        <w:gridCol w:w="1230"/>
        <w:gridCol w:w="1190"/>
        <w:gridCol w:w="1815"/>
        <w:gridCol w:w="2134"/>
        <w:gridCol w:w="1672"/>
        <w:gridCol w:w="1488"/>
        <w:gridCol w:w="1575"/>
      </w:tblGrid>
      <w:tr w:rsidR="005D3D10" w:rsidRPr="00D11949" w14:paraId="771FB819" w14:textId="77777777" w:rsidTr="00EC1104">
        <w:trPr>
          <w:trHeight w:val="870"/>
          <w:tblHeader/>
          <w:jc w:val="center"/>
        </w:trPr>
        <w:tc>
          <w:tcPr>
            <w:tcW w:w="1369" w:type="dxa"/>
            <w:shd w:val="clear" w:color="000000" w:fill="B4C6E7"/>
            <w:vAlign w:val="center"/>
            <w:hideMark/>
          </w:tcPr>
          <w:p w14:paraId="391DE36B"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Nombre del funcionario</w:t>
            </w:r>
          </w:p>
        </w:tc>
        <w:tc>
          <w:tcPr>
            <w:tcW w:w="1454" w:type="dxa"/>
            <w:shd w:val="clear" w:color="000000" w:fill="B4C6E7"/>
            <w:vAlign w:val="center"/>
            <w:hideMark/>
          </w:tcPr>
          <w:p w14:paraId="4AAA561D"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Dirección a la que pertenece </w:t>
            </w:r>
          </w:p>
        </w:tc>
        <w:tc>
          <w:tcPr>
            <w:tcW w:w="1072" w:type="dxa"/>
            <w:shd w:val="clear" w:color="000000" w:fill="B4C6E7"/>
            <w:vAlign w:val="center"/>
            <w:hideMark/>
          </w:tcPr>
          <w:p w14:paraId="03B67300"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Fecha de inicio </w:t>
            </w:r>
          </w:p>
        </w:tc>
        <w:tc>
          <w:tcPr>
            <w:tcW w:w="1230" w:type="dxa"/>
            <w:shd w:val="clear" w:color="000000" w:fill="B4C6E7"/>
            <w:vAlign w:val="center"/>
            <w:hideMark/>
          </w:tcPr>
          <w:p w14:paraId="09668006"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Fecha de finalización</w:t>
            </w:r>
          </w:p>
        </w:tc>
        <w:tc>
          <w:tcPr>
            <w:tcW w:w="1190" w:type="dxa"/>
            <w:shd w:val="clear" w:color="000000" w:fill="B4C6E7"/>
            <w:vAlign w:val="center"/>
            <w:hideMark/>
          </w:tcPr>
          <w:p w14:paraId="3C4A226C"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Lugar </w:t>
            </w:r>
          </w:p>
        </w:tc>
        <w:tc>
          <w:tcPr>
            <w:tcW w:w="1815" w:type="dxa"/>
            <w:shd w:val="clear" w:color="000000" w:fill="B4C6E7"/>
            <w:vAlign w:val="center"/>
            <w:hideMark/>
          </w:tcPr>
          <w:p w14:paraId="03176493"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Actividad</w:t>
            </w:r>
          </w:p>
        </w:tc>
        <w:tc>
          <w:tcPr>
            <w:tcW w:w="2134" w:type="dxa"/>
            <w:shd w:val="clear" w:color="000000" w:fill="B4C6E7"/>
            <w:vAlign w:val="center"/>
            <w:hideMark/>
          </w:tcPr>
          <w:p w14:paraId="337A1EFD"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Compromisos</w:t>
            </w:r>
          </w:p>
        </w:tc>
        <w:tc>
          <w:tcPr>
            <w:tcW w:w="1672" w:type="dxa"/>
            <w:shd w:val="clear" w:color="000000" w:fill="B4C6E7"/>
            <w:vAlign w:val="center"/>
            <w:hideMark/>
          </w:tcPr>
          <w:p w14:paraId="6F03A39B"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Financiado por </w:t>
            </w:r>
          </w:p>
        </w:tc>
        <w:tc>
          <w:tcPr>
            <w:tcW w:w="1488" w:type="dxa"/>
            <w:shd w:val="clear" w:color="000000" w:fill="B4C6E7"/>
            <w:vAlign w:val="center"/>
            <w:hideMark/>
          </w:tcPr>
          <w:p w14:paraId="79A85E07"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Viáticos </w:t>
            </w:r>
          </w:p>
        </w:tc>
        <w:tc>
          <w:tcPr>
            <w:tcW w:w="1575" w:type="dxa"/>
            <w:shd w:val="clear" w:color="000000" w:fill="B4C6E7"/>
            <w:vAlign w:val="center"/>
            <w:hideMark/>
          </w:tcPr>
          <w:p w14:paraId="4B2C21F6" w14:textId="77777777" w:rsidR="005D3D10" w:rsidRPr="00D11949" w:rsidRDefault="005D3D10" w:rsidP="00EC1104">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Observaciones</w:t>
            </w:r>
          </w:p>
        </w:tc>
      </w:tr>
      <w:tr w:rsidR="00AA261C" w:rsidRPr="00D11949" w14:paraId="2C583BDE" w14:textId="77777777" w:rsidTr="00EC1104">
        <w:trPr>
          <w:trHeight w:val="50"/>
          <w:jc w:val="center"/>
        </w:trPr>
        <w:tc>
          <w:tcPr>
            <w:tcW w:w="1369" w:type="dxa"/>
            <w:shd w:val="clear" w:color="auto" w:fill="auto"/>
          </w:tcPr>
          <w:p w14:paraId="16E6A034" w14:textId="2FCC3367"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Olga Segura Cárdenas</w:t>
            </w:r>
          </w:p>
        </w:tc>
        <w:tc>
          <w:tcPr>
            <w:tcW w:w="1454" w:type="dxa"/>
            <w:shd w:val="clear" w:color="auto" w:fill="auto"/>
          </w:tcPr>
          <w:p w14:paraId="289CADF4" w14:textId="47DCC05F"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Protección Radiológica y Salud Ambiental</w:t>
            </w:r>
          </w:p>
        </w:tc>
        <w:tc>
          <w:tcPr>
            <w:tcW w:w="1072" w:type="dxa"/>
            <w:shd w:val="clear" w:color="auto" w:fill="auto"/>
          </w:tcPr>
          <w:p w14:paraId="1DCA32EC" w14:textId="7ACCE11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4-ago-24</w:t>
            </w:r>
          </w:p>
        </w:tc>
        <w:tc>
          <w:tcPr>
            <w:tcW w:w="1230" w:type="dxa"/>
            <w:shd w:val="clear" w:color="auto" w:fill="auto"/>
          </w:tcPr>
          <w:p w14:paraId="711053EF" w14:textId="20E319E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9-ago-24</w:t>
            </w:r>
          </w:p>
        </w:tc>
        <w:tc>
          <w:tcPr>
            <w:tcW w:w="1190" w:type="dxa"/>
            <w:shd w:val="clear" w:color="auto" w:fill="auto"/>
          </w:tcPr>
          <w:p w14:paraId="1A70ED9D" w14:textId="436471FA" w:rsidR="00AA261C" w:rsidRPr="00D11949" w:rsidRDefault="00AA261C" w:rsidP="00AA261C">
            <w:pPr>
              <w:spacing w:line="240" w:lineRule="auto"/>
              <w:rPr>
                <w:rFonts w:eastAsia="Times New Roman"/>
                <w:sz w:val="20"/>
                <w:szCs w:val="20"/>
                <w:lang w:val="es-ES_tradnl" w:eastAsia="es-CR"/>
              </w:rPr>
            </w:pPr>
            <w:proofErr w:type="gramStart"/>
            <w:r w:rsidRPr="00AA261C">
              <w:rPr>
                <w:rFonts w:eastAsia="Times New Roman"/>
                <w:sz w:val="20"/>
                <w:szCs w:val="20"/>
                <w:lang w:val="es-CR" w:eastAsia="es-CR"/>
              </w:rPr>
              <w:t>EE.UU.</w:t>
            </w:r>
            <w:proofErr w:type="gramEnd"/>
          </w:p>
        </w:tc>
        <w:tc>
          <w:tcPr>
            <w:tcW w:w="1815" w:type="dxa"/>
            <w:shd w:val="clear" w:color="auto" w:fill="auto"/>
          </w:tcPr>
          <w:p w14:paraId="79586830" w14:textId="7F756838" w:rsidR="00AA261C" w:rsidRPr="00D11949" w:rsidRDefault="00AA261C" w:rsidP="00AA261C">
            <w:pPr>
              <w:spacing w:line="240" w:lineRule="auto"/>
              <w:rPr>
                <w:rFonts w:eastAsia="Times New Roman"/>
                <w:sz w:val="20"/>
                <w:szCs w:val="20"/>
                <w:lang w:val="es-CR" w:eastAsia="es-CR"/>
              </w:rPr>
            </w:pPr>
            <w:r w:rsidRPr="00AA261C">
              <w:rPr>
                <w:rFonts w:eastAsia="Times New Roman"/>
                <w:sz w:val="20"/>
                <w:szCs w:val="20"/>
                <w:lang w:val="es-CR" w:eastAsia="es-CR"/>
              </w:rPr>
              <w:t>Intercambio Técnico: Gestión de RAEE y Baterías de Litio-Ion Gastadas para Recuperar Minerales Crítico</w:t>
            </w:r>
          </w:p>
        </w:tc>
        <w:tc>
          <w:tcPr>
            <w:tcW w:w="2134" w:type="dxa"/>
            <w:shd w:val="clear" w:color="auto" w:fill="auto"/>
          </w:tcPr>
          <w:p w14:paraId="4FA1F691" w14:textId="562C3BD5" w:rsidR="00AA261C" w:rsidRPr="00D11949" w:rsidRDefault="00AA261C" w:rsidP="00AA261C">
            <w:pPr>
              <w:spacing w:line="240" w:lineRule="auto"/>
              <w:rPr>
                <w:rFonts w:eastAsia="Times New Roman"/>
                <w:i/>
                <w:iCs/>
                <w:sz w:val="20"/>
                <w:szCs w:val="20"/>
                <w:lang w:val="es-ES_tradnl" w:eastAsia="es-CR"/>
              </w:rPr>
            </w:pPr>
            <w:r w:rsidRPr="00AA261C">
              <w:rPr>
                <w:rFonts w:eastAsia="Times New Roman"/>
                <w:sz w:val="20"/>
                <w:szCs w:val="20"/>
                <w:lang w:val="es-CR" w:eastAsia="es-CR"/>
              </w:rPr>
              <w:t xml:space="preserve">Creación de grupos de WhatsApp y por correo electrónico para dar seguimiento a lo realizado durante el intercambio. Reuniones virtuales bimensuales de actualización en los temas de RAEE y baterías de litio. Capacitaciones a través de plataformas virtuales o presencial de temas relacionados con RAEE y baterías de litio. </w:t>
            </w:r>
          </w:p>
        </w:tc>
        <w:tc>
          <w:tcPr>
            <w:tcW w:w="1672" w:type="dxa"/>
            <w:shd w:val="clear" w:color="auto" w:fill="auto"/>
          </w:tcPr>
          <w:p w14:paraId="137CFFB5" w14:textId="7A002E38"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Departamento de Estado de </w:t>
            </w:r>
            <w:proofErr w:type="gramStart"/>
            <w:r w:rsidRPr="00AA261C">
              <w:rPr>
                <w:rFonts w:eastAsia="Times New Roman"/>
                <w:sz w:val="20"/>
                <w:szCs w:val="20"/>
                <w:lang w:val="es-CR" w:eastAsia="es-CR"/>
              </w:rPr>
              <w:t>EE.UU.</w:t>
            </w:r>
            <w:proofErr w:type="gramEnd"/>
          </w:p>
        </w:tc>
        <w:tc>
          <w:tcPr>
            <w:tcW w:w="1488" w:type="dxa"/>
            <w:shd w:val="clear" w:color="auto" w:fill="auto"/>
          </w:tcPr>
          <w:p w14:paraId="3D6A6CDD" w14:textId="73FA245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36DF3746"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1F4912BE" w14:textId="77777777" w:rsidTr="00EC1104">
        <w:trPr>
          <w:trHeight w:val="50"/>
          <w:jc w:val="center"/>
        </w:trPr>
        <w:tc>
          <w:tcPr>
            <w:tcW w:w="1369" w:type="dxa"/>
            <w:shd w:val="clear" w:color="auto" w:fill="auto"/>
          </w:tcPr>
          <w:p w14:paraId="4FFD7968" w14:textId="5E51CDB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Carolina Quesada Rojas</w:t>
            </w:r>
          </w:p>
        </w:tc>
        <w:tc>
          <w:tcPr>
            <w:tcW w:w="1454" w:type="dxa"/>
            <w:shd w:val="clear" w:color="auto" w:fill="auto"/>
          </w:tcPr>
          <w:p w14:paraId="4A2768BE" w14:textId="034EB04B"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64EA1252" w14:textId="7CCDDE8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5-ago-24</w:t>
            </w:r>
          </w:p>
        </w:tc>
        <w:tc>
          <w:tcPr>
            <w:tcW w:w="1230" w:type="dxa"/>
            <w:shd w:val="clear" w:color="auto" w:fill="auto"/>
          </w:tcPr>
          <w:p w14:paraId="02CDB0B4" w14:textId="00DF8EA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9-ago-24</w:t>
            </w:r>
          </w:p>
        </w:tc>
        <w:tc>
          <w:tcPr>
            <w:tcW w:w="1190" w:type="dxa"/>
            <w:shd w:val="clear" w:color="auto" w:fill="auto"/>
          </w:tcPr>
          <w:p w14:paraId="2800A5DC" w14:textId="1B6FAB4E"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Guatemala</w:t>
            </w:r>
          </w:p>
        </w:tc>
        <w:tc>
          <w:tcPr>
            <w:tcW w:w="1815" w:type="dxa"/>
            <w:shd w:val="clear" w:color="auto" w:fill="auto"/>
          </w:tcPr>
          <w:p w14:paraId="3BE7B2CE" w14:textId="260B89A2"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Reunión regional de fortalecimiento de capacidades técnicas en inocuidad de alimentos</w:t>
            </w:r>
          </w:p>
        </w:tc>
        <w:tc>
          <w:tcPr>
            <w:tcW w:w="2134" w:type="dxa"/>
            <w:shd w:val="clear" w:color="auto" w:fill="auto"/>
          </w:tcPr>
          <w:p w14:paraId="42C35710" w14:textId="6C370081" w:rsidR="00AA261C" w:rsidRPr="001454BD"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Dar una charla sobre Análisis epidemiológico por brotes, ETAS. Elaborar un taller de Inspección Basada en Riesgo (IBR) con el experto Fernando San</w:t>
            </w:r>
            <w:r>
              <w:rPr>
                <w:rFonts w:eastAsia="Times New Roman"/>
                <w:sz w:val="20"/>
                <w:szCs w:val="20"/>
                <w:lang w:val="es-CR" w:eastAsia="es-CR"/>
              </w:rPr>
              <w:t xml:space="preserve"> </w:t>
            </w:r>
            <w:r w:rsidRPr="00AA261C">
              <w:rPr>
                <w:rFonts w:eastAsia="Times New Roman"/>
                <w:sz w:val="20"/>
                <w:szCs w:val="20"/>
                <w:lang w:val="es-CR" w:eastAsia="es-CR"/>
              </w:rPr>
              <w:t>Pedro para el personal de la Alimentos de Ministerio de Salud de Costa Rica-</w:t>
            </w:r>
          </w:p>
        </w:tc>
        <w:tc>
          <w:tcPr>
            <w:tcW w:w="1672" w:type="dxa"/>
            <w:shd w:val="clear" w:color="auto" w:fill="auto"/>
          </w:tcPr>
          <w:p w14:paraId="5AEFCC90" w14:textId="1262B26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Instituto Interamericano de Cooperación para la Agricultura (IICA)</w:t>
            </w:r>
          </w:p>
        </w:tc>
        <w:tc>
          <w:tcPr>
            <w:tcW w:w="1488" w:type="dxa"/>
            <w:shd w:val="clear" w:color="auto" w:fill="auto"/>
          </w:tcPr>
          <w:p w14:paraId="3C87A2A7" w14:textId="6F624A54"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3A77C18D"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3A003023" w14:textId="77777777" w:rsidTr="00EC1104">
        <w:trPr>
          <w:trHeight w:val="50"/>
          <w:jc w:val="center"/>
        </w:trPr>
        <w:tc>
          <w:tcPr>
            <w:tcW w:w="1369" w:type="dxa"/>
            <w:shd w:val="clear" w:color="auto" w:fill="auto"/>
          </w:tcPr>
          <w:p w14:paraId="5160D8AA" w14:textId="28CA7037"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Ana Villalobos </w:t>
            </w:r>
            <w:proofErr w:type="spellStart"/>
            <w:r w:rsidRPr="00AA261C">
              <w:rPr>
                <w:rFonts w:eastAsia="Times New Roman"/>
                <w:sz w:val="20"/>
                <w:szCs w:val="20"/>
                <w:lang w:val="es-CR" w:eastAsia="es-CR"/>
              </w:rPr>
              <w:t>Villalobos</w:t>
            </w:r>
            <w:proofErr w:type="spellEnd"/>
            <w:r w:rsidRPr="00AA261C">
              <w:rPr>
                <w:rFonts w:eastAsia="Times New Roman"/>
                <w:sz w:val="20"/>
                <w:szCs w:val="20"/>
                <w:lang w:val="es-CR" w:eastAsia="es-CR"/>
              </w:rPr>
              <w:t xml:space="preserve"> </w:t>
            </w:r>
          </w:p>
        </w:tc>
        <w:tc>
          <w:tcPr>
            <w:tcW w:w="1454" w:type="dxa"/>
            <w:shd w:val="clear" w:color="auto" w:fill="auto"/>
          </w:tcPr>
          <w:p w14:paraId="0B64E334" w14:textId="793FBB3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Protección Radiológica y Salud Ambiental</w:t>
            </w:r>
          </w:p>
        </w:tc>
        <w:tc>
          <w:tcPr>
            <w:tcW w:w="1072" w:type="dxa"/>
            <w:shd w:val="clear" w:color="auto" w:fill="auto"/>
          </w:tcPr>
          <w:p w14:paraId="386CF584" w14:textId="1CFEAAB1"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6-ago-24</w:t>
            </w:r>
          </w:p>
        </w:tc>
        <w:tc>
          <w:tcPr>
            <w:tcW w:w="1230" w:type="dxa"/>
            <w:shd w:val="clear" w:color="auto" w:fill="auto"/>
          </w:tcPr>
          <w:p w14:paraId="4713A890" w14:textId="70E6FD46"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7-ago-24</w:t>
            </w:r>
          </w:p>
        </w:tc>
        <w:tc>
          <w:tcPr>
            <w:tcW w:w="1190" w:type="dxa"/>
            <w:shd w:val="clear" w:color="auto" w:fill="auto"/>
          </w:tcPr>
          <w:p w14:paraId="58366D75" w14:textId="688F506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México</w:t>
            </w:r>
          </w:p>
        </w:tc>
        <w:tc>
          <w:tcPr>
            <w:tcW w:w="1815" w:type="dxa"/>
            <w:shd w:val="clear" w:color="auto" w:fill="auto"/>
          </w:tcPr>
          <w:p w14:paraId="3B1216D8" w14:textId="5D0B6D1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Taller Avance en la seguridad física de las fuentes radiactivas en las Américas: mejores prácticas para la protección de personas, procesos e infraestructura</w:t>
            </w:r>
          </w:p>
        </w:tc>
        <w:tc>
          <w:tcPr>
            <w:tcW w:w="2134" w:type="dxa"/>
            <w:shd w:val="clear" w:color="auto" w:fill="auto"/>
          </w:tcPr>
          <w:p w14:paraId="4003212E" w14:textId="1A64A249"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Revisar y mejorar la estrategia de educación y entrenamiento en protección radiológica y seguridad física radiológica considerando la DEIA. Plan de Mentoría en seguridad física radiológica, continuar con la implementación en los tres niveles de gestión del Ministerio de Salud y actores externos claves. Revisión y actualización permanente del Plan de Mentoría con el objetivo de promover la Cultura de Seguridad Física Radiológica en los tres niveles de gestión del Ministerio de Salud y actores externos claves. Elaborar e implementar un Reglamento vía Decreto Ejecutivo “Capacitación y entrenamiento en protección y seguridad radiológica”. Elaborar e implementar un Reglamento vía Decreto Ejecutivo “Transporte y seguridad física de los materiales radiactivos”. Promover la tendencia al cambio de tecnologías más seguras en las diferentes prácticas donde se utiliza material radiactivo. Mantener actualizado en el tiempo el inventario de fuentes radiactivas (RAIS+).</w:t>
            </w:r>
          </w:p>
        </w:tc>
        <w:tc>
          <w:tcPr>
            <w:tcW w:w="1672" w:type="dxa"/>
            <w:shd w:val="clear" w:color="auto" w:fill="auto"/>
          </w:tcPr>
          <w:p w14:paraId="531CAAD7" w14:textId="6FCE1FD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Oficina de Seguridad Radiológica, Departa</w:t>
            </w:r>
            <w:r>
              <w:rPr>
                <w:rFonts w:eastAsia="Times New Roman"/>
                <w:sz w:val="20"/>
                <w:szCs w:val="20"/>
                <w:lang w:val="es-CR" w:eastAsia="es-CR"/>
              </w:rPr>
              <w:t>ment</w:t>
            </w:r>
            <w:r w:rsidRPr="00AA261C">
              <w:rPr>
                <w:rFonts w:eastAsia="Times New Roman"/>
                <w:sz w:val="20"/>
                <w:szCs w:val="20"/>
                <w:lang w:val="es-CR" w:eastAsia="es-CR"/>
              </w:rPr>
              <w:t xml:space="preserve">o de Energía de </w:t>
            </w:r>
            <w:proofErr w:type="gramStart"/>
            <w:r w:rsidRPr="00AA261C">
              <w:rPr>
                <w:rFonts w:eastAsia="Times New Roman"/>
                <w:sz w:val="20"/>
                <w:szCs w:val="20"/>
                <w:lang w:val="es-CR" w:eastAsia="es-CR"/>
              </w:rPr>
              <w:t>EE.UU.</w:t>
            </w:r>
            <w:proofErr w:type="gramEnd"/>
          </w:p>
        </w:tc>
        <w:tc>
          <w:tcPr>
            <w:tcW w:w="1488" w:type="dxa"/>
            <w:shd w:val="clear" w:color="auto" w:fill="auto"/>
          </w:tcPr>
          <w:p w14:paraId="0DD2DEBD" w14:textId="5AF10AC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6DB7A9F6"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45662D9D" w14:textId="77777777" w:rsidTr="00EC1104">
        <w:trPr>
          <w:trHeight w:val="50"/>
          <w:jc w:val="center"/>
        </w:trPr>
        <w:tc>
          <w:tcPr>
            <w:tcW w:w="1369" w:type="dxa"/>
            <w:shd w:val="clear" w:color="auto" w:fill="auto"/>
          </w:tcPr>
          <w:p w14:paraId="34438C9A" w14:textId="4C2CB9CE"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Óscar Córdoba Calderón </w:t>
            </w:r>
          </w:p>
        </w:tc>
        <w:tc>
          <w:tcPr>
            <w:tcW w:w="1454" w:type="dxa"/>
            <w:shd w:val="clear" w:color="auto" w:fill="auto"/>
          </w:tcPr>
          <w:p w14:paraId="1E75BA47" w14:textId="6AE1043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Protección Radiológica y Salud Ambiental</w:t>
            </w:r>
          </w:p>
        </w:tc>
        <w:tc>
          <w:tcPr>
            <w:tcW w:w="1072" w:type="dxa"/>
            <w:shd w:val="clear" w:color="auto" w:fill="auto"/>
          </w:tcPr>
          <w:p w14:paraId="2577F077" w14:textId="556C1097"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6-ago-24</w:t>
            </w:r>
          </w:p>
        </w:tc>
        <w:tc>
          <w:tcPr>
            <w:tcW w:w="1230" w:type="dxa"/>
            <w:shd w:val="clear" w:color="auto" w:fill="auto"/>
          </w:tcPr>
          <w:p w14:paraId="0550C154" w14:textId="2DC563DF"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7-ago-24</w:t>
            </w:r>
          </w:p>
        </w:tc>
        <w:tc>
          <w:tcPr>
            <w:tcW w:w="1190" w:type="dxa"/>
            <w:shd w:val="clear" w:color="auto" w:fill="auto"/>
          </w:tcPr>
          <w:p w14:paraId="06155A8F" w14:textId="089534E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México</w:t>
            </w:r>
          </w:p>
        </w:tc>
        <w:tc>
          <w:tcPr>
            <w:tcW w:w="1815" w:type="dxa"/>
            <w:shd w:val="clear" w:color="auto" w:fill="auto"/>
          </w:tcPr>
          <w:p w14:paraId="7C3FC569" w14:textId="5F1A97E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Taller Avance en la seguridad física de las fuentes radiactivas en las Américas: mejores prácticas para la protección de personas, procesos e infraestructura</w:t>
            </w:r>
          </w:p>
        </w:tc>
        <w:tc>
          <w:tcPr>
            <w:tcW w:w="2134" w:type="dxa"/>
            <w:shd w:val="clear" w:color="auto" w:fill="auto"/>
          </w:tcPr>
          <w:p w14:paraId="35854674" w14:textId="1A42053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Revisar y mejorar la estrategia de educación y entrenamiento en protección radiológica y seguridad física radiológica considerando la DEIA. Plan de Mentoría en seguridad física radiológica, continuar con la implementación en los tres niveles de gestión del Ministerio de Salud y actores externos claves. Revisión y actualización permanente del Plan de Mentoría con el objetivo de promover la Cultura de Seguridad Física Radiológica en los tres niveles de gestión del Ministerio de Salud y actores externos claves. Elaborar e implementar un Reglamento vía Decreto Ejecutivo “Capacitación y entrenamiento en protección y seguridad radiológica”. Elaborar e implementar un Reglamento vía Decreto Ejecutivo “Transporte y seguridad física de los materiales radiactivos”. Promover la tendencia al cambio de tecnologías más seguras en las diferentes prácticas donde se utiliza material radiactivo. Mantener actualizado en el tiempo el inventario de fuentes radiactivas (RAIS+).</w:t>
            </w:r>
          </w:p>
        </w:tc>
        <w:tc>
          <w:tcPr>
            <w:tcW w:w="1672" w:type="dxa"/>
            <w:shd w:val="clear" w:color="auto" w:fill="auto"/>
          </w:tcPr>
          <w:p w14:paraId="54ECACFA" w14:textId="5E17709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Oficina de Seguridad Radiológica, </w:t>
            </w:r>
            <w:r>
              <w:rPr>
                <w:rFonts w:eastAsia="Times New Roman"/>
                <w:sz w:val="20"/>
                <w:szCs w:val="20"/>
                <w:lang w:val="es-CR" w:eastAsia="es-CR"/>
              </w:rPr>
              <w:t>Departamento</w:t>
            </w:r>
            <w:r w:rsidRPr="00AA261C">
              <w:rPr>
                <w:rFonts w:eastAsia="Times New Roman"/>
                <w:sz w:val="20"/>
                <w:szCs w:val="20"/>
                <w:lang w:val="es-CR" w:eastAsia="es-CR"/>
              </w:rPr>
              <w:t xml:space="preserve"> de Energía de </w:t>
            </w:r>
            <w:proofErr w:type="gramStart"/>
            <w:r w:rsidRPr="00AA261C">
              <w:rPr>
                <w:rFonts w:eastAsia="Times New Roman"/>
                <w:sz w:val="20"/>
                <w:szCs w:val="20"/>
                <w:lang w:val="es-CR" w:eastAsia="es-CR"/>
              </w:rPr>
              <w:t>EE.UU.</w:t>
            </w:r>
            <w:proofErr w:type="gramEnd"/>
          </w:p>
        </w:tc>
        <w:tc>
          <w:tcPr>
            <w:tcW w:w="1488" w:type="dxa"/>
            <w:shd w:val="clear" w:color="auto" w:fill="auto"/>
          </w:tcPr>
          <w:p w14:paraId="16B4CEAF" w14:textId="1D10A45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3169DD93"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53D24F63" w14:textId="77777777" w:rsidTr="00EC1104">
        <w:trPr>
          <w:trHeight w:val="50"/>
          <w:jc w:val="center"/>
        </w:trPr>
        <w:tc>
          <w:tcPr>
            <w:tcW w:w="1369" w:type="dxa"/>
            <w:shd w:val="clear" w:color="auto" w:fill="auto"/>
          </w:tcPr>
          <w:p w14:paraId="7BF0B85F" w14:textId="4B98D53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Wilder Martínez Álvarez</w:t>
            </w:r>
          </w:p>
        </w:tc>
        <w:tc>
          <w:tcPr>
            <w:tcW w:w="1454" w:type="dxa"/>
            <w:shd w:val="clear" w:color="auto" w:fill="auto"/>
          </w:tcPr>
          <w:p w14:paraId="5CDE1AA2" w14:textId="4138ED8F"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Regional de Rectoría de la Salud Central Norte</w:t>
            </w:r>
          </w:p>
        </w:tc>
        <w:tc>
          <w:tcPr>
            <w:tcW w:w="1072" w:type="dxa"/>
            <w:shd w:val="clear" w:color="auto" w:fill="auto"/>
          </w:tcPr>
          <w:p w14:paraId="4FB09816" w14:textId="3FFE5879"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6-ago-24</w:t>
            </w:r>
          </w:p>
        </w:tc>
        <w:tc>
          <w:tcPr>
            <w:tcW w:w="1230" w:type="dxa"/>
            <w:shd w:val="clear" w:color="auto" w:fill="auto"/>
          </w:tcPr>
          <w:p w14:paraId="44C758A9" w14:textId="1B94E56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7-ago-24</w:t>
            </w:r>
          </w:p>
        </w:tc>
        <w:tc>
          <w:tcPr>
            <w:tcW w:w="1190" w:type="dxa"/>
            <w:shd w:val="clear" w:color="auto" w:fill="auto"/>
          </w:tcPr>
          <w:p w14:paraId="2EA12EFA" w14:textId="3A31C39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México</w:t>
            </w:r>
          </w:p>
        </w:tc>
        <w:tc>
          <w:tcPr>
            <w:tcW w:w="1815" w:type="dxa"/>
            <w:shd w:val="clear" w:color="auto" w:fill="auto"/>
          </w:tcPr>
          <w:p w14:paraId="7893EFA7" w14:textId="222A290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Taller Avance en la seguridad física de las fuentes radiactivas en las Américas: mejores prácticas para la protección de personas, procesos e infraestructura</w:t>
            </w:r>
          </w:p>
        </w:tc>
        <w:tc>
          <w:tcPr>
            <w:tcW w:w="2134" w:type="dxa"/>
            <w:shd w:val="clear" w:color="auto" w:fill="auto"/>
          </w:tcPr>
          <w:p w14:paraId="5E5DDAC5" w14:textId="5EDB423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Revisar y mejorar la estrategia de educación y entrenamiento en protección radiológica y seguridad física radiológica considerando la DEIA. Plan de Mentoría en seguridad física radiológica, continuar con la implementación en los tres niveles de gestión del Ministerio de Salud y actores externos claves. Revisión y actualización permanente del Plan de Mentoría con el objetivo de promover la Cultura de Seguridad Física Radiológica en los tres niveles de gestión del Ministerio de Salud y actores externos claves. Elaborar e implementar un Reglamento vía Decreto Ejecutivo “Capacitación y entrenamiento en protección y seguridad radiológica”.</w:t>
            </w:r>
            <w:r>
              <w:rPr>
                <w:rFonts w:eastAsia="Times New Roman"/>
                <w:sz w:val="20"/>
                <w:szCs w:val="20"/>
                <w:lang w:val="es-CR" w:eastAsia="es-CR"/>
              </w:rPr>
              <w:t xml:space="preserve"> </w:t>
            </w:r>
            <w:r w:rsidRPr="00AA261C">
              <w:rPr>
                <w:rFonts w:eastAsia="Times New Roman"/>
                <w:sz w:val="20"/>
                <w:szCs w:val="20"/>
                <w:lang w:val="es-CR" w:eastAsia="es-CR"/>
              </w:rPr>
              <w:t>Elaborar e implementar un Reglamento vía Decreto Ejecutivo “Transporte y seguridad física de los materiales radiactivos”. Promover la tendencia al cambio de tecnologías más seguras en las diferentes prácticas donde se utiliza material radiactivo. Mantener actualizado en el tiempo el inventario de fuentes radiactivas (RAIS+).</w:t>
            </w:r>
          </w:p>
        </w:tc>
        <w:tc>
          <w:tcPr>
            <w:tcW w:w="1672" w:type="dxa"/>
            <w:shd w:val="clear" w:color="auto" w:fill="auto"/>
          </w:tcPr>
          <w:p w14:paraId="519E9035" w14:textId="41D75F3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Oficina de Seguridad Radiológica, </w:t>
            </w:r>
            <w:r>
              <w:rPr>
                <w:rFonts w:eastAsia="Times New Roman"/>
                <w:sz w:val="20"/>
                <w:szCs w:val="20"/>
                <w:lang w:val="es-CR" w:eastAsia="es-CR"/>
              </w:rPr>
              <w:t>Departamento</w:t>
            </w:r>
            <w:r w:rsidRPr="00AA261C">
              <w:rPr>
                <w:rFonts w:eastAsia="Times New Roman"/>
                <w:sz w:val="20"/>
                <w:szCs w:val="20"/>
                <w:lang w:val="es-CR" w:eastAsia="es-CR"/>
              </w:rPr>
              <w:t xml:space="preserve"> de Energía de </w:t>
            </w:r>
            <w:proofErr w:type="gramStart"/>
            <w:r w:rsidRPr="00AA261C">
              <w:rPr>
                <w:rFonts w:eastAsia="Times New Roman"/>
                <w:sz w:val="20"/>
                <w:szCs w:val="20"/>
                <w:lang w:val="es-CR" w:eastAsia="es-CR"/>
              </w:rPr>
              <w:t>EE.UU.</w:t>
            </w:r>
            <w:proofErr w:type="gramEnd"/>
          </w:p>
        </w:tc>
        <w:tc>
          <w:tcPr>
            <w:tcW w:w="1488" w:type="dxa"/>
            <w:shd w:val="clear" w:color="auto" w:fill="auto"/>
          </w:tcPr>
          <w:p w14:paraId="4B0F1686" w14:textId="7D414AD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1CDFE148"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5FEF6FA5" w14:textId="77777777" w:rsidTr="00EC1104">
        <w:trPr>
          <w:trHeight w:val="50"/>
          <w:jc w:val="center"/>
        </w:trPr>
        <w:tc>
          <w:tcPr>
            <w:tcW w:w="1369" w:type="dxa"/>
            <w:shd w:val="clear" w:color="auto" w:fill="auto"/>
          </w:tcPr>
          <w:p w14:paraId="463C66B3" w14:textId="7F8B2DA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Carolina Quirós Vásquez</w:t>
            </w:r>
          </w:p>
        </w:tc>
        <w:tc>
          <w:tcPr>
            <w:tcW w:w="1454" w:type="dxa"/>
            <w:shd w:val="clear" w:color="auto" w:fill="auto"/>
          </w:tcPr>
          <w:p w14:paraId="163CC3C9" w14:textId="1962CD5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342FB8EE" w14:textId="7E6B3CB7"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11-ago-24</w:t>
            </w:r>
          </w:p>
        </w:tc>
        <w:tc>
          <w:tcPr>
            <w:tcW w:w="1230" w:type="dxa"/>
            <w:shd w:val="clear" w:color="auto" w:fill="auto"/>
          </w:tcPr>
          <w:p w14:paraId="25D6642B" w14:textId="730543B2"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17-ago-24</w:t>
            </w:r>
          </w:p>
        </w:tc>
        <w:tc>
          <w:tcPr>
            <w:tcW w:w="1190" w:type="dxa"/>
            <w:shd w:val="clear" w:color="auto" w:fill="auto"/>
          </w:tcPr>
          <w:p w14:paraId="2CCD9A11" w14:textId="2C02F06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México</w:t>
            </w:r>
          </w:p>
        </w:tc>
        <w:tc>
          <w:tcPr>
            <w:tcW w:w="1815" w:type="dxa"/>
            <w:shd w:val="clear" w:color="auto" w:fill="auto"/>
          </w:tcPr>
          <w:p w14:paraId="669C4CD9" w14:textId="07CCCF06"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Pasantía Buenas Prácticas de Laboratorio con el objetivo de fomentar el intercambio de información entre los participantes particularmente en torno a los métodos analíticos (estandarización y validación) de medicamentos y dispositivos médicos.</w:t>
            </w:r>
          </w:p>
        </w:tc>
        <w:tc>
          <w:tcPr>
            <w:tcW w:w="2134" w:type="dxa"/>
            <w:shd w:val="clear" w:color="auto" w:fill="auto"/>
          </w:tcPr>
          <w:p w14:paraId="153D1666" w14:textId="572ED07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Replicar al equipo verificador de Buenas prácticas de Manufactura lo aprendido en la Pasantía y evaluar la normativa para la implementación de la verificación de las Buenas prácticas de Laboratorio a laboratorios prestadores de servicios analíticos. </w:t>
            </w:r>
          </w:p>
        </w:tc>
        <w:tc>
          <w:tcPr>
            <w:tcW w:w="1672" w:type="dxa"/>
            <w:shd w:val="clear" w:color="auto" w:fill="auto"/>
          </w:tcPr>
          <w:p w14:paraId="6390FA4E" w14:textId="3A00B41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Gobierno de México</w:t>
            </w:r>
          </w:p>
        </w:tc>
        <w:tc>
          <w:tcPr>
            <w:tcW w:w="1488" w:type="dxa"/>
            <w:shd w:val="clear" w:color="auto" w:fill="auto"/>
          </w:tcPr>
          <w:p w14:paraId="4BDF6577" w14:textId="480A5D34"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54446BFB" w14:textId="1CEBE3AD" w:rsidR="00AA261C" w:rsidRPr="00D11949" w:rsidRDefault="00AA261C" w:rsidP="00AA261C">
            <w:pPr>
              <w:spacing w:line="240" w:lineRule="auto"/>
              <w:rPr>
                <w:rFonts w:eastAsia="Times New Roman"/>
                <w:sz w:val="20"/>
                <w:szCs w:val="20"/>
                <w:lang w:val="es-ES_tradnl" w:eastAsia="es-CR"/>
              </w:rPr>
            </w:pPr>
          </w:p>
        </w:tc>
      </w:tr>
      <w:tr w:rsidR="00AA261C" w:rsidRPr="00D11949" w14:paraId="63798F41" w14:textId="77777777" w:rsidTr="00EC1104">
        <w:trPr>
          <w:trHeight w:val="50"/>
          <w:jc w:val="center"/>
        </w:trPr>
        <w:tc>
          <w:tcPr>
            <w:tcW w:w="1369" w:type="dxa"/>
            <w:shd w:val="clear" w:color="auto" w:fill="auto"/>
          </w:tcPr>
          <w:p w14:paraId="7F9B099E" w14:textId="3BF5DF8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Ileana </w:t>
            </w:r>
            <w:proofErr w:type="spellStart"/>
            <w:r w:rsidRPr="00AA261C">
              <w:rPr>
                <w:rFonts w:eastAsia="Times New Roman"/>
                <w:sz w:val="20"/>
                <w:szCs w:val="20"/>
                <w:lang w:val="es-CR" w:eastAsia="es-CR"/>
              </w:rPr>
              <w:t>Roverssi</w:t>
            </w:r>
            <w:proofErr w:type="spellEnd"/>
            <w:r w:rsidRPr="00AA261C">
              <w:rPr>
                <w:rFonts w:eastAsia="Times New Roman"/>
                <w:sz w:val="20"/>
                <w:szCs w:val="20"/>
                <w:lang w:val="es-CR" w:eastAsia="es-CR"/>
              </w:rPr>
              <w:t xml:space="preserve"> Picado</w:t>
            </w:r>
          </w:p>
        </w:tc>
        <w:tc>
          <w:tcPr>
            <w:tcW w:w="1454" w:type="dxa"/>
            <w:shd w:val="clear" w:color="auto" w:fill="auto"/>
          </w:tcPr>
          <w:p w14:paraId="79CCFC30" w14:textId="628D7F5B"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47F3BF23" w14:textId="695BB82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11-ago-24</w:t>
            </w:r>
          </w:p>
        </w:tc>
        <w:tc>
          <w:tcPr>
            <w:tcW w:w="1230" w:type="dxa"/>
            <w:shd w:val="clear" w:color="auto" w:fill="auto"/>
          </w:tcPr>
          <w:p w14:paraId="6CF88BBC" w14:textId="7EB56252"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17-ago-24</w:t>
            </w:r>
          </w:p>
        </w:tc>
        <w:tc>
          <w:tcPr>
            <w:tcW w:w="1190" w:type="dxa"/>
            <w:shd w:val="clear" w:color="auto" w:fill="auto"/>
          </w:tcPr>
          <w:p w14:paraId="1615AC54" w14:textId="0F89EB0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México</w:t>
            </w:r>
          </w:p>
        </w:tc>
        <w:tc>
          <w:tcPr>
            <w:tcW w:w="1815" w:type="dxa"/>
            <w:shd w:val="clear" w:color="auto" w:fill="auto"/>
          </w:tcPr>
          <w:p w14:paraId="5880BDE6" w14:textId="390A8CD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Pasantía Farmacovigilancia y Tecnovigilancia con el objetivo de intercambiar información e identificar mejores prácticas sobre cómo mejorar la protección de la salud, manejar los riesgos y la seguridad de los usuarios a través de la vigilancia de los medicamentos y dispositivos médicos mediante la farmacovigilancia y la tecnovigilancia respectivamente.</w:t>
            </w:r>
          </w:p>
        </w:tc>
        <w:tc>
          <w:tcPr>
            <w:tcW w:w="2134" w:type="dxa"/>
            <w:shd w:val="clear" w:color="auto" w:fill="auto"/>
          </w:tcPr>
          <w:p w14:paraId="5E0200E9" w14:textId="64CAD6E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Replicar al equipo de FV lo aprendido en la Pasantía.</w:t>
            </w:r>
          </w:p>
        </w:tc>
        <w:tc>
          <w:tcPr>
            <w:tcW w:w="1672" w:type="dxa"/>
            <w:shd w:val="clear" w:color="auto" w:fill="auto"/>
          </w:tcPr>
          <w:p w14:paraId="0DE9DB1E" w14:textId="54A2FC8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Gobierno de México</w:t>
            </w:r>
          </w:p>
        </w:tc>
        <w:tc>
          <w:tcPr>
            <w:tcW w:w="1488" w:type="dxa"/>
            <w:shd w:val="clear" w:color="auto" w:fill="auto"/>
          </w:tcPr>
          <w:p w14:paraId="5F87B3A9" w14:textId="0BBE07F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74044936" w14:textId="0E837D7B" w:rsidR="00AA261C" w:rsidRPr="00D11949" w:rsidRDefault="00AA261C" w:rsidP="00AA261C">
            <w:pPr>
              <w:spacing w:line="240" w:lineRule="auto"/>
              <w:rPr>
                <w:rFonts w:eastAsia="Times New Roman"/>
                <w:sz w:val="20"/>
                <w:szCs w:val="20"/>
                <w:lang w:val="es-ES_tradnl" w:eastAsia="es-CR"/>
              </w:rPr>
            </w:pPr>
          </w:p>
        </w:tc>
      </w:tr>
      <w:tr w:rsidR="00AA261C" w:rsidRPr="00D11949" w14:paraId="28A7E74A" w14:textId="77777777" w:rsidTr="00EC1104">
        <w:trPr>
          <w:trHeight w:val="50"/>
          <w:jc w:val="center"/>
        </w:trPr>
        <w:tc>
          <w:tcPr>
            <w:tcW w:w="1369" w:type="dxa"/>
            <w:shd w:val="clear" w:color="auto" w:fill="auto"/>
          </w:tcPr>
          <w:p w14:paraId="4979AD85" w14:textId="7EB444F1"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Danny Cascante Álvarez </w:t>
            </w:r>
          </w:p>
        </w:tc>
        <w:tc>
          <w:tcPr>
            <w:tcW w:w="1454" w:type="dxa"/>
            <w:shd w:val="clear" w:color="auto" w:fill="auto"/>
          </w:tcPr>
          <w:p w14:paraId="5C029949" w14:textId="64C5D187"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6ABF7AC8" w14:textId="14040B2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12-ago-24</w:t>
            </w:r>
          </w:p>
        </w:tc>
        <w:tc>
          <w:tcPr>
            <w:tcW w:w="1230" w:type="dxa"/>
            <w:shd w:val="clear" w:color="auto" w:fill="auto"/>
          </w:tcPr>
          <w:p w14:paraId="4ED62EC3" w14:textId="7A2D7CB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14-ago-24</w:t>
            </w:r>
          </w:p>
        </w:tc>
        <w:tc>
          <w:tcPr>
            <w:tcW w:w="1190" w:type="dxa"/>
            <w:shd w:val="clear" w:color="auto" w:fill="auto"/>
          </w:tcPr>
          <w:p w14:paraId="09CCBC18" w14:textId="3E172BC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Guatemala</w:t>
            </w:r>
          </w:p>
        </w:tc>
        <w:tc>
          <w:tcPr>
            <w:tcW w:w="1815" w:type="dxa"/>
            <w:shd w:val="clear" w:color="auto" w:fill="auto"/>
          </w:tcPr>
          <w:p w14:paraId="0E58A29D" w14:textId="19F6AE3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Primer encuentro de trabajo técnico sobre la Escuela Regional de Regulación Sanitaria (ERRS)</w:t>
            </w:r>
          </w:p>
        </w:tc>
        <w:tc>
          <w:tcPr>
            <w:tcW w:w="2134" w:type="dxa"/>
            <w:shd w:val="clear" w:color="auto" w:fill="auto"/>
          </w:tcPr>
          <w:p w14:paraId="796315DB" w14:textId="2786F7D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asumen compromisos. </w:t>
            </w:r>
          </w:p>
        </w:tc>
        <w:tc>
          <w:tcPr>
            <w:tcW w:w="1672" w:type="dxa"/>
            <w:shd w:val="clear" w:color="auto" w:fill="auto"/>
          </w:tcPr>
          <w:p w14:paraId="694A74EE" w14:textId="7FDE7D84"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Proyecto UE4Health</w:t>
            </w:r>
          </w:p>
        </w:tc>
        <w:tc>
          <w:tcPr>
            <w:tcW w:w="1488" w:type="dxa"/>
            <w:shd w:val="clear" w:color="auto" w:fill="auto"/>
          </w:tcPr>
          <w:p w14:paraId="6874D0C2" w14:textId="15823AA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64799DCE"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09C3CDA0" w14:textId="77777777" w:rsidTr="00EC1104">
        <w:trPr>
          <w:trHeight w:val="50"/>
          <w:jc w:val="center"/>
        </w:trPr>
        <w:tc>
          <w:tcPr>
            <w:tcW w:w="1369" w:type="dxa"/>
            <w:shd w:val="clear" w:color="auto" w:fill="auto"/>
          </w:tcPr>
          <w:p w14:paraId="4C60DA99" w14:textId="4011ACEE"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Marcela González Rodríguez</w:t>
            </w:r>
          </w:p>
        </w:tc>
        <w:tc>
          <w:tcPr>
            <w:tcW w:w="1454" w:type="dxa"/>
            <w:shd w:val="clear" w:color="auto" w:fill="auto"/>
          </w:tcPr>
          <w:p w14:paraId="3AAEFBD2" w14:textId="0123F524"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65FF71C4" w14:textId="5B800EE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12-ago-24</w:t>
            </w:r>
          </w:p>
        </w:tc>
        <w:tc>
          <w:tcPr>
            <w:tcW w:w="1230" w:type="dxa"/>
            <w:shd w:val="clear" w:color="auto" w:fill="auto"/>
          </w:tcPr>
          <w:p w14:paraId="13BC5B2D" w14:textId="5AC9009F"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14-ago-24</w:t>
            </w:r>
          </w:p>
        </w:tc>
        <w:tc>
          <w:tcPr>
            <w:tcW w:w="1190" w:type="dxa"/>
            <w:shd w:val="clear" w:color="auto" w:fill="auto"/>
          </w:tcPr>
          <w:p w14:paraId="3C028133" w14:textId="6C29C25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Guatemala</w:t>
            </w:r>
          </w:p>
        </w:tc>
        <w:tc>
          <w:tcPr>
            <w:tcW w:w="1815" w:type="dxa"/>
            <w:shd w:val="clear" w:color="auto" w:fill="auto"/>
          </w:tcPr>
          <w:p w14:paraId="47234FAD" w14:textId="1911FAC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Primer encuentro de trabajo técnico sobre la Escuela Regional de Regulación Sanitaria (ERRS)</w:t>
            </w:r>
          </w:p>
        </w:tc>
        <w:tc>
          <w:tcPr>
            <w:tcW w:w="2134" w:type="dxa"/>
            <w:shd w:val="clear" w:color="auto" w:fill="auto"/>
          </w:tcPr>
          <w:p w14:paraId="30B48AFF" w14:textId="61CF209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asumen compromisos. </w:t>
            </w:r>
          </w:p>
        </w:tc>
        <w:tc>
          <w:tcPr>
            <w:tcW w:w="1672" w:type="dxa"/>
            <w:shd w:val="clear" w:color="auto" w:fill="auto"/>
          </w:tcPr>
          <w:p w14:paraId="194528BD" w14:textId="622197A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Proyecto UE4Health</w:t>
            </w:r>
          </w:p>
        </w:tc>
        <w:tc>
          <w:tcPr>
            <w:tcW w:w="1488" w:type="dxa"/>
            <w:shd w:val="clear" w:color="auto" w:fill="auto"/>
          </w:tcPr>
          <w:p w14:paraId="0D3894CF" w14:textId="3DC37287"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4EB17AE0"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6832246D" w14:textId="77777777" w:rsidTr="00EC1104">
        <w:trPr>
          <w:trHeight w:val="50"/>
          <w:jc w:val="center"/>
        </w:trPr>
        <w:tc>
          <w:tcPr>
            <w:tcW w:w="1369" w:type="dxa"/>
            <w:shd w:val="clear" w:color="auto" w:fill="auto"/>
          </w:tcPr>
          <w:p w14:paraId="37B43C55" w14:textId="0E0D79D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Lady Fonseca Castro</w:t>
            </w:r>
          </w:p>
        </w:tc>
        <w:tc>
          <w:tcPr>
            <w:tcW w:w="1454" w:type="dxa"/>
            <w:shd w:val="clear" w:color="auto" w:fill="auto"/>
          </w:tcPr>
          <w:p w14:paraId="187B4E1E" w14:textId="3608DE7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Planificación</w:t>
            </w:r>
          </w:p>
        </w:tc>
        <w:tc>
          <w:tcPr>
            <w:tcW w:w="1072" w:type="dxa"/>
            <w:shd w:val="clear" w:color="auto" w:fill="auto"/>
          </w:tcPr>
          <w:p w14:paraId="4D708214" w14:textId="0D4A4FA6"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19-ago-24</w:t>
            </w:r>
          </w:p>
        </w:tc>
        <w:tc>
          <w:tcPr>
            <w:tcW w:w="1230" w:type="dxa"/>
            <w:shd w:val="clear" w:color="auto" w:fill="auto"/>
          </w:tcPr>
          <w:p w14:paraId="703B2768" w14:textId="76DE486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24-ago-24</w:t>
            </w:r>
          </w:p>
        </w:tc>
        <w:tc>
          <w:tcPr>
            <w:tcW w:w="1190" w:type="dxa"/>
            <w:shd w:val="clear" w:color="auto" w:fill="auto"/>
          </w:tcPr>
          <w:p w14:paraId="2863C16F" w14:textId="488D757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Brasil</w:t>
            </w:r>
          </w:p>
        </w:tc>
        <w:tc>
          <w:tcPr>
            <w:tcW w:w="1815" w:type="dxa"/>
            <w:shd w:val="clear" w:color="auto" w:fill="auto"/>
          </w:tcPr>
          <w:p w14:paraId="16009485" w14:textId="75E0E17F"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Programa Internacional de Políticas Públicas Intersectoriales "Perspectivas en Políticas de Soberanía y Seguridad Alimentaria y Nutricional"</w:t>
            </w:r>
          </w:p>
        </w:tc>
        <w:tc>
          <w:tcPr>
            <w:tcW w:w="2134" w:type="dxa"/>
            <w:shd w:val="clear" w:color="auto" w:fill="auto"/>
          </w:tcPr>
          <w:p w14:paraId="2F4E79F3" w14:textId="4F37C1F7" w:rsidR="00AA261C" w:rsidRPr="009A0C22" w:rsidRDefault="00AA261C" w:rsidP="00AA261C">
            <w:pPr>
              <w:spacing w:line="240" w:lineRule="auto"/>
              <w:rPr>
                <w:rFonts w:eastAsia="Times New Roman"/>
                <w:sz w:val="20"/>
                <w:szCs w:val="20"/>
                <w:lang w:val="es-CR" w:eastAsia="es-CR"/>
              </w:rPr>
            </w:pPr>
            <w:r w:rsidRPr="00AA261C">
              <w:rPr>
                <w:rFonts w:eastAsia="Times New Roman"/>
                <w:sz w:val="20"/>
                <w:szCs w:val="20"/>
                <w:lang w:val="es-CR" w:eastAsia="es-CR"/>
              </w:rPr>
              <w:t xml:space="preserve">No se asumen compromisos. </w:t>
            </w:r>
          </w:p>
        </w:tc>
        <w:tc>
          <w:tcPr>
            <w:tcW w:w="1672" w:type="dxa"/>
            <w:shd w:val="clear" w:color="auto" w:fill="auto"/>
          </w:tcPr>
          <w:p w14:paraId="70A92BA0" w14:textId="2919124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Escuela de Nacional de Administración Pública de Brasil</w:t>
            </w:r>
          </w:p>
        </w:tc>
        <w:tc>
          <w:tcPr>
            <w:tcW w:w="1488" w:type="dxa"/>
            <w:shd w:val="clear" w:color="auto" w:fill="auto"/>
          </w:tcPr>
          <w:p w14:paraId="24FB9CDA" w14:textId="41DDDBD8"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63BD1742"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48F0ABE0" w14:textId="77777777" w:rsidTr="00EC1104">
        <w:trPr>
          <w:trHeight w:val="50"/>
          <w:jc w:val="center"/>
        </w:trPr>
        <w:tc>
          <w:tcPr>
            <w:tcW w:w="1369" w:type="dxa"/>
            <w:shd w:val="clear" w:color="auto" w:fill="auto"/>
          </w:tcPr>
          <w:p w14:paraId="66AC678D" w14:textId="36006831"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Alejandra Chaverri Esquivel</w:t>
            </w:r>
          </w:p>
        </w:tc>
        <w:tc>
          <w:tcPr>
            <w:tcW w:w="1454" w:type="dxa"/>
            <w:shd w:val="clear" w:color="auto" w:fill="auto"/>
          </w:tcPr>
          <w:p w14:paraId="7F0D7305" w14:textId="48A9E48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42028F1C" w14:textId="38B03EB8"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19-ago-24</w:t>
            </w:r>
          </w:p>
        </w:tc>
        <w:tc>
          <w:tcPr>
            <w:tcW w:w="1230" w:type="dxa"/>
            <w:shd w:val="clear" w:color="auto" w:fill="auto"/>
          </w:tcPr>
          <w:p w14:paraId="77390E98" w14:textId="5C62FD79"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23-ago-24</w:t>
            </w:r>
          </w:p>
        </w:tc>
        <w:tc>
          <w:tcPr>
            <w:tcW w:w="1190" w:type="dxa"/>
            <w:shd w:val="clear" w:color="auto" w:fill="auto"/>
          </w:tcPr>
          <w:p w14:paraId="62F1CCDC" w14:textId="5CA2E29F"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Ecuador</w:t>
            </w:r>
          </w:p>
        </w:tc>
        <w:tc>
          <w:tcPr>
            <w:tcW w:w="1815" w:type="dxa"/>
            <w:shd w:val="clear" w:color="auto" w:fill="auto"/>
          </w:tcPr>
          <w:p w14:paraId="714D06A2" w14:textId="6FDCDB87"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Coloquio sobre el Codex </w:t>
            </w:r>
            <w:proofErr w:type="spellStart"/>
            <w:r w:rsidRPr="00AA261C">
              <w:rPr>
                <w:rFonts w:eastAsia="Times New Roman"/>
                <w:sz w:val="20"/>
                <w:szCs w:val="20"/>
                <w:lang w:val="es-CR" w:eastAsia="es-CR"/>
              </w:rPr>
              <w:t>Alimentarius</w:t>
            </w:r>
            <w:proofErr w:type="spellEnd"/>
            <w:r w:rsidRPr="00AA261C">
              <w:rPr>
                <w:rFonts w:eastAsia="Times New Roman"/>
                <w:sz w:val="20"/>
                <w:szCs w:val="20"/>
                <w:lang w:val="es-CR" w:eastAsia="es-CR"/>
              </w:rPr>
              <w:t xml:space="preserve"> para los países de América Latina y el Caribe</w:t>
            </w:r>
          </w:p>
        </w:tc>
        <w:tc>
          <w:tcPr>
            <w:tcW w:w="2134" w:type="dxa"/>
            <w:shd w:val="clear" w:color="auto" w:fill="auto"/>
          </w:tcPr>
          <w:p w14:paraId="33047894" w14:textId="0C2CE51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Brindar presentación a los países participantes del grupo sobre los temas en Agenda para la 44 CCNARE y fungir como moderador de la discusión de estos. Presentar el resumen de la discusión del grupo que abordó los temas en Agenda para la 44 CCNARE. </w:t>
            </w:r>
          </w:p>
        </w:tc>
        <w:tc>
          <w:tcPr>
            <w:tcW w:w="1672" w:type="dxa"/>
            <w:shd w:val="clear" w:color="auto" w:fill="auto"/>
          </w:tcPr>
          <w:p w14:paraId="4D9285D4" w14:textId="2C99FDB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Instituto Interamericano de Cooperación para la Agricultura (IICA)</w:t>
            </w:r>
          </w:p>
        </w:tc>
        <w:tc>
          <w:tcPr>
            <w:tcW w:w="1488" w:type="dxa"/>
            <w:shd w:val="clear" w:color="auto" w:fill="auto"/>
          </w:tcPr>
          <w:p w14:paraId="0924FB79" w14:textId="2AA6C78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6AD0022F"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4DE4B511" w14:textId="77777777" w:rsidTr="00EC1104">
        <w:trPr>
          <w:trHeight w:val="50"/>
          <w:jc w:val="center"/>
        </w:trPr>
        <w:tc>
          <w:tcPr>
            <w:tcW w:w="1369" w:type="dxa"/>
            <w:shd w:val="clear" w:color="auto" w:fill="auto"/>
          </w:tcPr>
          <w:p w14:paraId="53FE924E" w14:textId="06DA70BF"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Xiomara Jiménez Soto</w:t>
            </w:r>
          </w:p>
        </w:tc>
        <w:tc>
          <w:tcPr>
            <w:tcW w:w="1454" w:type="dxa"/>
            <w:shd w:val="clear" w:color="auto" w:fill="auto"/>
          </w:tcPr>
          <w:p w14:paraId="683FA3AF" w14:textId="0523FAE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6C77593F" w14:textId="505DF7A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20-ago-24</w:t>
            </w:r>
          </w:p>
        </w:tc>
        <w:tc>
          <w:tcPr>
            <w:tcW w:w="1230" w:type="dxa"/>
            <w:shd w:val="clear" w:color="auto" w:fill="auto"/>
          </w:tcPr>
          <w:p w14:paraId="39A7BC93" w14:textId="3FF31CF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22-ago-24</w:t>
            </w:r>
          </w:p>
        </w:tc>
        <w:tc>
          <w:tcPr>
            <w:tcW w:w="1190" w:type="dxa"/>
            <w:shd w:val="clear" w:color="auto" w:fill="auto"/>
          </w:tcPr>
          <w:p w14:paraId="72FA2273" w14:textId="6CABBC6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Chile</w:t>
            </w:r>
          </w:p>
        </w:tc>
        <w:tc>
          <w:tcPr>
            <w:tcW w:w="1815" w:type="dxa"/>
            <w:shd w:val="clear" w:color="auto" w:fill="auto"/>
          </w:tcPr>
          <w:p w14:paraId="010887D3" w14:textId="1368630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Capacitación de Instructores para Capacitadores de Administraciones Aduaneras y Representantes de Autoridades Nacionales de la región de América Latina y el Caribe</w:t>
            </w:r>
          </w:p>
        </w:tc>
        <w:tc>
          <w:tcPr>
            <w:tcW w:w="2134" w:type="dxa"/>
            <w:shd w:val="clear" w:color="auto" w:fill="auto"/>
          </w:tcPr>
          <w:p w14:paraId="3F4F4873" w14:textId="26AB3399" w:rsidR="00AA261C" w:rsidRPr="000F1CD3" w:rsidRDefault="00AA261C" w:rsidP="00AA261C">
            <w:pPr>
              <w:spacing w:line="240" w:lineRule="auto"/>
              <w:rPr>
                <w:rFonts w:eastAsia="Times New Roman"/>
                <w:sz w:val="20"/>
                <w:szCs w:val="20"/>
                <w:lang w:val="es-CR" w:eastAsia="es-CR"/>
              </w:rPr>
            </w:pPr>
            <w:r w:rsidRPr="00AA261C">
              <w:rPr>
                <w:rFonts w:eastAsia="Times New Roman"/>
                <w:sz w:val="20"/>
                <w:szCs w:val="20"/>
                <w:lang w:val="es-CR" w:eastAsia="es-CR"/>
              </w:rPr>
              <w:t>Plan de acción post formación y envío a la ST de la OPAQ. Plan Acción de formación de formadores para personal de la Dirección General de Aduanas. Comunicado a la ST de la OPAQ</w:t>
            </w:r>
          </w:p>
        </w:tc>
        <w:tc>
          <w:tcPr>
            <w:tcW w:w="1672" w:type="dxa"/>
            <w:shd w:val="clear" w:color="auto" w:fill="auto"/>
          </w:tcPr>
          <w:p w14:paraId="5F9B305B" w14:textId="10E72F54"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Organización para la Prohibición de las Armas Químicas (OPAQ)</w:t>
            </w:r>
          </w:p>
        </w:tc>
        <w:tc>
          <w:tcPr>
            <w:tcW w:w="1488" w:type="dxa"/>
            <w:shd w:val="clear" w:color="auto" w:fill="auto"/>
          </w:tcPr>
          <w:p w14:paraId="5F9AEA6C" w14:textId="100F6C94"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5520297E" w14:textId="77777777" w:rsidR="00AA261C" w:rsidRPr="00D11949" w:rsidRDefault="00AA261C" w:rsidP="00AA261C">
            <w:pPr>
              <w:spacing w:line="240" w:lineRule="auto"/>
              <w:rPr>
                <w:rFonts w:eastAsia="Times New Roman"/>
                <w:sz w:val="20"/>
                <w:szCs w:val="20"/>
                <w:lang w:val="es-ES_tradnl" w:eastAsia="es-CR"/>
              </w:rPr>
            </w:pPr>
            <w:r w:rsidRPr="00D11949">
              <w:rPr>
                <w:rFonts w:eastAsia="Times New Roman"/>
                <w:sz w:val="20"/>
                <w:szCs w:val="20"/>
                <w:lang w:val="es-CR" w:eastAsia="es-CR"/>
              </w:rPr>
              <w:t> </w:t>
            </w:r>
          </w:p>
        </w:tc>
      </w:tr>
      <w:tr w:rsidR="00AA261C" w:rsidRPr="00D11949" w14:paraId="32D9D8A8" w14:textId="77777777" w:rsidTr="00EC1104">
        <w:trPr>
          <w:trHeight w:val="50"/>
          <w:jc w:val="center"/>
        </w:trPr>
        <w:tc>
          <w:tcPr>
            <w:tcW w:w="1369" w:type="dxa"/>
            <w:shd w:val="clear" w:color="auto" w:fill="auto"/>
          </w:tcPr>
          <w:p w14:paraId="5A033566" w14:textId="3AC5330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Allan Mora Vargas</w:t>
            </w:r>
          </w:p>
        </w:tc>
        <w:tc>
          <w:tcPr>
            <w:tcW w:w="1454" w:type="dxa"/>
            <w:shd w:val="clear" w:color="auto" w:fill="auto"/>
          </w:tcPr>
          <w:p w14:paraId="48247D4B" w14:textId="3A441F9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Despacho Ministerial </w:t>
            </w:r>
          </w:p>
        </w:tc>
        <w:tc>
          <w:tcPr>
            <w:tcW w:w="1072" w:type="dxa"/>
            <w:shd w:val="clear" w:color="auto" w:fill="auto"/>
          </w:tcPr>
          <w:p w14:paraId="3AE78E06" w14:textId="627BA6B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21-ago-24</w:t>
            </w:r>
          </w:p>
        </w:tc>
        <w:tc>
          <w:tcPr>
            <w:tcW w:w="1230" w:type="dxa"/>
            <w:shd w:val="clear" w:color="auto" w:fill="auto"/>
          </w:tcPr>
          <w:p w14:paraId="6040459C" w14:textId="3CB868D1"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23-ago-24</w:t>
            </w:r>
          </w:p>
        </w:tc>
        <w:tc>
          <w:tcPr>
            <w:tcW w:w="1190" w:type="dxa"/>
            <w:shd w:val="clear" w:color="auto" w:fill="auto"/>
          </w:tcPr>
          <w:p w14:paraId="1CBB4BD0" w14:textId="0999F0B2"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México</w:t>
            </w:r>
          </w:p>
        </w:tc>
        <w:tc>
          <w:tcPr>
            <w:tcW w:w="1815" w:type="dxa"/>
            <w:shd w:val="clear" w:color="auto" w:fill="auto"/>
          </w:tcPr>
          <w:p w14:paraId="585831BE" w14:textId="71B39D2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XI Conferencia de la Red Panamericana para la Armonización de la Reglamentación Farmacéutica (CPARF)</w:t>
            </w:r>
          </w:p>
        </w:tc>
        <w:tc>
          <w:tcPr>
            <w:tcW w:w="2134" w:type="dxa"/>
            <w:shd w:val="clear" w:color="auto" w:fill="auto"/>
          </w:tcPr>
          <w:p w14:paraId="4A79354B" w14:textId="12A1B04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asumen compromisos. </w:t>
            </w:r>
          </w:p>
        </w:tc>
        <w:tc>
          <w:tcPr>
            <w:tcW w:w="1672" w:type="dxa"/>
            <w:shd w:val="clear" w:color="auto" w:fill="auto"/>
          </w:tcPr>
          <w:p w14:paraId="26FE4DF9" w14:textId="5FF3461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Ministerio de Salud de Costa Rica</w:t>
            </w:r>
          </w:p>
        </w:tc>
        <w:tc>
          <w:tcPr>
            <w:tcW w:w="1488" w:type="dxa"/>
            <w:shd w:val="clear" w:color="auto" w:fill="auto"/>
          </w:tcPr>
          <w:p w14:paraId="05020720" w14:textId="4899BD3B"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 867 565,58 </w:t>
            </w:r>
          </w:p>
        </w:tc>
        <w:tc>
          <w:tcPr>
            <w:tcW w:w="1575" w:type="dxa"/>
            <w:shd w:val="clear" w:color="auto" w:fill="auto"/>
          </w:tcPr>
          <w:p w14:paraId="39D81CE9" w14:textId="77777777" w:rsidR="00AA261C" w:rsidRPr="00D11949" w:rsidRDefault="00AA261C" w:rsidP="00AA261C">
            <w:pPr>
              <w:spacing w:line="240" w:lineRule="auto"/>
              <w:rPr>
                <w:rFonts w:eastAsia="Times New Roman"/>
                <w:sz w:val="20"/>
                <w:szCs w:val="20"/>
                <w:lang w:val="es-ES_tradnl" w:eastAsia="es-CR"/>
              </w:rPr>
            </w:pPr>
          </w:p>
        </w:tc>
      </w:tr>
      <w:tr w:rsidR="00AA261C" w:rsidRPr="00D11949" w14:paraId="306A5DC0" w14:textId="77777777" w:rsidTr="00EC1104">
        <w:trPr>
          <w:trHeight w:val="50"/>
          <w:jc w:val="center"/>
        </w:trPr>
        <w:tc>
          <w:tcPr>
            <w:tcW w:w="1369" w:type="dxa"/>
            <w:shd w:val="clear" w:color="auto" w:fill="auto"/>
          </w:tcPr>
          <w:p w14:paraId="6A597FD8" w14:textId="5B04FB0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Andrea Badilla Jiménez</w:t>
            </w:r>
          </w:p>
        </w:tc>
        <w:tc>
          <w:tcPr>
            <w:tcW w:w="1454" w:type="dxa"/>
            <w:shd w:val="clear" w:color="auto" w:fill="auto"/>
          </w:tcPr>
          <w:p w14:paraId="068A6102" w14:textId="69200201"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05B82D8C" w14:textId="0BF9C9DE"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21-ago-24</w:t>
            </w:r>
          </w:p>
        </w:tc>
        <w:tc>
          <w:tcPr>
            <w:tcW w:w="1230" w:type="dxa"/>
            <w:shd w:val="clear" w:color="auto" w:fill="auto"/>
          </w:tcPr>
          <w:p w14:paraId="05B80098" w14:textId="08C1F389"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23-ago-24</w:t>
            </w:r>
          </w:p>
        </w:tc>
        <w:tc>
          <w:tcPr>
            <w:tcW w:w="1190" w:type="dxa"/>
            <w:shd w:val="clear" w:color="auto" w:fill="auto"/>
          </w:tcPr>
          <w:p w14:paraId="7EFB8B8D" w14:textId="13A896DB"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México</w:t>
            </w:r>
          </w:p>
        </w:tc>
        <w:tc>
          <w:tcPr>
            <w:tcW w:w="1815" w:type="dxa"/>
            <w:shd w:val="clear" w:color="auto" w:fill="auto"/>
          </w:tcPr>
          <w:p w14:paraId="1325933E" w14:textId="45AFF8FE"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XI Conferencia de la Red Panamericana para la Armonización de la Reglamentación Farmacéutica (CPARF)</w:t>
            </w:r>
          </w:p>
        </w:tc>
        <w:tc>
          <w:tcPr>
            <w:tcW w:w="2134" w:type="dxa"/>
            <w:shd w:val="clear" w:color="auto" w:fill="auto"/>
          </w:tcPr>
          <w:p w14:paraId="238E5E1C" w14:textId="0AF01346"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asumen compromisos. </w:t>
            </w:r>
          </w:p>
        </w:tc>
        <w:tc>
          <w:tcPr>
            <w:tcW w:w="1672" w:type="dxa"/>
            <w:shd w:val="clear" w:color="auto" w:fill="auto"/>
          </w:tcPr>
          <w:p w14:paraId="27BD0E92" w14:textId="37202698"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Organización Panamericana de la Salud (OPS)</w:t>
            </w:r>
          </w:p>
        </w:tc>
        <w:tc>
          <w:tcPr>
            <w:tcW w:w="1488" w:type="dxa"/>
            <w:shd w:val="clear" w:color="auto" w:fill="auto"/>
          </w:tcPr>
          <w:p w14:paraId="1AE4CBEF" w14:textId="6775579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567061F2" w14:textId="77777777" w:rsidR="00AA261C" w:rsidRPr="00D11949" w:rsidRDefault="00AA261C" w:rsidP="00AA261C">
            <w:pPr>
              <w:spacing w:line="240" w:lineRule="auto"/>
              <w:rPr>
                <w:rFonts w:eastAsia="Times New Roman"/>
                <w:sz w:val="20"/>
                <w:szCs w:val="20"/>
                <w:lang w:val="es-ES_tradnl" w:eastAsia="es-CR"/>
              </w:rPr>
            </w:pPr>
            <w:r w:rsidRPr="00D11949">
              <w:rPr>
                <w:rFonts w:eastAsia="Times New Roman"/>
                <w:sz w:val="20"/>
                <w:szCs w:val="20"/>
                <w:lang w:val="es-CR" w:eastAsia="es-CR"/>
              </w:rPr>
              <w:t> </w:t>
            </w:r>
          </w:p>
        </w:tc>
      </w:tr>
      <w:tr w:rsidR="00AA261C" w:rsidRPr="00D11949" w14:paraId="461FB406" w14:textId="77777777" w:rsidTr="00EC1104">
        <w:trPr>
          <w:trHeight w:val="50"/>
          <w:jc w:val="center"/>
        </w:trPr>
        <w:tc>
          <w:tcPr>
            <w:tcW w:w="1369" w:type="dxa"/>
            <w:shd w:val="clear" w:color="auto" w:fill="auto"/>
          </w:tcPr>
          <w:p w14:paraId="65CEEDF9" w14:textId="1BAEAC9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Juan Carlos Valverde Muñoz</w:t>
            </w:r>
          </w:p>
        </w:tc>
        <w:tc>
          <w:tcPr>
            <w:tcW w:w="1454" w:type="dxa"/>
            <w:shd w:val="clear" w:color="auto" w:fill="auto"/>
          </w:tcPr>
          <w:p w14:paraId="4E8C6490" w14:textId="17205AE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7AFAD2DB" w14:textId="4F4B0F6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21-ago-24</w:t>
            </w:r>
          </w:p>
        </w:tc>
        <w:tc>
          <w:tcPr>
            <w:tcW w:w="1230" w:type="dxa"/>
            <w:shd w:val="clear" w:color="auto" w:fill="auto"/>
          </w:tcPr>
          <w:p w14:paraId="03782701" w14:textId="0D9BB074"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23-ago-24</w:t>
            </w:r>
          </w:p>
        </w:tc>
        <w:tc>
          <w:tcPr>
            <w:tcW w:w="1190" w:type="dxa"/>
            <w:shd w:val="clear" w:color="auto" w:fill="auto"/>
          </w:tcPr>
          <w:p w14:paraId="337D0630" w14:textId="28CCFC2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México</w:t>
            </w:r>
          </w:p>
        </w:tc>
        <w:tc>
          <w:tcPr>
            <w:tcW w:w="1815" w:type="dxa"/>
            <w:shd w:val="clear" w:color="auto" w:fill="auto"/>
          </w:tcPr>
          <w:p w14:paraId="5E633B73" w14:textId="5AF3205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XI Conferencia de la Red Panamericana para la Armonización de la Reglamentación Farmacéutica (CPARF)</w:t>
            </w:r>
          </w:p>
        </w:tc>
        <w:tc>
          <w:tcPr>
            <w:tcW w:w="2134" w:type="dxa"/>
            <w:shd w:val="clear" w:color="auto" w:fill="auto"/>
          </w:tcPr>
          <w:p w14:paraId="1FEC86B7" w14:textId="3C2D7DB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asumen compromisos. </w:t>
            </w:r>
          </w:p>
        </w:tc>
        <w:tc>
          <w:tcPr>
            <w:tcW w:w="1672" w:type="dxa"/>
            <w:shd w:val="clear" w:color="auto" w:fill="auto"/>
          </w:tcPr>
          <w:p w14:paraId="4FF8EF73" w14:textId="383C4E2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Comisión Federal para la Protección contra Riesgos Sanitarios (COFEPRIS)</w:t>
            </w:r>
          </w:p>
        </w:tc>
        <w:tc>
          <w:tcPr>
            <w:tcW w:w="1488" w:type="dxa"/>
            <w:shd w:val="clear" w:color="auto" w:fill="auto"/>
          </w:tcPr>
          <w:p w14:paraId="1C06E7DF" w14:textId="7C8E7631"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4FFA085D" w14:textId="77777777" w:rsidR="00AA261C" w:rsidRPr="00D11949" w:rsidRDefault="00AA261C" w:rsidP="00AA261C">
            <w:pPr>
              <w:spacing w:line="240" w:lineRule="auto"/>
              <w:rPr>
                <w:rFonts w:eastAsia="Times New Roman"/>
                <w:sz w:val="20"/>
                <w:szCs w:val="20"/>
                <w:lang w:val="es-CR" w:eastAsia="es-CR"/>
              </w:rPr>
            </w:pPr>
          </w:p>
        </w:tc>
      </w:tr>
      <w:tr w:rsidR="00AA261C" w:rsidRPr="00D11949" w14:paraId="42F6B8E0" w14:textId="77777777" w:rsidTr="00EC1104">
        <w:trPr>
          <w:trHeight w:val="50"/>
          <w:jc w:val="center"/>
        </w:trPr>
        <w:tc>
          <w:tcPr>
            <w:tcW w:w="1369" w:type="dxa"/>
            <w:shd w:val="clear" w:color="auto" w:fill="auto"/>
          </w:tcPr>
          <w:p w14:paraId="12C1B4A7" w14:textId="1EB40C0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Danny Cascante Álvarez </w:t>
            </w:r>
          </w:p>
        </w:tc>
        <w:tc>
          <w:tcPr>
            <w:tcW w:w="1454" w:type="dxa"/>
            <w:shd w:val="clear" w:color="auto" w:fill="auto"/>
          </w:tcPr>
          <w:p w14:paraId="2C3C23D7" w14:textId="7C3D8BB4"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1A37B94A" w14:textId="60257691"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21-ago-24</w:t>
            </w:r>
          </w:p>
        </w:tc>
        <w:tc>
          <w:tcPr>
            <w:tcW w:w="1230" w:type="dxa"/>
            <w:shd w:val="clear" w:color="auto" w:fill="auto"/>
          </w:tcPr>
          <w:p w14:paraId="66CBF89D" w14:textId="1842946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23-ago-24</w:t>
            </w:r>
          </w:p>
        </w:tc>
        <w:tc>
          <w:tcPr>
            <w:tcW w:w="1190" w:type="dxa"/>
            <w:shd w:val="clear" w:color="auto" w:fill="auto"/>
          </w:tcPr>
          <w:p w14:paraId="3A0D89BC" w14:textId="4D43492B"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México</w:t>
            </w:r>
          </w:p>
        </w:tc>
        <w:tc>
          <w:tcPr>
            <w:tcW w:w="1815" w:type="dxa"/>
            <w:shd w:val="clear" w:color="auto" w:fill="auto"/>
          </w:tcPr>
          <w:p w14:paraId="3469BDF3" w14:textId="295AE119"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XI Conferencia de la Red Panamericana para la Armonización de la Reglamentación Farmacéutica (CPARF)</w:t>
            </w:r>
          </w:p>
        </w:tc>
        <w:tc>
          <w:tcPr>
            <w:tcW w:w="2134" w:type="dxa"/>
            <w:shd w:val="clear" w:color="auto" w:fill="auto"/>
          </w:tcPr>
          <w:p w14:paraId="57A8E626" w14:textId="1E7A33D5"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asumen compromisos. </w:t>
            </w:r>
          </w:p>
        </w:tc>
        <w:tc>
          <w:tcPr>
            <w:tcW w:w="1672" w:type="dxa"/>
            <w:shd w:val="clear" w:color="auto" w:fill="auto"/>
          </w:tcPr>
          <w:p w14:paraId="0592159A" w14:textId="51232B4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Comisión Federal para la Protección contra Riesgos Sanitarios (COFEPRIS)</w:t>
            </w:r>
          </w:p>
        </w:tc>
        <w:tc>
          <w:tcPr>
            <w:tcW w:w="1488" w:type="dxa"/>
            <w:shd w:val="clear" w:color="auto" w:fill="auto"/>
          </w:tcPr>
          <w:p w14:paraId="50536799" w14:textId="4D3F0AEB"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2ABA2A55" w14:textId="77777777" w:rsidR="00AA261C" w:rsidRPr="00D11949" w:rsidRDefault="00AA261C" w:rsidP="00AA261C">
            <w:pPr>
              <w:spacing w:line="240" w:lineRule="auto"/>
              <w:rPr>
                <w:rFonts w:eastAsia="Times New Roman"/>
                <w:sz w:val="20"/>
                <w:szCs w:val="20"/>
                <w:lang w:val="es-CR" w:eastAsia="es-CR"/>
              </w:rPr>
            </w:pPr>
          </w:p>
        </w:tc>
      </w:tr>
      <w:tr w:rsidR="00AA261C" w:rsidRPr="00D11949" w14:paraId="0A27864D" w14:textId="77777777" w:rsidTr="00EC1104">
        <w:trPr>
          <w:trHeight w:val="50"/>
          <w:jc w:val="center"/>
        </w:trPr>
        <w:tc>
          <w:tcPr>
            <w:tcW w:w="1369" w:type="dxa"/>
            <w:shd w:val="clear" w:color="auto" w:fill="auto"/>
          </w:tcPr>
          <w:p w14:paraId="2D079916" w14:textId="0692BCF4"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Andrés Araya Brenes</w:t>
            </w:r>
          </w:p>
        </w:tc>
        <w:tc>
          <w:tcPr>
            <w:tcW w:w="1454" w:type="dxa"/>
            <w:shd w:val="clear" w:color="auto" w:fill="auto"/>
          </w:tcPr>
          <w:p w14:paraId="1788A9E6" w14:textId="46679F7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Regulación de Productos de Interés Sanitario</w:t>
            </w:r>
          </w:p>
        </w:tc>
        <w:tc>
          <w:tcPr>
            <w:tcW w:w="1072" w:type="dxa"/>
            <w:shd w:val="clear" w:color="auto" w:fill="auto"/>
          </w:tcPr>
          <w:p w14:paraId="70EAAC47" w14:textId="105DE61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21-ago-24</w:t>
            </w:r>
          </w:p>
        </w:tc>
        <w:tc>
          <w:tcPr>
            <w:tcW w:w="1230" w:type="dxa"/>
            <w:shd w:val="clear" w:color="auto" w:fill="auto"/>
          </w:tcPr>
          <w:p w14:paraId="75E003D2" w14:textId="7D4FA603"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3-sep-24</w:t>
            </w:r>
          </w:p>
        </w:tc>
        <w:tc>
          <w:tcPr>
            <w:tcW w:w="1190" w:type="dxa"/>
            <w:shd w:val="clear" w:color="auto" w:fill="auto"/>
          </w:tcPr>
          <w:p w14:paraId="2DFF7C03" w14:textId="73A0B5C0"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India</w:t>
            </w:r>
          </w:p>
        </w:tc>
        <w:tc>
          <w:tcPr>
            <w:tcW w:w="1815" w:type="dxa"/>
            <w:shd w:val="clear" w:color="auto" w:fill="auto"/>
          </w:tcPr>
          <w:p w14:paraId="3D454825" w14:textId="4DCB4D4F" w:rsidR="00AA261C" w:rsidRPr="00AA261C" w:rsidRDefault="00AA261C" w:rsidP="00AA261C">
            <w:pPr>
              <w:spacing w:line="240" w:lineRule="auto"/>
              <w:rPr>
                <w:rFonts w:eastAsia="Times New Roman"/>
                <w:sz w:val="20"/>
                <w:szCs w:val="20"/>
                <w:lang w:val="en-US" w:eastAsia="es-CR"/>
              </w:rPr>
            </w:pPr>
            <w:proofErr w:type="spellStart"/>
            <w:r w:rsidRPr="00AA261C">
              <w:rPr>
                <w:rFonts w:eastAsia="Times New Roman"/>
                <w:sz w:val="20"/>
                <w:szCs w:val="20"/>
                <w:lang w:val="en-US" w:eastAsia="es-CR"/>
              </w:rPr>
              <w:t>Curso</w:t>
            </w:r>
            <w:proofErr w:type="spellEnd"/>
            <w:r w:rsidRPr="00AA261C">
              <w:rPr>
                <w:rFonts w:eastAsia="Times New Roman"/>
                <w:sz w:val="20"/>
                <w:szCs w:val="20"/>
                <w:lang w:val="en-US" w:eastAsia="es-CR"/>
              </w:rPr>
              <w:t xml:space="preserve"> de </w:t>
            </w:r>
            <w:proofErr w:type="spellStart"/>
            <w:r w:rsidRPr="00AA261C">
              <w:rPr>
                <w:rFonts w:eastAsia="Times New Roman"/>
                <w:sz w:val="20"/>
                <w:szCs w:val="20"/>
                <w:lang w:val="en-US" w:eastAsia="es-CR"/>
              </w:rPr>
              <w:t>capacitación</w:t>
            </w:r>
            <w:proofErr w:type="spellEnd"/>
            <w:r w:rsidRPr="00AA261C">
              <w:rPr>
                <w:rFonts w:eastAsia="Times New Roman"/>
                <w:sz w:val="20"/>
                <w:szCs w:val="20"/>
                <w:lang w:val="en-US" w:eastAsia="es-CR"/>
              </w:rPr>
              <w:t xml:space="preserve"> "Management of pesticides and their residues for the protection of food crops"</w:t>
            </w:r>
          </w:p>
        </w:tc>
        <w:tc>
          <w:tcPr>
            <w:tcW w:w="2134" w:type="dxa"/>
            <w:shd w:val="clear" w:color="auto" w:fill="auto"/>
          </w:tcPr>
          <w:p w14:paraId="25ED911B" w14:textId="255CDC8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Capacitación a personal de Ventanilla Única para registro de plaguicidas agrícolas. </w:t>
            </w:r>
          </w:p>
        </w:tc>
        <w:tc>
          <w:tcPr>
            <w:tcW w:w="1672" w:type="dxa"/>
            <w:shd w:val="clear" w:color="auto" w:fill="auto"/>
          </w:tcPr>
          <w:p w14:paraId="25E46E3C" w14:textId="7685A4A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Gobierno de India</w:t>
            </w:r>
          </w:p>
        </w:tc>
        <w:tc>
          <w:tcPr>
            <w:tcW w:w="1488" w:type="dxa"/>
            <w:shd w:val="clear" w:color="auto" w:fill="auto"/>
          </w:tcPr>
          <w:p w14:paraId="4765BAD4" w14:textId="000B5512"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24BD3859" w14:textId="77777777" w:rsidR="00AA261C" w:rsidRPr="00D11949" w:rsidRDefault="00AA261C" w:rsidP="00AA261C">
            <w:pPr>
              <w:spacing w:line="240" w:lineRule="auto"/>
              <w:rPr>
                <w:rFonts w:eastAsia="Times New Roman"/>
                <w:sz w:val="20"/>
                <w:szCs w:val="20"/>
                <w:lang w:val="es-CR" w:eastAsia="es-CR"/>
              </w:rPr>
            </w:pPr>
          </w:p>
        </w:tc>
      </w:tr>
      <w:tr w:rsidR="00AA261C" w:rsidRPr="00D11949" w14:paraId="5A8F8C86" w14:textId="77777777" w:rsidTr="00EC1104">
        <w:trPr>
          <w:trHeight w:val="50"/>
          <w:jc w:val="center"/>
        </w:trPr>
        <w:tc>
          <w:tcPr>
            <w:tcW w:w="1369" w:type="dxa"/>
            <w:shd w:val="clear" w:color="auto" w:fill="auto"/>
          </w:tcPr>
          <w:p w14:paraId="0D6FCBE8" w14:textId="7E038A3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Arelis Araya Jiménez</w:t>
            </w:r>
          </w:p>
        </w:tc>
        <w:tc>
          <w:tcPr>
            <w:tcW w:w="1454" w:type="dxa"/>
            <w:shd w:val="clear" w:color="auto" w:fill="auto"/>
          </w:tcPr>
          <w:p w14:paraId="14EE48E5" w14:textId="68DB3A12"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Dirección de Planificación</w:t>
            </w:r>
          </w:p>
        </w:tc>
        <w:tc>
          <w:tcPr>
            <w:tcW w:w="1072" w:type="dxa"/>
            <w:shd w:val="clear" w:color="auto" w:fill="auto"/>
          </w:tcPr>
          <w:p w14:paraId="146F22DB" w14:textId="3D4FC4BE"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27-ago-24</w:t>
            </w:r>
          </w:p>
        </w:tc>
        <w:tc>
          <w:tcPr>
            <w:tcW w:w="1230" w:type="dxa"/>
            <w:shd w:val="clear" w:color="auto" w:fill="auto"/>
          </w:tcPr>
          <w:p w14:paraId="0698DEBD" w14:textId="383B7EB2"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29-ago-24</w:t>
            </w:r>
          </w:p>
        </w:tc>
        <w:tc>
          <w:tcPr>
            <w:tcW w:w="1190" w:type="dxa"/>
            <w:shd w:val="clear" w:color="auto" w:fill="auto"/>
          </w:tcPr>
          <w:p w14:paraId="31A5AE76" w14:textId="5D784C0D" w:rsidR="00AA261C" w:rsidRPr="00D11949" w:rsidRDefault="00AA261C" w:rsidP="00AA261C">
            <w:pPr>
              <w:spacing w:line="240" w:lineRule="auto"/>
              <w:rPr>
                <w:rFonts w:eastAsia="Times New Roman"/>
                <w:sz w:val="20"/>
                <w:szCs w:val="20"/>
                <w:lang w:val="es-ES_tradnl" w:eastAsia="es-CR"/>
              </w:rPr>
            </w:pPr>
            <w:proofErr w:type="gramStart"/>
            <w:r w:rsidRPr="00AA261C">
              <w:rPr>
                <w:rFonts w:eastAsia="Times New Roman"/>
                <w:sz w:val="20"/>
                <w:szCs w:val="20"/>
                <w:lang w:val="es-CR" w:eastAsia="es-CR"/>
              </w:rPr>
              <w:t>EE.UU.</w:t>
            </w:r>
            <w:proofErr w:type="gramEnd"/>
          </w:p>
        </w:tc>
        <w:tc>
          <w:tcPr>
            <w:tcW w:w="1815" w:type="dxa"/>
            <w:shd w:val="clear" w:color="auto" w:fill="auto"/>
          </w:tcPr>
          <w:p w14:paraId="3C22A861" w14:textId="6B0A834F"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Reunión de puntos focales de los Ministerios de Salud de América Latina para fortalecer la respuesta del Sistema de Salud a la violencia contra las mujeres</w:t>
            </w:r>
          </w:p>
        </w:tc>
        <w:tc>
          <w:tcPr>
            <w:tcW w:w="2134" w:type="dxa"/>
            <w:shd w:val="clear" w:color="auto" w:fill="auto"/>
          </w:tcPr>
          <w:p w14:paraId="18A25DF8" w14:textId="0D5C5FD2"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Revisar el curso piloto virtual de la OPS sobre la respuesta de los servicios de salud a la violencia contra las mujeres con el fin de identificar oportunidades de mejora. </w:t>
            </w:r>
          </w:p>
        </w:tc>
        <w:tc>
          <w:tcPr>
            <w:tcW w:w="1672" w:type="dxa"/>
            <w:shd w:val="clear" w:color="auto" w:fill="auto"/>
          </w:tcPr>
          <w:p w14:paraId="27FBA692" w14:textId="2BD4A0FB"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Organización Panamericana de la Salud (OPS)</w:t>
            </w:r>
          </w:p>
        </w:tc>
        <w:tc>
          <w:tcPr>
            <w:tcW w:w="1488" w:type="dxa"/>
            <w:shd w:val="clear" w:color="auto" w:fill="auto"/>
          </w:tcPr>
          <w:p w14:paraId="7C3200B5" w14:textId="17307EA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25521F82" w14:textId="77777777" w:rsidR="00AA261C" w:rsidRPr="00D11949" w:rsidRDefault="00AA261C" w:rsidP="00AA261C">
            <w:pPr>
              <w:spacing w:line="240" w:lineRule="auto"/>
              <w:rPr>
                <w:rFonts w:eastAsia="Times New Roman"/>
                <w:sz w:val="20"/>
                <w:szCs w:val="20"/>
                <w:lang w:val="es-CR" w:eastAsia="es-CR"/>
              </w:rPr>
            </w:pPr>
          </w:p>
        </w:tc>
      </w:tr>
      <w:tr w:rsidR="00AA261C" w:rsidRPr="00D11949" w14:paraId="59A6D412" w14:textId="77777777" w:rsidTr="00EC1104">
        <w:trPr>
          <w:trHeight w:val="50"/>
          <w:jc w:val="center"/>
        </w:trPr>
        <w:tc>
          <w:tcPr>
            <w:tcW w:w="1369" w:type="dxa"/>
            <w:shd w:val="clear" w:color="auto" w:fill="auto"/>
          </w:tcPr>
          <w:p w14:paraId="2EBFF20D" w14:textId="16266F18"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María Fernanda Quirós Oses</w:t>
            </w:r>
          </w:p>
        </w:tc>
        <w:tc>
          <w:tcPr>
            <w:tcW w:w="1454" w:type="dxa"/>
            <w:shd w:val="clear" w:color="auto" w:fill="auto"/>
          </w:tcPr>
          <w:p w14:paraId="14B5B345" w14:textId="5B80A08B"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Dirección General de Salud </w:t>
            </w:r>
          </w:p>
        </w:tc>
        <w:tc>
          <w:tcPr>
            <w:tcW w:w="1072" w:type="dxa"/>
            <w:shd w:val="clear" w:color="auto" w:fill="auto"/>
          </w:tcPr>
          <w:p w14:paraId="19AB09AD" w14:textId="709BD081"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28-ago-24</w:t>
            </w:r>
          </w:p>
        </w:tc>
        <w:tc>
          <w:tcPr>
            <w:tcW w:w="1230" w:type="dxa"/>
            <w:shd w:val="clear" w:color="auto" w:fill="auto"/>
          </w:tcPr>
          <w:p w14:paraId="519F00BF" w14:textId="249AE72A"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30-ago-24</w:t>
            </w:r>
          </w:p>
        </w:tc>
        <w:tc>
          <w:tcPr>
            <w:tcW w:w="1190" w:type="dxa"/>
            <w:shd w:val="clear" w:color="auto" w:fill="auto"/>
          </w:tcPr>
          <w:p w14:paraId="5BEC837D" w14:textId="65A30B4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Colombia</w:t>
            </w:r>
          </w:p>
        </w:tc>
        <w:tc>
          <w:tcPr>
            <w:tcW w:w="1815" w:type="dxa"/>
            <w:shd w:val="clear" w:color="auto" w:fill="auto"/>
          </w:tcPr>
          <w:p w14:paraId="1B7D4607" w14:textId="3AF56908"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Entrenamiento Regional de Multiplicadores para el Fortalecimiento de los Mecanismos de Coordinación y Centros de Operaciones de Emergencias del Sector Salud</w:t>
            </w:r>
          </w:p>
        </w:tc>
        <w:tc>
          <w:tcPr>
            <w:tcW w:w="2134" w:type="dxa"/>
            <w:shd w:val="clear" w:color="auto" w:fill="auto"/>
          </w:tcPr>
          <w:p w14:paraId="2FF4386F" w14:textId="73CB2C7F" w:rsidR="00AA261C" w:rsidRPr="00D11949" w:rsidRDefault="00AA261C" w:rsidP="00AA261C">
            <w:pPr>
              <w:spacing w:line="240" w:lineRule="auto"/>
              <w:jc w:val="center"/>
              <w:rPr>
                <w:rFonts w:eastAsia="Times New Roman"/>
                <w:sz w:val="20"/>
                <w:szCs w:val="20"/>
                <w:lang w:val="es-ES_tradnl" w:eastAsia="es-CR"/>
              </w:rPr>
            </w:pPr>
            <w:r w:rsidRPr="00AA261C">
              <w:rPr>
                <w:rFonts w:eastAsia="Times New Roman"/>
                <w:sz w:val="20"/>
                <w:szCs w:val="20"/>
                <w:lang w:val="es-CR" w:eastAsia="es-CR"/>
              </w:rPr>
              <w:t xml:space="preserve"> --</w:t>
            </w:r>
          </w:p>
        </w:tc>
        <w:tc>
          <w:tcPr>
            <w:tcW w:w="1672" w:type="dxa"/>
            <w:shd w:val="clear" w:color="auto" w:fill="auto"/>
          </w:tcPr>
          <w:p w14:paraId="4725D583" w14:textId="5477071C"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Organización Panamericana de la Salud (OPS)</w:t>
            </w:r>
          </w:p>
        </w:tc>
        <w:tc>
          <w:tcPr>
            <w:tcW w:w="1488" w:type="dxa"/>
            <w:shd w:val="clear" w:color="auto" w:fill="auto"/>
          </w:tcPr>
          <w:p w14:paraId="117CDE9B" w14:textId="7558AA7D" w:rsidR="00AA261C" w:rsidRPr="00D11949" w:rsidRDefault="00AA261C" w:rsidP="00AA261C">
            <w:pPr>
              <w:spacing w:line="240" w:lineRule="auto"/>
              <w:rPr>
                <w:rFonts w:eastAsia="Times New Roman"/>
                <w:sz w:val="20"/>
                <w:szCs w:val="20"/>
                <w:lang w:val="es-ES_tradnl" w:eastAsia="es-CR"/>
              </w:rPr>
            </w:pPr>
            <w:r w:rsidRPr="00AA261C">
              <w:rPr>
                <w:rFonts w:eastAsia="Times New Roman"/>
                <w:sz w:val="20"/>
                <w:szCs w:val="20"/>
                <w:lang w:val="es-CR" w:eastAsia="es-CR"/>
              </w:rPr>
              <w:t xml:space="preserve">No se dan viáticos institucionales. </w:t>
            </w:r>
          </w:p>
        </w:tc>
        <w:tc>
          <w:tcPr>
            <w:tcW w:w="1575" w:type="dxa"/>
            <w:shd w:val="clear" w:color="auto" w:fill="auto"/>
          </w:tcPr>
          <w:p w14:paraId="7E7495E1" w14:textId="65917E23" w:rsidR="00AA261C" w:rsidRPr="00D11949" w:rsidRDefault="00AA261C" w:rsidP="00AA261C">
            <w:pPr>
              <w:spacing w:line="240" w:lineRule="auto"/>
              <w:rPr>
                <w:rFonts w:eastAsia="Times New Roman"/>
                <w:sz w:val="20"/>
                <w:szCs w:val="20"/>
                <w:lang w:val="es-CR" w:eastAsia="es-CR"/>
              </w:rPr>
            </w:pPr>
            <w:r w:rsidRPr="00AA261C">
              <w:rPr>
                <w:rFonts w:eastAsia="Times New Roman"/>
                <w:sz w:val="20"/>
                <w:szCs w:val="20"/>
                <w:lang w:val="es-CR" w:eastAsia="es-CR"/>
              </w:rPr>
              <w:t>Queda sin efecto por medio de los oficios MS-DM-4448-2024 y MS-DM-4449-2024.</w:t>
            </w:r>
          </w:p>
        </w:tc>
      </w:tr>
      <w:tr w:rsidR="00AA261C" w:rsidRPr="00D11949" w14:paraId="0418A5F5" w14:textId="77777777" w:rsidTr="00EC1104">
        <w:trPr>
          <w:trHeight w:val="50"/>
          <w:jc w:val="center"/>
        </w:trPr>
        <w:tc>
          <w:tcPr>
            <w:tcW w:w="14999" w:type="dxa"/>
            <w:gridSpan w:val="10"/>
            <w:shd w:val="clear" w:color="auto" w:fill="0F4761" w:themeFill="accent1" w:themeFillShade="BF"/>
          </w:tcPr>
          <w:p w14:paraId="64CC1398" w14:textId="77777777" w:rsidR="00AA261C" w:rsidRPr="00D11949" w:rsidRDefault="00AA261C" w:rsidP="00AA261C">
            <w:pPr>
              <w:spacing w:line="240" w:lineRule="auto"/>
              <w:jc w:val="center"/>
              <w:rPr>
                <w:rFonts w:eastAsia="Times New Roman"/>
                <w:b/>
                <w:bCs/>
                <w:color w:val="FFFFFF" w:themeColor="background1"/>
                <w:sz w:val="20"/>
                <w:szCs w:val="20"/>
                <w:lang w:val="es-ES_tradnl" w:eastAsia="es-CR"/>
              </w:rPr>
            </w:pPr>
            <w:r w:rsidRPr="00D11949">
              <w:rPr>
                <w:rFonts w:eastAsia="Times New Roman"/>
                <w:b/>
                <w:bCs/>
                <w:color w:val="FFFFFF" w:themeColor="background1"/>
                <w:sz w:val="20"/>
                <w:szCs w:val="20"/>
                <w:lang w:val="es-ES_tradnl" w:eastAsia="es-CR"/>
              </w:rPr>
              <w:t>Última línea</w:t>
            </w:r>
          </w:p>
        </w:tc>
      </w:tr>
    </w:tbl>
    <w:p w14:paraId="307443A6" w14:textId="77777777" w:rsidR="00AA261C" w:rsidRDefault="00AA261C" w:rsidP="005D3D10">
      <w:pPr>
        <w:rPr>
          <w:sz w:val="20"/>
          <w:szCs w:val="20"/>
          <w:lang w:val="es-ES_tradnl"/>
        </w:rPr>
      </w:pPr>
    </w:p>
    <w:p w14:paraId="6EF53E33" w14:textId="6AE6DADE" w:rsidR="0065321F" w:rsidRPr="005D3D10" w:rsidRDefault="005D3D10" w:rsidP="005D3D10">
      <w:r>
        <w:rPr>
          <w:sz w:val="20"/>
          <w:szCs w:val="20"/>
          <w:lang w:val="es-ES_tradnl"/>
        </w:rPr>
        <w:t>Actualizado: 8 de noviembre de 2024.</w:t>
      </w:r>
    </w:p>
    <w:sectPr w:rsidR="0065321F" w:rsidRPr="005D3D10" w:rsidSect="005D3D10">
      <w:headerReference w:type="default" r:id="rId4"/>
      <w:footerReference w:type="default" r:id="rId5"/>
      <w:pgSz w:w="15840" w:h="12240" w:orient="landscape"/>
      <w:pgMar w:top="1440" w:right="1276" w:bottom="1440" w:left="1701" w:header="703" w:footer="95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2C3D7D" w14:textId="77777777" w:rsidR="00AA261C" w:rsidRDefault="00AA261C" w:rsidP="004D61A4">
    <w:pPr>
      <w:spacing w:line="240" w:lineRule="auto"/>
      <w:ind w:right="-40"/>
      <w:jc w:val="center"/>
      <w:rPr>
        <w:b/>
        <w:color w:val="004691"/>
        <w:sz w:val="18"/>
        <w:szCs w:val="18"/>
      </w:rPr>
    </w:pPr>
  </w:p>
  <w:p w14:paraId="043FC84B" w14:textId="77777777" w:rsidR="00AA261C" w:rsidRPr="00976BED" w:rsidRDefault="00AA261C"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1DF39D98" w14:textId="77777777" w:rsidR="00AA261C" w:rsidRPr="00976BED" w:rsidRDefault="00AA261C" w:rsidP="004D61A4">
    <w:pPr>
      <w:spacing w:line="240" w:lineRule="auto"/>
      <w:jc w:val="center"/>
      <w:rPr>
        <w:rFonts w:eastAsia="Calibri"/>
        <w:color w:val="0E2841" w:themeColor="text2"/>
        <w:sz w:val="15"/>
        <w:szCs w:val="15"/>
      </w:rPr>
    </w:pPr>
    <w:hyperlink r:id="rId1" w:history="1">
      <w:r w:rsidRPr="00A83DCD">
        <w:rPr>
          <w:rStyle w:val="Hipervnculo"/>
          <w:rFonts w:eastAsia="Calibri"/>
          <w:sz w:val="15"/>
          <w:szCs w:val="15"/>
        </w:rPr>
        <w:t>internacionales@misalud.go.cr</w:t>
      </w:r>
    </w:hyperlink>
  </w:p>
  <w:p w14:paraId="25F19A79" w14:textId="77777777" w:rsidR="00AA261C" w:rsidRDefault="00AA261C"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40BFEE05" w14:textId="77777777" w:rsidR="00AA261C" w:rsidRDefault="00AA261C" w:rsidP="004D61A4">
    <w:pPr>
      <w:spacing w:line="240" w:lineRule="auto"/>
      <w:jc w:val="center"/>
      <w:rPr>
        <w:rFonts w:eastAsia="Calibri"/>
        <w:color w:val="0E2841" w:themeColor="text2"/>
        <w:sz w:val="15"/>
        <w:szCs w:val="15"/>
      </w:rPr>
    </w:pPr>
    <w:r>
      <w:rPr>
        <w:noProof/>
      </w:rPr>
      <w:drawing>
        <wp:anchor distT="0" distB="0" distL="114300" distR="114300" simplePos="0" relativeHeight="251661312" behindDoc="0" locked="0" layoutInCell="1" allowOverlap="1" wp14:anchorId="09150C5B" wp14:editId="0787B396">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7C0141A1" wp14:editId="573FA9E9">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97E8B0" w14:textId="77777777" w:rsidR="00AA261C" w:rsidRPr="00C617CA" w:rsidRDefault="00AA261C" w:rsidP="00A343F7">
    <w:pPr>
      <w:pStyle w:val="Encabezado"/>
      <w:rPr>
        <w:sz w:val="2"/>
        <w:szCs w:val="2"/>
      </w:rPr>
    </w:pPr>
    <w:r>
      <w:rPr>
        <w:noProof/>
      </w:rPr>
      <w:drawing>
        <wp:anchor distT="0" distB="0" distL="114300" distR="114300" simplePos="0" relativeHeight="251659264" behindDoc="0" locked="0" layoutInCell="1" allowOverlap="1" wp14:anchorId="111D1BB9" wp14:editId="24BD3132">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D10"/>
    <w:rsid w:val="001351F6"/>
    <w:rsid w:val="005D3D10"/>
    <w:rsid w:val="0065321F"/>
    <w:rsid w:val="00A9784E"/>
    <w:rsid w:val="00AA261C"/>
    <w:rsid w:val="00CD0A0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843BC2"/>
  <w15:chartTrackingRefBased/>
  <w15:docId w15:val="{E98EF2D6-B065-42EF-9ADA-E5E25D1E3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3D10"/>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5D3D10"/>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5D3D10"/>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5D3D10"/>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5D3D10"/>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5D3D10"/>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5D3D10"/>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5D3D10"/>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5D3D10"/>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5D3D10"/>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D3D1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5D3D1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5D3D1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5D3D1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5D3D10"/>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5D3D1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5D3D1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5D3D1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5D3D10"/>
    <w:rPr>
      <w:rFonts w:eastAsiaTheme="majorEastAsia" w:cstheme="majorBidi"/>
      <w:color w:val="272727" w:themeColor="text1" w:themeTint="D8"/>
    </w:rPr>
  </w:style>
  <w:style w:type="paragraph" w:styleId="Ttulo">
    <w:name w:val="Title"/>
    <w:basedOn w:val="Normal"/>
    <w:next w:val="Normal"/>
    <w:link w:val="TtuloCar"/>
    <w:uiPriority w:val="10"/>
    <w:qFormat/>
    <w:rsid w:val="005D3D10"/>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5D3D1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D3D10"/>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5D3D1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D3D10"/>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5D3D10"/>
    <w:rPr>
      <w:i/>
      <w:iCs/>
      <w:color w:val="404040" w:themeColor="text1" w:themeTint="BF"/>
    </w:rPr>
  </w:style>
  <w:style w:type="paragraph" w:styleId="Prrafodelista">
    <w:name w:val="List Paragraph"/>
    <w:basedOn w:val="Normal"/>
    <w:uiPriority w:val="34"/>
    <w:qFormat/>
    <w:rsid w:val="005D3D10"/>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5D3D10"/>
    <w:rPr>
      <w:i/>
      <w:iCs/>
      <w:color w:val="0F4761" w:themeColor="accent1" w:themeShade="BF"/>
    </w:rPr>
  </w:style>
  <w:style w:type="paragraph" w:styleId="Citadestacada">
    <w:name w:val="Intense Quote"/>
    <w:basedOn w:val="Normal"/>
    <w:next w:val="Normal"/>
    <w:link w:val="CitadestacadaCar"/>
    <w:uiPriority w:val="30"/>
    <w:qFormat/>
    <w:rsid w:val="005D3D10"/>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5D3D10"/>
    <w:rPr>
      <w:i/>
      <w:iCs/>
      <w:color w:val="0F4761" w:themeColor="accent1" w:themeShade="BF"/>
    </w:rPr>
  </w:style>
  <w:style w:type="character" w:styleId="Referenciaintensa">
    <w:name w:val="Intense Reference"/>
    <w:basedOn w:val="Fuentedeprrafopredeter"/>
    <w:uiPriority w:val="32"/>
    <w:qFormat/>
    <w:rsid w:val="005D3D10"/>
    <w:rPr>
      <w:b/>
      <w:bCs/>
      <w:smallCaps/>
      <w:color w:val="0F4761" w:themeColor="accent1" w:themeShade="BF"/>
      <w:spacing w:val="5"/>
    </w:rPr>
  </w:style>
  <w:style w:type="paragraph" w:styleId="Encabezado">
    <w:name w:val="header"/>
    <w:basedOn w:val="Normal"/>
    <w:link w:val="EncabezadoCar"/>
    <w:uiPriority w:val="99"/>
    <w:unhideWhenUsed/>
    <w:rsid w:val="005D3D1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D3D10"/>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5D3D10"/>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12967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11</Pages>
  <Words>1725</Words>
  <Characters>9489</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1</cp:revision>
  <dcterms:created xsi:type="dcterms:W3CDTF">2024-11-08T16:53:00Z</dcterms:created>
  <dcterms:modified xsi:type="dcterms:W3CDTF">2024-11-08T17:14:00Z</dcterms:modified>
</cp:coreProperties>
</file>