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7837A8" w14:textId="77777777" w:rsidR="00792A27" w:rsidRPr="004D61A4" w:rsidRDefault="00792A27" w:rsidP="00792A27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 w:rsidRPr="004D61A4">
        <w:rPr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76FC011E" w14:textId="036B598B" w:rsidR="00792A27" w:rsidRPr="004D61A4" w:rsidRDefault="00792A27" w:rsidP="00792A27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>
        <w:rPr>
          <w:b/>
          <w:bCs/>
          <w:sz w:val="24"/>
          <w:szCs w:val="24"/>
          <w:lang w:val="es-ES_tradnl"/>
        </w:rPr>
        <w:t xml:space="preserve">Diciembre </w:t>
      </w:r>
      <w:r>
        <w:rPr>
          <w:b/>
          <w:bCs/>
          <w:sz w:val="24"/>
          <w:szCs w:val="24"/>
          <w:lang w:val="es-ES_tradnl"/>
        </w:rPr>
        <w:t>2024</w:t>
      </w:r>
    </w:p>
    <w:p w14:paraId="3CC3DAFA" w14:textId="77777777" w:rsidR="00792A27" w:rsidRPr="004D61A4" w:rsidRDefault="00792A27" w:rsidP="00792A27">
      <w:pPr>
        <w:spacing w:line="240" w:lineRule="auto"/>
        <w:jc w:val="center"/>
        <w:rPr>
          <w:b/>
          <w:bCs/>
          <w:sz w:val="20"/>
          <w:szCs w:val="20"/>
          <w:lang w:val="es-ES_tradnl"/>
        </w:rPr>
      </w:pPr>
    </w:p>
    <w:tbl>
      <w:tblPr>
        <w:tblW w:w="148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60"/>
        <w:gridCol w:w="1263"/>
        <w:gridCol w:w="1007"/>
        <w:gridCol w:w="1230"/>
        <w:gridCol w:w="1079"/>
        <w:gridCol w:w="1986"/>
        <w:gridCol w:w="2056"/>
        <w:gridCol w:w="1986"/>
        <w:gridCol w:w="1452"/>
        <w:gridCol w:w="1578"/>
        <w:gridCol w:w="13"/>
      </w:tblGrid>
      <w:tr w:rsidR="00140DD2" w:rsidRPr="00D11949" w14:paraId="08766D5A" w14:textId="77777777" w:rsidTr="00140DD2">
        <w:trPr>
          <w:gridAfter w:val="1"/>
          <w:wAfter w:w="13" w:type="dxa"/>
          <w:trHeight w:val="697"/>
          <w:tblHeader/>
          <w:jc w:val="center"/>
        </w:trPr>
        <w:tc>
          <w:tcPr>
            <w:tcW w:w="1160" w:type="dxa"/>
            <w:shd w:val="clear" w:color="000000" w:fill="B4C6E7"/>
            <w:vAlign w:val="center"/>
            <w:hideMark/>
          </w:tcPr>
          <w:p w14:paraId="40B4850F" w14:textId="77777777" w:rsidR="00792A27" w:rsidRPr="00D11949" w:rsidRDefault="00792A27" w:rsidP="00096522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Nombre</w:t>
            </w:r>
          </w:p>
        </w:tc>
        <w:tc>
          <w:tcPr>
            <w:tcW w:w="1263" w:type="dxa"/>
            <w:shd w:val="clear" w:color="000000" w:fill="B4C6E7"/>
            <w:vAlign w:val="center"/>
            <w:hideMark/>
          </w:tcPr>
          <w:p w14:paraId="68615AED" w14:textId="77777777" w:rsidR="00792A27" w:rsidRPr="00D11949" w:rsidRDefault="00792A27" w:rsidP="00096522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Dirección </w:t>
            </w:r>
          </w:p>
        </w:tc>
        <w:tc>
          <w:tcPr>
            <w:tcW w:w="1007" w:type="dxa"/>
            <w:shd w:val="clear" w:color="000000" w:fill="B4C6E7"/>
            <w:vAlign w:val="center"/>
            <w:hideMark/>
          </w:tcPr>
          <w:p w14:paraId="79EA2510" w14:textId="77777777" w:rsidR="00792A27" w:rsidRPr="00D11949" w:rsidRDefault="00792A27" w:rsidP="00096522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Fecha de inicio </w:t>
            </w:r>
          </w:p>
        </w:tc>
        <w:tc>
          <w:tcPr>
            <w:tcW w:w="1230" w:type="dxa"/>
            <w:shd w:val="clear" w:color="000000" w:fill="B4C6E7"/>
            <w:vAlign w:val="center"/>
            <w:hideMark/>
          </w:tcPr>
          <w:p w14:paraId="269CD764" w14:textId="77777777" w:rsidR="00792A27" w:rsidRPr="00D11949" w:rsidRDefault="00792A27" w:rsidP="00096522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079" w:type="dxa"/>
            <w:shd w:val="clear" w:color="000000" w:fill="B4C6E7"/>
            <w:vAlign w:val="center"/>
            <w:hideMark/>
          </w:tcPr>
          <w:p w14:paraId="69FFE57A" w14:textId="77777777" w:rsidR="00792A27" w:rsidRPr="00D11949" w:rsidRDefault="00792A27" w:rsidP="00096522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Lugar </w:t>
            </w:r>
          </w:p>
        </w:tc>
        <w:tc>
          <w:tcPr>
            <w:tcW w:w="1986" w:type="dxa"/>
            <w:shd w:val="clear" w:color="000000" w:fill="B4C6E7"/>
            <w:vAlign w:val="center"/>
            <w:hideMark/>
          </w:tcPr>
          <w:p w14:paraId="19136478" w14:textId="77777777" w:rsidR="00792A27" w:rsidRPr="00D11949" w:rsidRDefault="00792A27" w:rsidP="00096522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2056" w:type="dxa"/>
            <w:shd w:val="clear" w:color="000000" w:fill="B4C6E7"/>
            <w:vAlign w:val="center"/>
            <w:hideMark/>
          </w:tcPr>
          <w:p w14:paraId="18021FB2" w14:textId="77777777" w:rsidR="00792A27" w:rsidRPr="00D11949" w:rsidRDefault="00792A27" w:rsidP="00096522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986" w:type="dxa"/>
            <w:shd w:val="clear" w:color="000000" w:fill="B4C6E7"/>
            <w:vAlign w:val="center"/>
            <w:hideMark/>
          </w:tcPr>
          <w:p w14:paraId="2486A9CF" w14:textId="77777777" w:rsidR="00792A27" w:rsidRPr="00D11949" w:rsidRDefault="00792A27" w:rsidP="00096522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Financiado por </w:t>
            </w:r>
          </w:p>
        </w:tc>
        <w:tc>
          <w:tcPr>
            <w:tcW w:w="1452" w:type="dxa"/>
            <w:shd w:val="clear" w:color="000000" w:fill="B4C6E7"/>
            <w:vAlign w:val="center"/>
            <w:hideMark/>
          </w:tcPr>
          <w:p w14:paraId="5D2D423D" w14:textId="77777777" w:rsidR="00792A27" w:rsidRPr="00D11949" w:rsidRDefault="00792A27" w:rsidP="00096522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Viáticos </w:t>
            </w:r>
          </w:p>
        </w:tc>
        <w:tc>
          <w:tcPr>
            <w:tcW w:w="1578" w:type="dxa"/>
            <w:shd w:val="clear" w:color="000000" w:fill="B4C6E7"/>
            <w:vAlign w:val="center"/>
            <w:hideMark/>
          </w:tcPr>
          <w:p w14:paraId="2C530869" w14:textId="77777777" w:rsidR="00792A27" w:rsidRPr="00D11949" w:rsidRDefault="00792A27" w:rsidP="00096522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140DD2" w:rsidRPr="00D11949" w14:paraId="1528F858" w14:textId="77777777" w:rsidTr="00140DD2">
        <w:trPr>
          <w:gridAfter w:val="1"/>
          <w:wAfter w:w="13" w:type="dxa"/>
          <w:trHeight w:val="50"/>
          <w:jc w:val="center"/>
        </w:trPr>
        <w:tc>
          <w:tcPr>
            <w:tcW w:w="1160" w:type="dxa"/>
            <w:shd w:val="clear" w:color="auto" w:fill="auto"/>
          </w:tcPr>
          <w:p w14:paraId="424DDAEE" w14:textId="0E5EF25E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Gloriana Mora Cascante</w:t>
            </w:r>
          </w:p>
        </w:tc>
        <w:tc>
          <w:tcPr>
            <w:tcW w:w="1263" w:type="dxa"/>
            <w:shd w:val="clear" w:color="auto" w:fill="auto"/>
          </w:tcPr>
          <w:p w14:paraId="3FD4B002" w14:textId="6B84C72E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Servicios de Salud </w:t>
            </w:r>
          </w:p>
        </w:tc>
        <w:tc>
          <w:tcPr>
            <w:tcW w:w="1007" w:type="dxa"/>
            <w:shd w:val="clear" w:color="auto" w:fill="auto"/>
          </w:tcPr>
          <w:p w14:paraId="5D710482" w14:textId="48546531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2 de diciembre de 2024</w:t>
            </w:r>
          </w:p>
        </w:tc>
        <w:tc>
          <w:tcPr>
            <w:tcW w:w="1230" w:type="dxa"/>
            <w:shd w:val="clear" w:color="auto" w:fill="auto"/>
          </w:tcPr>
          <w:p w14:paraId="53C6C984" w14:textId="2FE579CA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3 de diciembre de 2024</w:t>
            </w:r>
          </w:p>
        </w:tc>
        <w:tc>
          <w:tcPr>
            <w:tcW w:w="1079" w:type="dxa"/>
            <w:shd w:val="clear" w:color="auto" w:fill="auto"/>
          </w:tcPr>
          <w:p w14:paraId="0C2DA213" w14:textId="05CA6286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Francia</w:t>
            </w:r>
          </w:p>
        </w:tc>
        <w:tc>
          <w:tcPr>
            <w:tcW w:w="1986" w:type="dxa"/>
            <w:shd w:val="clear" w:color="auto" w:fill="auto"/>
          </w:tcPr>
          <w:p w14:paraId="4DAF7391" w14:textId="40325186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36° sesión del Comité de Salud de la OCDE</w:t>
            </w:r>
          </w:p>
        </w:tc>
        <w:tc>
          <w:tcPr>
            <w:tcW w:w="2056" w:type="dxa"/>
            <w:shd w:val="clear" w:color="auto" w:fill="auto"/>
          </w:tcPr>
          <w:p w14:paraId="5EF15226" w14:textId="656E46E9" w:rsidR="00140DD2" w:rsidRPr="008B53C1" w:rsidRDefault="00140DD2" w:rsidP="00140DD2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986" w:type="dxa"/>
            <w:shd w:val="clear" w:color="auto" w:fill="auto"/>
          </w:tcPr>
          <w:p w14:paraId="6AE958CA" w14:textId="52A3528D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Ministerio de Salud de Costa Rica</w:t>
            </w:r>
          </w:p>
        </w:tc>
        <w:tc>
          <w:tcPr>
            <w:tcW w:w="1452" w:type="dxa"/>
            <w:shd w:val="clear" w:color="auto" w:fill="auto"/>
          </w:tcPr>
          <w:p w14:paraId="1500272F" w14:textId="5EA2D95E" w:rsidR="00140DD2" w:rsidRPr="00C63BA0" w:rsidRDefault="00140DD2" w:rsidP="00140DD2">
            <w:pPr>
              <w:spacing w:line="240" w:lineRule="auto"/>
              <w:jc w:val="right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 ₡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756 209,16 </w:t>
            </w:r>
          </w:p>
        </w:tc>
        <w:tc>
          <w:tcPr>
            <w:tcW w:w="1578" w:type="dxa"/>
            <w:shd w:val="clear" w:color="auto" w:fill="auto"/>
          </w:tcPr>
          <w:p w14:paraId="41EBFBD5" w14:textId="77777777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140DD2" w:rsidRPr="00D11949" w14:paraId="0D5FB9FE" w14:textId="77777777" w:rsidTr="00140DD2">
        <w:trPr>
          <w:gridAfter w:val="1"/>
          <w:wAfter w:w="13" w:type="dxa"/>
          <w:trHeight w:val="50"/>
          <w:jc w:val="center"/>
        </w:trPr>
        <w:tc>
          <w:tcPr>
            <w:tcW w:w="1160" w:type="dxa"/>
            <w:shd w:val="clear" w:color="auto" w:fill="auto"/>
          </w:tcPr>
          <w:p w14:paraId="5FCBF2E7" w14:textId="2879C570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Roberto Arroba Tijerino</w:t>
            </w:r>
          </w:p>
        </w:tc>
        <w:tc>
          <w:tcPr>
            <w:tcW w:w="1263" w:type="dxa"/>
            <w:shd w:val="clear" w:color="auto" w:fill="auto"/>
          </w:tcPr>
          <w:p w14:paraId="2E3264D5" w14:textId="62982ECE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1007" w:type="dxa"/>
            <w:shd w:val="clear" w:color="auto" w:fill="auto"/>
          </w:tcPr>
          <w:p w14:paraId="5E52FBD8" w14:textId="70EC4802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2 de diciembre de 2024</w:t>
            </w:r>
          </w:p>
        </w:tc>
        <w:tc>
          <w:tcPr>
            <w:tcW w:w="1230" w:type="dxa"/>
            <w:shd w:val="clear" w:color="auto" w:fill="auto"/>
          </w:tcPr>
          <w:p w14:paraId="30947DB6" w14:textId="4A21772E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4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2024</w:t>
            </w:r>
          </w:p>
        </w:tc>
        <w:tc>
          <w:tcPr>
            <w:tcW w:w="1079" w:type="dxa"/>
            <w:shd w:val="clear" w:color="auto" w:fill="auto"/>
          </w:tcPr>
          <w:p w14:paraId="4BA78CB4" w14:textId="27E4F877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Ecuador</w:t>
            </w:r>
          </w:p>
        </w:tc>
        <w:tc>
          <w:tcPr>
            <w:tcW w:w="1986" w:type="dxa"/>
            <w:shd w:val="clear" w:color="auto" w:fill="auto"/>
          </w:tcPr>
          <w:p w14:paraId="75CDAA35" w14:textId="161CC7AC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Tercera Reunión de la Red Regional de los 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NITAG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las Américas (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RNA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2056" w:type="dxa"/>
            <w:shd w:val="clear" w:color="auto" w:fill="auto"/>
          </w:tcPr>
          <w:p w14:paraId="6E07A4C5" w14:textId="6924CE2D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Reunión de hermanamiento de 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NITAG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Costa Rica con el 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NITAG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Bolivia. Tener reuniones bimensuales entre el 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NITAG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Costa Rica y el 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NITAG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Bolivia. </w:t>
            </w:r>
          </w:p>
        </w:tc>
        <w:tc>
          <w:tcPr>
            <w:tcW w:w="1986" w:type="dxa"/>
            <w:shd w:val="clear" w:color="auto" w:fill="auto"/>
          </w:tcPr>
          <w:p w14:paraId="3648FA99" w14:textId="44067322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OPS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452" w:type="dxa"/>
            <w:shd w:val="clear" w:color="auto" w:fill="auto"/>
          </w:tcPr>
          <w:p w14:paraId="28C2A21D" w14:textId="467BB093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8" w:type="dxa"/>
            <w:shd w:val="clear" w:color="auto" w:fill="auto"/>
          </w:tcPr>
          <w:p w14:paraId="4DD206E7" w14:textId="1231CD59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Las fechas se ajustan por medio del MS-DM-6484-2024.</w:t>
            </w:r>
          </w:p>
        </w:tc>
      </w:tr>
      <w:tr w:rsidR="00140DD2" w:rsidRPr="00D11949" w14:paraId="0BD25221" w14:textId="77777777" w:rsidTr="00140DD2">
        <w:trPr>
          <w:gridAfter w:val="1"/>
          <w:wAfter w:w="13" w:type="dxa"/>
          <w:trHeight w:val="50"/>
          <w:jc w:val="center"/>
        </w:trPr>
        <w:tc>
          <w:tcPr>
            <w:tcW w:w="1160" w:type="dxa"/>
            <w:shd w:val="clear" w:color="auto" w:fill="auto"/>
          </w:tcPr>
          <w:p w14:paraId="2C6EF23B" w14:textId="1B9F8FEC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Carlos Madrigal Díaz</w:t>
            </w:r>
          </w:p>
        </w:tc>
        <w:tc>
          <w:tcPr>
            <w:tcW w:w="1263" w:type="dxa"/>
            <w:shd w:val="clear" w:color="auto" w:fill="auto"/>
          </w:tcPr>
          <w:p w14:paraId="374F9AAD" w14:textId="53611A3D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Dirección de Protección Radiológica y Salud Ambiental</w:t>
            </w:r>
          </w:p>
        </w:tc>
        <w:tc>
          <w:tcPr>
            <w:tcW w:w="1007" w:type="dxa"/>
            <w:shd w:val="clear" w:color="auto" w:fill="auto"/>
          </w:tcPr>
          <w:p w14:paraId="03ED9F24" w14:textId="39CBCDDD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2 de diciembre de 2024</w:t>
            </w:r>
          </w:p>
        </w:tc>
        <w:tc>
          <w:tcPr>
            <w:tcW w:w="1230" w:type="dxa"/>
            <w:shd w:val="clear" w:color="auto" w:fill="auto"/>
          </w:tcPr>
          <w:p w14:paraId="4DFED5B5" w14:textId="73120092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6 de diciembre de 2024</w:t>
            </w:r>
          </w:p>
        </w:tc>
        <w:tc>
          <w:tcPr>
            <w:tcW w:w="1079" w:type="dxa"/>
            <w:shd w:val="clear" w:color="auto" w:fill="auto"/>
          </w:tcPr>
          <w:p w14:paraId="44597258" w14:textId="0C829C46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Austria</w:t>
            </w:r>
          </w:p>
        </w:tc>
        <w:tc>
          <w:tcPr>
            <w:tcW w:w="1986" w:type="dxa"/>
            <w:shd w:val="clear" w:color="auto" w:fill="auto"/>
          </w:tcPr>
          <w:p w14:paraId="368481E5" w14:textId="09B1CF46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Taller sobre la aplicación del Sistema Internacional de Información sobre Monitorización Radiológica</w:t>
            </w:r>
          </w:p>
        </w:tc>
        <w:tc>
          <w:tcPr>
            <w:tcW w:w="2056" w:type="dxa"/>
            <w:shd w:val="clear" w:color="auto" w:fill="auto"/>
          </w:tcPr>
          <w:p w14:paraId="14780590" w14:textId="0569597F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986" w:type="dxa"/>
            <w:shd w:val="clear" w:color="auto" w:fill="auto"/>
          </w:tcPr>
          <w:p w14:paraId="5B7A10D8" w14:textId="359AFEEE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Organismo Internacional de Energía Atómica (OIEA)</w:t>
            </w:r>
          </w:p>
        </w:tc>
        <w:tc>
          <w:tcPr>
            <w:tcW w:w="1452" w:type="dxa"/>
            <w:shd w:val="clear" w:color="auto" w:fill="auto"/>
          </w:tcPr>
          <w:p w14:paraId="74E51CC3" w14:textId="1632C73B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8" w:type="dxa"/>
            <w:shd w:val="clear" w:color="auto" w:fill="auto"/>
          </w:tcPr>
          <w:p w14:paraId="148D4D11" w14:textId="3511E2F3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Queda sin efecto por medio del oficio MS-DM-6562-2024.</w:t>
            </w:r>
          </w:p>
        </w:tc>
      </w:tr>
      <w:tr w:rsidR="00140DD2" w:rsidRPr="00D11949" w14:paraId="5E306240" w14:textId="77777777" w:rsidTr="00140DD2">
        <w:trPr>
          <w:gridAfter w:val="1"/>
          <w:wAfter w:w="13" w:type="dxa"/>
          <w:trHeight w:val="50"/>
          <w:jc w:val="center"/>
        </w:trPr>
        <w:tc>
          <w:tcPr>
            <w:tcW w:w="1160" w:type="dxa"/>
            <w:shd w:val="clear" w:color="auto" w:fill="auto"/>
          </w:tcPr>
          <w:p w14:paraId="1EA5845F" w14:textId="244F6A03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Alejandra Chaverri Esquivel</w:t>
            </w:r>
          </w:p>
        </w:tc>
        <w:tc>
          <w:tcPr>
            <w:tcW w:w="1263" w:type="dxa"/>
            <w:shd w:val="clear" w:color="auto" w:fill="auto"/>
          </w:tcPr>
          <w:p w14:paraId="4ED3F5D2" w14:textId="15A2BB86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Sanitario </w:t>
            </w:r>
          </w:p>
        </w:tc>
        <w:tc>
          <w:tcPr>
            <w:tcW w:w="1007" w:type="dxa"/>
            <w:shd w:val="clear" w:color="auto" w:fill="auto"/>
          </w:tcPr>
          <w:p w14:paraId="348A53CE" w14:textId="29D23AE7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3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2024</w:t>
            </w:r>
          </w:p>
        </w:tc>
        <w:tc>
          <w:tcPr>
            <w:tcW w:w="1230" w:type="dxa"/>
            <w:shd w:val="clear" w:color="auto" w:fill="auto"/>
          </w:tcPr>
          <w:p w14:paraId="39BDC97F" w14:textId="4B1469C4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5 de diciembre de 2024</w:t>
            </w:r>
          </w:p>
        </w:tc>
        <w:tc>
          <w:tcPr>
            <w:tcW w:w="1079" w:type="dxa"/>
            <w:shd w:val="clear" w:color="auto" w:fill="auto"/>
          </w:tcPr>
          <w:p w14:paraId="40E7E7CD" w14:textId="53FA11BB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Chile </w:t>
            </w:r>
          </w:p>
        </w:tc>
        <w:tc>
          <w:tcPr>
            <w:tcW w:w="1986" w:type="dxa"/>
            <w:shd w:val="clear" w:color="auto" w:fill="auto"/>
          </w:tcPr>
          <w:p w14:paraId="1BB47512" w14:textId="3B871C82" w:rsidR="00140DD2" w:rsidRPr="00140DD2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ES_tradnl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 xml:space="preserve">Taller de inicio del Proyecto 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>GCP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>/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>RLA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>/241/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>STDF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 xml:space="preserve"> “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>Improving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 xml:space="preserve"> 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>food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 xml:space="preserve"> safety 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>risk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 xml:space="preserve"> 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>analysis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 xml:space="preserve"> 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>capacity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 xml:space="preserve"> in 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>Latin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 xml:space="preserve"> 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>America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 xml:space="preserve"> 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>through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 xml:space="preserve"> a South-South 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>cooperation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 xml:space="preserve"> 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lastRenderedPageBreak/>
              <w:t>approach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 xml:space="preserve"> 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>to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 xml:space="preserve"> 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>facilitate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 xml:space="preserve"> regional 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>trade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ES_tradnl" w:eastAsia="es-CR"/>
              </w:rPr>
              <w:t>”</w:t>
            </w:r>
          </w:p>
        </w:tc>
        <w:tc>
          <w:tcPr>
            <w:tcW w:w="2056" w:type="dxa"/>
            <w:shd w:val="clear" w:color="auto" w:fill="auto"/>
          </w:tcPr>
          <w:p w14:paraId="74FC05F5" w14:textId="7F98C4F3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Completar y </w:t>
            </w: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remitir</w:t>
            </w: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 hoja de ruta para validación a mediados de 2025, detallando los casos de estudio a realizar, considerando que sean simples, flexibles y en </w:t>
            </w: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cualquier ámbito de 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análisi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riesgo, de manera que se designe un profesional por caso de estudio en el país. Recibir las capacitaciones para cumplir con los casos de estudio priorizados. Ejecutar los casos de estudio priorizados.</w:t>
            </w:r>
          </w:p>
        </w:tc>
        <w:tc>
          <w:tcPr>
            <w:tcW w:w="1986" w:type="dxa"/>
            <w:shd w:val="clear" w:color="auto" w:fill="auto"/>
          </w:tcPr>
          <w:p w14:paraId="037D80B8" w14:textId="22C89F60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n-US" w:eastAsia="es-CR"/>
              </w:rPr>
              <w:lastRenderedPageBreak/>
              <w:t xml:space="preserve">Proyecto GCP/RLA/241/STDF “Improving food safety risk analysis capacity in Latin America through a South-South cooperation </w:t>
            </w:r>
            <w:r w:rsidRPr="00792A27">
              <w:rPr>
                <w:rFonts w:eastAsia="Times New Roman"/>
                <w:sz w:val="20"/>
                <w:szCs w:val="20"/>
                <w:lang w:val="en-US" w:eastAsia="es-CR"/>
              </w:rPr>
              <w:lastRenderedPageBreak/>
              <w:t>approach to facilitate regional trade”</w:t>
            </w:r>
          </w:p>
        </w:tc>
        <w:tc>
          <w:tcPr>
            <w:tcW w:w="1452" w:type="dxa"/>
            <w:shd w:val="clear" w:color="auto" w:fill="auto"/>
          </w:tcPr>
          <w:p w14:paraId="00BFB7F0" w14:textId="0596F60D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No se dan viáticos institucionales.</w:t>
            </w:r>
          </w:p>
        </w:tc>
        <w:tc>
          <w:tcPr>
            <w:tcW w:w="1578" w:type="dxa"/>
            <w:shd w:val="clear" w:color="auto" w:fill="auto"/>
          </w:tcPr>
          <w:p w14:paraId="5600224A" w14:textId="77777777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140DD2" w:rsidRPr="00D11949" w14:paraId="382F4C68" w14:textId="77777777" w:rsidTr="00140DD2">
        <w:trPr>
          <w:gridAfter w:val="1"/>
          <w:wAfter w:w="13" w:type="dxa"/>
          <w:trHeight w:val="50"/>
          <w:jc w:val="center"/>
        </w:trPr>
        <w:tc>
          <w:tcPr>
            <w:tcW w:w="1160" w:type="dxa"/>
            <w:shd w:val="clear" w:color="auto" w:fill="auto"/>
          </w:tcPr>
          <w:p w14:paraId="01360FBD" w14:textId="0B6A11D7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Carolina Mora Rojas</w:t>
            </w:r>
          </w:p>
        </w:tc>
        <w:tc>
          <w:tcPr>
            <w:tcW w:w="1263" w:type="dxa"/>
            <w:shd w:val="clear" w:color="auto" w:fill="auto"/>
          </w:tcPr>
          <w:p w14:paraId="12067B03" w14:textId="7F3B12A9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Sanitario </w:t>
            </w:r>
          </w:p>
        </w:tc>
        <w:tc>
          <w:tcPr>
            <w:tcW w:w="1007" w:type="dxa"/>
            <w:shd w:val="clear" w:color="auto" w:fill="auto"/>
          </w:tcPr>
          <w:p w14:paraId="1DA9E228" w14:textId="5DA22E50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3 de diciembre de 2024</w:t>
            </w:r>
          </w:p>
        </w:tc>
        <w:tc>
          <w:tcPr>
            <w:tcW w:w="1230" w:type="dxa"/>
            <w:shd w:val="clear" w:color="auto" w:fill="auto"/>
          </w:tcPr>
          <w:p w14:paraId="1955E320" w14:textId="1B3848B8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5 de diciembre de 2024</w:t>
            </w:r>
          </w:p>
        </w:tc>
        <w:tc>
          <w:tcPr>
            <w:tcW w:w="1079" w:type="dxa"/>
            <w:shd w:val="clear" w:color="auto" w:fill="auto"/>
          </w:tcPr>
          <w:p w14:paraId="0EF70281" w14:textId="37CE3E5D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Perú</w:t>
            </w:r>
          </w:p>
        </w:tc>
        <w:tc>
          <w:tcPr>
            <w:tcW w:w="1986" w:type="dxa"/>
            <w:shd w:val="clear" w:color="auto" w:fill="auto"/>
          </w:tcPr>
          <w:p w14:paraId="3527CFB7" w14:textId="7E3B4714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Curso de Capacitación General sobre la Convención de Armas Químicas para el personal de las autoridades nacionales y partes interesadas relevantes</w:t>
            </w:r>
          </w:p>
        </w:tc>
        <w:tc>
          <w:tcPr>
            <w:tcW w:w="2056" w:type="dxa"/>
            <w:shd w:val="clear" w:color="auto" w:fill="auto"/>
          </w:tcPr>
          <w:p w14:paraId="53586E31" w14:textId="4322CD8A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986" w:type="dxa"/>
            <w:shd w:val="clear" w:color="auto" w:fill="auto"/>
          </w:tcPr>
          <w:p w14:paraId="028833AB" w14:textId="293409F7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Organización para la Prohibición de las Armas Químicas (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OPAQ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452" w:type="dxa"/>
            <w:shd w:val="clear" w:color="auto" w:fill="auto"/>
          </w:tcPr>
          <w:p w14:paraId="3E32EB75" w14:textId="4C6F129C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8" w:type="dxa"/>
            <w:shd w:val="clear" w:color="auto" w:fill="auto"/>
          </w:tcPr>
          <w:p w14:paraId="427FB428" w14:textId="77777777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140DD2" w:rsidRPr="00D11949" w14:paraId="27E78420" w14:textId="77777777" w:rsidTr="00140DD2">
        <w:trPr>
          <w:gridAfter w:val="1"/>
          <w:wAfter w:w="13" w:type="dxa"/>
          <w:trHeight w:val="50"/>
          <w:jc w:val="center"/>
        </w:trPr>
        <w:tc>
          <w:tcPr>
            <w:tcW w:w="1160" w:type="dxa"/>
            <w:shd w:val="clear" w:color="auto" w:fill="auto"/>
          </w:tcPr>
          <w:p w14:paraId="0992FE83" w14:textId="5EBC75DC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Mariannela Villalobos Cortés</w:t>
            </w:r>
          </w:p>
        </w:tc>
        <w:tc>
          <w:tcPr>
            <w:tcW w:w="1263" w:type="dxa"/>
            <w:shd w:val="clear" w:color="auto" w:fill="auto"/>
          </w:tcPr>
          <w:p w14:paraId="673A9B10" w14:textId="7F025E25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Servicios de Salud </w:t>
            </w:r>
          </w:p>
        </w:tc>
        <w:tc>
          <w:tcPr>
            <w:tcW w:w="1007" w:type="dxa"/>
            <w:shd w:val="clear" w:color="auto" w:fill="auto"/>
          </w:tcPr>
          <w:p w14:paraId="4E5BACD9" w14:textId="40752FD7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4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2024</w:t>
            </w:r>
          </w:p>
        </w:tc>
        <w:tc>
          <w:tcPr>
            <w:tcW w:w="1230" w:type="dxa"/>
            <w:shd w:val="clear" w:color="auto" w:fill="auto"/>
          </w:tcPr>
          <w:p w14:paraId="2E02DA39" w14:textId="588A6F0B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6 de diciembre de 2024</w:t>
            </w:r>
          </w:p>
        </w:tc>
        <w:tc>
          <w:tcPr>
            <w:tcW w:w="1079" w:type="dxa"/>
            <w:shd w:val="clear" w:color="auto" w:fill="auto"/>
          </w:tcPr>
          <w:p w14:paraId="3E7A8AEF" w14:textId="71EF8FF8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Brasil</w:t>
            </w:r>
          </w:p>
        </w:tc>
        <w:tc>
          <w:tcPr>
            <w:tcW w:w="1986" w:type="dxa"/>
            <w:shd w:val="clear" w:color="auto" w:fill="auto"/>
          </w:tcPr>
          <w:p w14:paraId="7E30BE93" w14:textId="0E7308C5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Reunión Regional de Cuentas de Salud 2024: Producción y uso efectivo para apoyar la transformación de los sistemas de salud</w:t>
            </w:r>
          </w:p>
        </w:tc>
        <w:tc>
          <w:tcPr>
            <w:tcW w:w="2056" w:type="dxa"/>
            <w:shd w:val="clear" w:color="auto" w:fill="auto"/>
          </w:tcPr>
          <w:p w14:paraId="2F0BFFBF" w14:textId="6E2421CA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986" w:type="dxa"/>
            <w:shd w:val="clear" w:color="auto" w:fill="auto"/>
          </w:tcPr>
          <w:p w14:paraId="7A5EFD0D" w14:textId="7B31335F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OPS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452" w:type="dxa"/>
            <w:shd w:val="clear" w:color="auto" w:fill="auto"/>
          </w:tcPr>
          <w:p w14:paraId="291EE48B" w14:textId="298CC06B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8" w:type="dxa"/>
            <w:shd w:val="clear" w:color="auto" w:fill="auto"/>
          </w:tcPr>
          <w:p w14:paraId="2132760D" w14:textId="17BE9AEC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 </w:t>
            </w:r>
          </w:p>
        </w:tc>
      </w:tr>
      <w:tr w:rsidR="00140DD2" w:rsidRPr="00D11949" w14:paraId="5B15F667" w14:textId="77777777" w:rsidTr="00140DD2">
        <w:trPr>
          <w:gridAfter w:val="1"/>
          <w:wAfter w:w="13" w:type="dxa"/>
          <w:trHeight w:val="50"/>
          <w:jc w:val="center"/>
        </w:trPr>
        <w:tc>
          <w:tcPr>
            <w:tcW w:w="1160" w:type="dxa"/>
            <w:shd w:val="clear" w:color="auto" w:fill="auto"/>
          </w:tcPr>
          <w:p w14:paraId="77C48A53" w14:textId="0649FF3E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Roberto Castro Córdoba</w:t>
            </w:r>
          </w:p>
        </w:tc>
        <w:tc>
          <w:tcPr>
            <w:tcW w:w="1263" w:type="dxa"/>
            <w:shd w:val="clear" w:color="auto" w:fill="auto"/>
          </w:tcPr>
          <w:p w14:paraId="49FB9607" w14:textId="5FD1A724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1007" w:type="dxa"/>
            <w:shd w:val="clear" w:color="auto" w:fill="auto"/>
          </w:tcPr>
          <w:p w14:paraId="53B75865" w14:textId="5DABB119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2024</w:t>
            </w:r>
          </w:p>
        </w:tc>
        <w:tc>
          <w:tcPr>
            <w:tcW w:w="1230" w:type="dxa"/>
            <w:shd w:val="clear" w:color="auto" w:fill="auto"/>
          </w:tcPr>
          <w:p w14:paraId="3BC6E9F7" w14:textId="3D118139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6 de diciembre de 2024</w:t>
            </w:r>
          </w:p>
        </w:tc>
        <w:tc>
          <w:tcPr>
            <w:tcW w:w="1079" w:type="dxa"/>
            <w:shd w:val="clear" w:color="auto" w:fill="auto"/>
          </w:tcPr>
          <w:p w14:paraId="590A8950" w14:textId="3C7F113A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Brasil</w:t>
            </w:r>
          </w:p>
        </w:tc>
        <w:tc>
          <w:tcPr>
            <w:tcW w:w="1986" w:type="dxa"/>
            <w:shd w:val="clear" w:color="auto" w:fill="auto"/>
          </w:tcPr>
          <w:p w14:paraId="0442A113" w14:textId="71C4BBF4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Segunda Reunión sobre Inteligencia Epidémica en la Región de las Américas</w:t>
            </w:r>
          </w:p>
        </w:tc>
        <w:tc>
          <w:tcPr>
            <w:tcW w:w="2056" w:type="dxa"/>
            <w:shd w:val="clear" w:color="auto" w:fill="auto"/>
          </w:tcPr>
          <w:p w14:paraId="0B2A15AB" w14:textId="236B7056" w:rsidR="00140DD2" w:rsidRPr="009E4C66" w:rsidRDefault="00140DD2" w:rsidP="00140DD2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986" w:type="dxa"/>
            <w:shd w:val="clear" w:color="auto" w:fill="auto"/>
          </w:tcPr>
          <w:p w14:paraId="688E0AB3" w14:textId="6BC14DE9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OPS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452" w:type="dxa"/>
            <w:shd w:val="clear" w:color="auto" w:fill="auto"/>
          </w:tcPr>
          <w:p w14:paraId="2C3D5D1B" w14:textId="71D6C619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8" w:type="dxa"/>
            <w:shd w:val="clear" w:color="auto" w:fill="auto"/>
          </w:tcPr>
          <w:p w14:paraId="492993C0" w14:textId="577AA0FF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Queda sin efecto por medio del oficio del MS-DM-6685-2024.</w:t>
            </w:r>
          </w:p>
        </w:tc>
      </w:tr>
      <w:tr w:rsidR="00140DD2" w:rsidRPr="00D11949" w14:paraId="3335825E" w14:textId="77777777" w:rsidTr="00140DD2">
        <w:trPr>
          <w:gridAfter w:val="1"/>
          <w:wAfter w:w="13" w:type="dxa"/>
          <w:trHeight w:val="50"/>
          <w:jc w:val="center"/>
        </w:trPr>
        <w:tc>
          <w:tcPr>
            <w:tcW w:w="1160" w:type="dxa"/>
            <w:shd w:val="clear" w:color="auto" w:fill="auto"/>
          </w:tcPr>
          <w:p w14:paraId="749ABC75" w14:textId="167F307B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Eric Brenes Gómez</w:t>
            </w:r>
          </w:p>
        </w:tc>
        <w:tc>
          <w:tcPr>
            <w:tcW w:w="1263" w:type="dxa"/>
            <w:shd w:val="clear" w:color="auto" w:fill="auto"/>
          </w:tcPr>
          <w:p w14:paraId="6F3CDC0C" w14:textId="287389FE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Área Rectora de Salud Parrita</w:t>
            </w:r>
          </w:p>
        </w:tc>
        <w:tc>
          <w:tcPr>
            <w:tcW w:w="1007" w:type="dxa"/>
            <w:shd w:val="clear" w:color="auto" w:fill="auto"/>
          </w:tcPr>
          <w:p w14:paraId="0CD2A8D5" w14:textId="4827A805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2024</w:t>
            </w:r>
          </w:p>
        </w:tc>
        <w:tc>
          <w:tcPr>
            <w:tcW w:w="1230" w:type="dxa"/>
            <w:shd w:val="clear" w:color="auto" w:fill="auto"/>
          </w:tcPr>
          <w:p w14:paraId="08A39939" w14:textId="3DCE5D1E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6 de diciembre de 2024</w:t>
            </w:r>
          </w:p>
        </w:tc>
        <w:tc>
          <w:tcPr>
            <w:tcW w:w="1079" w:type="dxa"/>
            <w:shd w:val="clear" w:color="auto" w:fill="auto"/>
          </w:tcPr>
          <w:p w14:paraId="0739C8C6" w14:textId="66EBF84C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Brasil</w:t>
            </w:r>
          </w:p>
        </w:tc>
        <w:tc>
          <w:tcPr>
            <w:tcW w:w="1986" w:type="dxa"/>
            <w:shd w:val="clear" w:color="auto" w:fill="auto"/>
          </w:tcPr>
          <w:p w14:paraId="4ED7F5B9" w14:textId="05A16DF4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Segunda Reunión sobre Inteligencia Epidémica en la Región de las Américas</w:t>
            </w:r>
          </w:p>
        </w:tc>
        <w:tc>
          <w:tcPr>
            <w:tcW w:w="2056" w:type="dxa"/>
            <w:shd w:val="clear" w:color="auto" w:fill="auto"/>
          </w:tcPr>
          <w:p w14:paraId="4DFA90F9" w14:textId="1D03E429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986" w:type="dxa"/>
            <w:shd w:val="clear" w:color="auto" w:fill="auto"/>
          </w:tcPr>
          <w:p w14:paraId="20988756" w14:textId="3954CD6A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OPS</w:t>
            </w:r>
            <w:proofErr w:type="spellEnd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452" w:type="dxa"/>
            <w:shd w:val="clear" w:color="auto" w:fill="auto"/>
          </w:tcPr>
          <w:p w14:paraId="168CB0C8" w14:textId="05593128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8" w:type="dxa"/>
            <w:shd w:val="clear" w:color="auto" w:fill="auto"/>
          </w:tcPr>
          <w:p w14:paraId="2E66A786" w14:textId="49BF703F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Queda sin efecto por medio del oficio del MS-DM-6685-2024.</w:t>
            </w:r>
          </w:p>
        </w:tc>
      </w:tr>
      <w:tr w:rsidR="00140DD2" w:rsidRPr="00D11949" w14:paraId="6A9FEEC0" w14:textId="77777777" w:rsidTr="00140DD2">
        <w:trPr>
          <w:gridAfter w:val="1"/>
          <w:wAfter w:w="13" w:type="dxa"/>
          <w:trHeight w:val="50"/>
          <w:jc w:val="center"/>
        </w:trPr>
        <w:tc>
          <w:tcPr>
            <w:tcW w:w="1160" w:type="dxa"/>
            <w:shd w:val="clear" w:color="auto" w:fill="auto"/>
          </w:tcPr>
          <w:p w14:paraId="26D71CF4" w14:textId="7FCBDF59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Lady Fonseca Castro</w:t>
            </w:r>
          </w:p>
        </w:tc>
        <w:tc>
          <w:tcPr>
            <w:tcW w:w="1263" w:type="dxa"/>
            <w:shd w:val="clear" w:color="auto" w:fill="auto"/>
          </w:tcPr>
          <w:p w14:paraId="257E7716" w14:textId="4B446885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Planificación </w:t>
            </w:r>
          </w:p>
        </w:tc>
        <w:tc>
          <w:tcPr>
            <w:tcW w:w="1007" w:type="dxa"/>
            <w:shd w:val="clear" w:color="auto" w:fill="auto"/>
          </w:tcPr>
          <w:p w14:paraId="7FAB548A" w14:textId="3AD7B19E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6</w:t>
            </w:r>
            <w:r>
              <w:rPr>
                <w:rFonts w:eastAsia="Times New Roman"/>
                <w:sz w:val="20"/>
                <w:szCs w:val="20"/>
                <w:lang w:val="es-CR" w:eastAsia="es-CR"/>
              </w:rPr>
              <w:t xml:space="preserve"> de diciembre de 2024</w:t>
            </w:r>
          </w:p>
        </w:tc>
        <w:tc>
          <w:tcPr>
            <w:tcW w:w="1230" w:type="dxa"/>
            <w:shd w:val="clear" w:color="auto" w:fill="auto"/>
          </w:tcPr>
          <w:p w14:paraId="6AD73242" w14:textId="4658F6CD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6 de diciembre de 2024</w:t>
            </w:r>
          </w:p>
        </w:tc>
        <w:tc>
          <w:tcPr>
            <w:tcW w:w="1079" w:type="dxa"/>
            <w:shd w:val="clear" w:color="auto" w:fill="auto"/>
          </w:tcPr>
          <w:p w14:paraId="5CAFFF31" w14:textId="6E4615B8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986" w:type="dxa"/>
            <w:shd w:val="clear" w:color="auto" w:fill="auto"/>
          </w:tcPr>
          <w:p w14:paraId="66DDE652" w14:textId="11BC188D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Taller Regional de Socialización y Validación del Plan de Acción Regional de la Política de Seguridad Alimentaria y Nutricional de Centroamérica y República Dominicana</w:t>
            </w:r>
          </w:p>
        </w:tc>
        <w:tc>
          <w:tcPr>
            <w:tcW w:w="2056" w:type="dxa"/>
            <w:shd w:val="clear" w:color="auto" w:fill="auto"/>
          </w:tcPr>
          <w:p w14:paraId="69D9CABA" w14:textId="7806917E" w:rsidR="00140DD2" w:rsidRPr="008B53C1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986" w:type="dxa"/>
            <w:shd w:val="clear" w:color="auto" w:fill="auto"/>
          </w:tcPr>
          <w:p w14:paraId="634333D6" w14:textId="2F08786C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 xml:space="preserve">Secretaría General del SICA con la cooperación financiera de FAO y </w:t>
            </w:r>
            <w:proofErr w:type="spellStart"/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PMA</w:t>
            </w:r>
            <w:proofErr w:type="spellEnd"/>
          </w:p>
        </w:tc>
        <w:tc>
          <w:tcPr>
            <w:tcW w:w="1452" w:type="dxa"/>
            <w:shd w:val="clear" w:color="auto" w:fill="auto"/>
          </w:tcPr>
          <w:p w14:paraId="242872A8" w14:textId="7300A591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No se dan viáticos institucionales.</w:t>
            </w:r>
          </w:p>
        </w:tc>
        <w:tc>
          <w:tcPr>
            <w:tcW w:w="1578" w:type="dxa"/>
            <w:shd w:val="clear" w:color="auto" w:fill="auto"/>
          </w:tcPr>
          <w:p w14:paraId="3EC36FAC" w14:textId="7ADC9FD0" w:rsidR="00140DD2" w:rsidRPr="00C63BA0" w:rsidRDefault="00140DD2" w:rsidP="00140DD2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792A27">
              <w:rPr>
                <w:rFonts w:eastAsia="Times New Roman"/>
                <w:sz w:val="20"/>
                <w:szCs w:val="20"/>
                <w:lang w:val="es-CR" w:eastAsia="es-CR"/>
              </w:rPr>
              <w:t>Queda sin efecto por medio del oficio MS-DM-6839-2024.</w:t>
            </w:r>
          </w:p>
        </w:tc>
      </w:tr>
      <w:tr w:rsidR="00140DD2" w:rsidRPr="00D11949" w14:paraId="24DC6AD5" w14:textId="77777777" w:rsidTr="00096522">
        <w:trPr>
          <w:trHeight w:val="50"/>
          <w:jc w:val="center"/>
        </w:trPr>
        <w:tc>
          <w:tcPr>
            <w:tcW w:w="14810" w:type="dxa"/>
            <w:gridSpan w:val="11"/>
            <w:shd w:val="clear" w:color="auto" w:fill="0F4761" w:themeFill="accent1" w:themeFillShade="BF"/>
          </w:tcPr>
          <w:p w14:paraId="61661910" w14:textId="77777777" w:rsidR="00140DD2" w:rsidRPr="00D11949" w:rsidRDefault="00140DD2" w:rsidP="00140DD2">
            <w:pPr>
              <w:spacing w:line="240" w:lineRule="auto"/>
              <w:jc w:val="center"/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36FB360F" w14:textId="77777777" w:rsidR="00792A27" w:rsidRDefault="00792A27" w:rsidP="00792A27">
      <w:pPr>
        <w:spacing w:line="240" w:lineRule="auto"/>
        <w:rPr>
          <w:sz w:val="20"/>
          <w:szCs w:val="20"/>
          <w:lang w:val="es-ES_tradnl"/>
        </w:rPr>
      </w:pPr>
    </w:p>
    <w:p w14:paraId="5E55BEA1" w14:textId="77777777" w:rsidR="00792A27" w:rsidRDefault="00792A27" w:rsidP="00792A27">
      <w:pPr>
        <w:spacing w:line="240" w:lineRule="auto"/>
      </w:pPr>
      <w:r>
        <w:rPr>
          <w:sz w:val="20"/>
          <w:szCs w:val="20"/>
          <w:lang w:val="es-ES_tradnl"/>
        </w:rPr>
        <w:t>Actualizado: 14 de febrero de 2025.</w:t>
      </w:r>
    </w:p>
    <w:sectPr w:rsidR="00792A27" w:rsidSect="00792A27">
      <w:headerReference w:type="default" r:id="rId4"/>
      <w:footerReference w:type="default" r:id="rId5"/>
      <w:pgSz w:w="15840" w:h="12240" w:orient="landscape"/>
      <w:pgMar w:top="1440" w:right="1276" w:bottom="1440" w:left="1701" w:header="703" w:footer="956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C2996B" w14:textId="77777777" w:rsidR="00140DD2" w:rsidRDefault="00140DD2" w:rsidP="004D61A4">
    <w:pPr>
      <w:spacing w:line="240" w:lineRule="auto"/>
      <w:ind w:right="-40"/>
      <w:jc w:val="center"/>
      <w:rPr>
        <w:b/>
        <w:color w:val="004691"/>
        <w:sz w:val="18"/>
        <w:szCs w:val="18"/>
      </w:rPr>
    </w:pPr>
  </w:p>
  <w:p w14:paraId="56847D7B" w14:textId="77777777" w:rsidR="00140DD2" w:rsidRPr="00976BED" w:rsidRDefault="00140DD2" w:rsidP="004D61A4">
    <w:pPr>
      <w:spacing w:line="240" w:lineRule="auto"/>
      <w:jc w:val="center"/>
      <w:rPr>
        <w:rFonts w:eastAsia="Calibri"/>
        <w:b/>
        <w:color w:val="0E2841" w:themeColor="text2"/>
        <w:sz w:val="15"/>
        <w:szCs w:val="15"/>
      </w:rPr>
    </w:pPr>
    <w:r>
      <w:rPr>
        <w:rFonts w:eastAsia="Calibri"/>
        <w:b/>
        <w:color w:val="0E2841" w:themeColor="text2"/>
        <w:sz w:val="15"/>
        <w:szCs w:val="15"/>
      </w:rPr>
      <w:t xml:space="preserve">Unidad de Relaciones Internacionales </w:t>
    </w:r>
  </w:p>
  <w:p w14:paraId="33CEA8D5" w14:textId="77777777" w:rsidR="00140DD2" w:rsidRPr="00976BED" w:rsidRDefault="00140DD2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hyperlink r:id="rId1" w:history="1">
      <w:r w:rsidRPr="00A83DCD">
        <w:rPr>
          <w:rStyle w:val="Hipervnculo"/>
          <w:rFonts w:eastAsia="Calibri"/>
          <w:sz w:val="15"/>
          <w:szCs w:val="15"/>
        </w:rPr>
        <w:t>internacionales@misalud.go.cr</w:t>
      </w:r>
    </w:hyperlink>
  </w:p>
  <w:p w14:paraId="1A2FC25B" w14:textId="77777777" w:rsidR="00140DD2" w:rsidRDefault="00140DD2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 w:rsidRPr="00976BED">
      <w:rPr>
        <w:rFonts w:eastAsia="Calibri"/>
        <w:color w:val="0E2841" w:themeColor="text2"/>
        <w:sz w:val="15"/>
        <w:szCs w:val="15"/>
      </w:rPr>
      <w:t xml:space="preserve">Tel. </w:t>
    </w:r>
    <w:r>
      <w:rPr>
        <w:rFonts w:eastAsia="Calibri"/>
        <w:color w:val="0E2841" w:themeColor="text2"/>
        <w:sz w:val="15"/>
        <w:szCs w:val="15"/>
      </w:rPr>
      <w:t>4003-5182</w:t>
    </w:r>
  </w:p>
  <w:p w14:paraId="353FE1C5" w14:textId="77777777" w:rsidR="00140DD2" w:rsidRDefault="00140DD2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68790C48" wp14:editId="06D9265D">
          <wp:simplePos x="0" y="0"/>
          <wp:positionH relativeFrom="page">
            <wp:align>left</wp:align>
          </wp:positionH>
          <wp:positionV relativeFrom="paragraph">
            <wp:posOffset>229870</wp:posOffset>
          </wp:positionV>
          <wp:extent cx="10052685" cy="545465"/>
          <wp:effectExtent l="0" t="0" r="5715" b="6985"/>
          <wp:wrapSquare wrapText="bothSides"/>
          <wp:docPr id="1034257927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53A16918" wp14:editId="7249971B">
          <wp:simplePos x="0" y="0"/>
          <wp:positionH relativeFrom="page">
            <wp:align>right</wp:align>
          </wp:positionH>
          <wp:positionV relativeFrom="paragraph">
            <wp:posOffset>1120140</wp:posOffset>
          </wp:positionV>
          <wp:extent cx="7766685" cy="545465"/>
          <wp:effectExtent l="0" t="0" r="5715" b="6985"/>
          <wp:wrapNone/>
          <wp:docPr id="936501021" name="Imagen 9365010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053EA" w14:textId="77777777" w:rsidR="00140DD2" w:rsidRPr="00C617CA" w:rsidRDefault="00140DD2" w:rsidP="00A343F7">
    <w:pPr>
      <w:pStyle w:val="Encabezado"/>
      <w:rPr>
        <w:sz w:val="2"/>
        <w:szCs w:val="2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185E904C" wp14:editId="7ED264FC">
          <wp:simplePos x="0" y="0"/>
          <wp:positionH relativeFrom="page">
            <wp:align>left</wp:align>
          </wp:positionH>
          <wp:positionV relativeFrom="paragraph">
            <wp:posOffset>-436880</wp:posOffset>
          </wp:positionV>
          <wp:extent cx="10052685" cy="1269365"/>
          <wp:effectExtent l="0" t="0" r="5715" b="6985"/>
          <wp:wrapSquare wrapText="bothSides"/>
          <wp:docPr id="1259221905" name="Imagen 1259221905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1269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2A27"/>
    <w:rsid w:val="000B5390"/>
    <w:rsid w:val="001351F6"/>
    <w:rsid w:val="00140DD2"/>
    <w:rsid w:val="0065321F"/>
    <w:rsid w:val="00792A27"/>
    <w:rsid w:val="00A97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838BD"/>
  <w15:chartTrackingRefBased/>
  <w15:docId w15:val="{6885A067-D145-4C3B-90D4-CFD85C10D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2A27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792A27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92A27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92A27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92A27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92A27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92A27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92A27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92A27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92A27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92A2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92A2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92A2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92A2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92A27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92A2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92A2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92A2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92A2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92A2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792A2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92A27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792A2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92A27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792A2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792A2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es-CR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792A2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92A2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92A27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92A27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792A27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92A27"/>
    <w:rPr>
      <w:rFonts w:ascii="Arial" w:eastAsia="Arial" w:hAnsi="Arial" w:cs="Arial"/>
      <w:kern w:val="0"/>
      <w:lang w:val="es-419" w:eastAsia="es-ES"/>
      <w14:ligatures w14:val="none"/>
    </w:rPr>
  </w:style>
  <w:style w:type="character" w:styleId="Hipervnculo">
    <w:name w:val="Hyperlink"/>
    <w:basedOn w:val="Fuentedeprrafopredeter"/>
    <w:uiPriority w:val="99"/>
    <w:unhideWhenUsed/>
    <w:rsid w:val="00792A27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2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632</Words>
  <Characters>3478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1</cp:revision>
  <dcterms:created xsi:type="dcterms:W3CDTF">2025-02-14T15:54:00Z</dcterms:created>
  <dcterms:modified xsi:type="dcterms:W3CDTF">2025-02-14T16:32:00Z</dcterms:modified>
</cp:coreProperties>
</file>