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B4D35" w14:textId="77777777" w:rsidR="00065385" w:rsidRPr="004D61A4" w:rsidRDefault="00065385" w:rsidP="00065385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44EDA6CC" w14:textId="771B74D2" w:rsidR="00065385" w:rsidRPr="004D61A4" w:rsidRDefault="00065385" w:rsidP="00065385">
      <w:pPr>
        <w:spacing w:line="240" w:lineRule="auto"/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Mayo 2025</w:t>
      </w:r>
    </w:p>
    <w:p w14:paraId="6C24B0F4" w14:textId="77777777" w:rsidR="00065385" w:rsidRPr="004D61A4" w:rsidRDefault="00065385" w:rsidP="00065385">
      <w:pPr>
        <w:spacing w:line="240" w:lineRule="auto"/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1464"/>
        <w:gridCol w:w="938"/>
        <w:gridCol w:w="1230"/>
        <w:gridCol w:w="1119"/>
        <w:gridCol w:w="1829"/>
        <w:gridCol w:w="2080"/>
        <w:gridCol w:w="1851"/>
        <w:gridCol w:w="1490"/>
        <w:gridCol w:w="1578"/>
        <w:gridCol w:w="12"/>
      </w:tblGrid>
      <w:tr w:rsidR="00065385" w:rsidRPr="007F3EF0" w14:paraId="6BC90759" w14:textId="77777777" w:rsidTr="00627621">
        <w:trPr>
          <w:gridAfter w:val="1"/>
          <w:wAfter w:w="12" w:type="dxa"/>
          <w:trHeight w:val="697"/>
          <w:tblHeader/>
          <w:jc w:val="center"/>
        </w:trPr>
        <w:tc>
          <w:tcPr>
            <w:tcW w:w="1210" w:type="dxa"/>
            <w:shd w:val="clear" w:color="000000" w:fill="B4C6E7"/>
            <w:vAlign w:val="center"/>
            <w:hideMark/>
          </w:tcPr>
          <w:p w14:paraId="56A58078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</w:t>
            </w:r>
          </w:p>
        </w:tc>
        <w:tc>
          <w:tcPr>
            <w:tcW w:w="1468" w:type="dxa"/>
            <w:shd w:val="clear" w:color="000000" w:fill="B4C6E7"/>
            <w:vAlign w:val="center"/>
            <w:hideMark/>
          </w:tcPr>
          <w:p w14:paraId="263E50F0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Dirección </w:t>
            </w:r>
          </w:p>
        </w:tc>
        <w:tc>
          <w:tcPr>
            <w:tcW w:w="941" w:type="dxa"/>
            <w:shd w:val="clear" w:color="000000" w:fill="B4C6E7"/>
            <w:vAlign w:val="center"/>
            <w:hideMark/>
          </w:tcPr>
          <w:p w14:paraId="3FB3DCC2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7228C295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14" w:type="dxa"/>
            <w:shd w:val="clear" w:color="000000" w:fill="B4C6E7"/>
            <w:vAlign w:val="center"/>
            <w:hideMark/>
          </w:tcPr>
          <w:p w14:paraId="20BDD29B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831" w:type="dxa"/>
            <w:shd w:val="clear" w:color="000000" w:fill="B4C6E7"/>
            <w:vAlign w:val="center"/>
            <w:hideMark/>
          </w:tcPr>
          <w:p w14:paraId="2D453D2E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080" w:type="dxa"/>
            <w:shd w:val="clear" w:color="000000" w:fill="B4C6E7"/>
            <w:vAlign w:val="center"/>
            <w:hideMark/>
          </w:tcPr>
          <w:p w14:paraId="5448E261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856" w:type="dxa"/>
            <w:shd w:val="clear" w:color="000000" w:fill="B4C6E7"/>
            <w:vAlign w:val="center"/>
            <w:hideMark/>
          </w:tcPr>
          <w:p w14:paraId="0B2186D2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90" w:type="dxa"/>
            <w:shd w:val="clear" w:color="000000" w:fill="B4C6E7"/>
            <w:vAlign w:val="center"/>
            <w:hideMark/>
          </w:tcPr>
          <w:p w14:paraId="203DE921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578" w:type="dxa"/>
            <w:shd w:val="clear" w:color="000000" w:fill="B4C6E7"/>
            <w:vAlign w:val="center"/>
            <w:hideMark/>
          </w:tcPr>
          <w:p w14:paraId="02254B5E" w14:textId="77777777" w:rsidR="00065385" w:rsidRPr="007F3EF0" w:rsidRDefault="00065385" w:rsidP="00DC1FF1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627621" w:rsidRPr="007F3EF0" w14:paraId="0DD5D1B4" w14:textId="77777777" w:rsidTr="00627621">
        <w:trPr>
          <w:gridAfter w:val="1"/>
          <w:wAfter w:w="12" w:type="dxa"/>
          <w:trHeight w:val="50"/>
          <w:jc w:val="center"/>
        </w:trPr>
        <w:tc>
          <w:tcPr>
            <w:tcW w:w="1210" w:type="dxa"/>
          </w:tcPr>
          <w:p w14:paraId="1A2BD600" w14:textId="483C78B2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Kattia Alfaro Molina</w:t>
            </w:r>
          </w:p>
        </w:tc>
        <w:tc>
          <w:tcPr>
            <w:tcW w:w="1468" w:type="dxa"/>
          </w:tcPr>
          <w:p w14:paraId="1EBD815D" w14:textId="52EF2F40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41" w:type="dxa"/>
          </w:tcPr>
          <w:p w14:paraId="67188B93" w14:textId="5687E1D1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5 de mayo de 2025</w:t>
            </w:r>
          </w:p>
        </w:tc>
        <w:tc>
          <w:tcPr>
            <w:tcW w:w="1230" w:type="dxa"/>
          </w:tcPr>
          <w:p w14:paraId="33AF687C" w14:textId="57C75D58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8 de mayo de 2025</w:t>
            </w:r>
          </w:p>
        </w:tc>
        <w:tc>
          <w:tcPr>
            <w:tcW w:w="1114" w:type="dxa"/>
          </w:tcPr>
          <w:p w14:paraId="6B482DF8" w14:textId="4D43D662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Uruguay</w:t>
            </w:r>
          </w:p>
        </w:tc>
        <w:tc>
          <w:tcPr>
            <w:tcW w:w="1831" w:type="dxa"/>
          </w:tcPr>
          <w:p w14:paraId="4B186387" w14:textId="7261B2C7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Reunión de representantes ministeriales de la Red Iberoamericana de expertos en salud de las enfermedades raras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RIBERSER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 y el IV Foro 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ALIBER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alto nivel</w:t>
            </w:r>
          </w:p>
        </w:tc>
        <w:tc>
          <w:tcPr>
            <w:tcW w:w="2080" w:type="dxa"/>
          </w:tcPr>
          <w:p w14:paraId="01AF0332" w14:textId="7467C3B4" w:rsidR="00627621" w:rsidRPr="007F3EF0" w:rsidRDefault="00627621" w:rsidP="00627621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Continuar haciendo visible el tema de enfermedades raras en cada país.</w:t>
            </w:r>
          </w:p>
        </w:tc>
        <w:tc>
          <w:tcPr>
            <w:tcW w:w="1856" w:type="dxa"/>
          </w:tcPr>
          <w:p w14:paraId="321A3DC7" w14:textId="4BCBB6D1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Agencia Española de Cooperación Internacional para el Desarrollo (AECID)</w:t>
            </w:r>
          </w:p>
        </w:tc>
        <w:tc>
          <w:tcPr>
            <w:tcW w:w="1490" w:type="dxa"/>
          </w:tcPr>
          <w:p w14:paraId="33C0C001" w14:textId="61315574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No se giran viáticos institucionales.  </w:t>
            </w:r>
          </w:p>
        </w:tc>
        <w:tc>
          <w:tcPr>
            <w:tcW w:w="1578" w:type="dxa"/>
          </w:tcPr>
          <w:p w14:paraId="0492C680" w14:textId="217499CB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627621" w:rsidRPr="007F3EF0" w14:paraId="18B6B818" w14:textId="77777777" w:rsidTr="00627621">
        <w:trPr>
          <w:gridAfter w:val="1"/>
          <w:wAfter w:w="12" w:type="dxa"/>
          <w:trHeight w:val="50"/>
          <w:jc w:val="center"/>
        </w:trPr>
        <w:tc>
          <w:tcPr>
            <w:tcW w:w="1210" w:type="dxa"/>
          </w:tcPr>
          <w:p w14:paraId="5EDA9884" w14:textId="1921B2B6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Marcela Valverde Ríos</w:t>
            </w:r>
          </w:p>
        </w:tc>
        <w:tc>
          <w:tcPr>
            <w:tcW w:w="1468" w:type="dxa"/>
          </w:tcPr>
          <w:p w14:paraId="0319EDA7" w14:textId="3CD1AC0F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941" w:type="dxa"/>
          </w:tcPr>
          <w:p w14:paraId="14BED026" w14:textId="172C1738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19 de mayo de 2025</w:t>
            </w:r>
          </w:p>
        </w:tc>
        <w:tc>
          <w:tcPr>
            <w:tcW w:w="1230" w:type="dxa"/>
          </w:tcPr>
          <w:p w14:paraId="77440949" w14:textId="215FA37D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23 de mayo de 2025</w:t>
            </w:r>
          </w:p>
        </w:tc>
        <w:tc>
          <w:tcPr>
            <w:tcW w:w="1114" w:type="dxa"/>
          </w:tcPr>
          <w:p w14:paraId="0825314E" w14:textId="390B947B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Suecia</w:t>
            </w:r>
          </w:p>
        </w:tc>
        <w:tc>
          <w:tcPr>
            <w:tcW w:w="1831" w:type="dxa"/>
          </w:tcPr>
          <w:p w14:paraId="15E13383" w14:textId="0C4C167E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UMC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Workshop 2025</w:t>
            </w:r>
          </w:p>
        </w:tc>
        <w:tc>
          <w:tcPr>
            <w:tcW w:w="2080" w:type="dxa"/>
          </w:tcPr>
          <w:p w14:paraId="7B81E893" w14:textId="5E079126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856" w:type="dxa"/>
          </w:tcPr>
          <w:p w14:paraId="050E8214" w14:textId="77777777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Uppsala 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Monitoring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Center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UMC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 </w:t>
            </w:r>
          </w:p>
          <w:p w14:paraId="41C45440" w14:textId="52A452EF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Organización Mundial de la Salud (OMS)</w:t>
            </w:r>
          </w:p>
        </w:tc>
        <w:tc>
          <w:tcPr>
            <w:tcW w:w="1490" w:type="dxa"/>
          </w:tcPr>
          <w:p w14:paraId="23E0F70A" w14:textId="4E89D52F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No se giran viáticos institucionales.  </w:t>
            </w:r>
          </w:p>
        </w:tc>
        <w:tc>
          <w:tcPr>
            <w:tcW w:w="1578" w:type="dxa"/>
          </w:tcPr>
          <w:p w14:paraId="087201AB" w14:textId="113CC10A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627621" w:rsidRPr="007F3EF0" w14:paraId="3CE2E831" w14:textId="77777777" w:rsidTr="00627621">
        <w:trPr>
          <w:gridAfter w:val="1"/>
          <w:wAfter w:w="12" w:type="dxa"/>
          <w:trHeight w:val="50"/>
          <w:jc w:val="center"/>
        </w:trPr>
        <w:tc>
          <w:tcPr>
            <w:tcW w:w="1210" w:type="dxa"/>
          </w:tcPr>
          <w:p w14:paraId="34C12253" w14:textId="7CEAA76C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Mary Munive Angermüller</w:t>
            </w:r>
          </w:p>
        </w:tc>
        <w:tc>
          <w:tcPr>
            <w:tcW w:w="1468" w:type="dxa"/>
          </w:tcPr>
          <w:p w14:paraId="704E8711" w14:textId="5125E274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Despacho Ministerial</w:t>
            </w:r>
          </w:p>
        </w:tc>
        <w:tc>
          <w:tcPr>
            <w:tcW w:w="941" w:type="dxa"/>
          </w:tcPr>
          <w:p w14:paraId="0FA08ADE" w14:textId="25B952C9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19 de mayo de 2025</w:t>
            </w:r>
          </w:p>
        </w:tc>
        <w:tc>
          <w:tcPr>
            <w:tcW w:w="1230" w:type="dxa"/>
          </w:tcPr>
          <w:p w14:paraId="1CFC2B83" w14:textId="2C1F0DB2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29 de mayo de 2025</w:t>
            </w:r>
          </w:p>
        </w:tc>
        <w:tc>
          <w:tcPr>
            <w:tcW w:w="1114" w:type="dxa"/>
          </w:tcPr>
          <w:p w14:paraId="111DF14C" w14:textId="06545945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Suiza</w:t>
            </w:r>
          </w:p>
        </w:tc>
        <w:tc>
          <w:tcPr>
            <w:tcW w:w="1831" w:type="dxa"/>
          </w:tcPr>
          <w:p w14:paraId="6D245F99" w14:textId="77777777" w:rsidR="00397A1F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78° Asamblea Mundial de la Salud </w:t>
            </w:r>
          </w:p>
          <w:p w14:paraId="44BEA6A2" w14:textId="41F4F33E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157° Comité Ejecutivo de la OMS</w:t>
            </w:r>
          </w:p>
        </w:tc>
        <w:tc>
          <w:tcPr>
            <w:tcW w:w="2080" w:type="dxa"/>
          </w:tcPr>
          <w:p w14:paraId="610B6D44" w14:textId="01F1146C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Adopción del Acuerdo de la OMS sobre Pandemias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Aprobación del Presupuesto por Programas 2026-2027, el cual asciende a USD 6.206,7 millones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). Adopción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de la resolución para el fortalecimiento de la base empírica de las medidas sociales y de salud pública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WHA78.3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para la promoción y priorización de un enfoque integrado de la salud pulmonar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WHA78.5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), la cual subraya la necesidad de medidas multisectoriales para combatir factores de riesgo como la contaminación del aire, el tabaco, el radón, las condiciones laborales y sociales, y la estigmatización.  Adopción de la resolución para la reducción de la carga de las enfermedades no transmisibles promoviendo la salud renal y fortaleciendo la prevención y el control de la nefropatía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WHA78.6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Aprobación de la resolución sobre prevención primaria y atención integrada de las deficiencias sensoriales, incluidas la deficiencia visual y la pérdida de audición, a lo largo de la vida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WHA78.7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Se declara el 17 de noviembre como el Día Mundial de la Eliminación del Cáncer de Cuello Uterino, a celebrarse anualmente a partir de noviembre de 2025. 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para el fomento de la conexión social para la salud mundial: el papel esencial de la conexión social en la lucha contra la soledad, el aislamiento social y las inequidades en salud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WHA78.9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). 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Adopción de la resolución sobre el fortalecimiento de las capacidades nacionales en la toma de decisiones basadas en la evidencia para la adopción y el impacto de normas y criterios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WHA78.10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sobre enfermedades raras: una prioridad de salud mundial para la equidad y la inclusión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WHA78.11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para el fortalecimiento de la financiación de la salud en todo el mundo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WHA78.12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para el fortalecimiento de la capacidad en materia de diagnóstico por imagen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WHA78.13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). Adopción de la resolución para la aceleración de la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erradicación de la 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dracunculosis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WHA78.14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sobre enfermedades cutáneas como prioridad de salud pública mundial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WHA78.15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 Adopción de la resolución para la aceleración de la acción respecto del personal de salud y asistencial mundial de aquí al 2030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WHA78.16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para la incorporación del Día Mundial de la Prematuridad al calendario de la OMS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WHA78.17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 Adopción de la resolución sobre la regulación de la comercialización digital de sucedáneos de leche humana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). Adopción de la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resolución sobre las contribuciones de los Miembros y Asociados para el bienio 2026-2027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WHA78.19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sobre el estado de recaudación de las contribuciones señaladas y sobre Estados Miembros con atrasos de contribuciones de importancia bastante para que esté justificada la aplicación del artículo 7 de la Constitución de la OMS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WHA78.20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). Adopción de la resolución sobre arreglos especiales para la liquidación de atrasos por parte </w:t>
            </w:r>
            <w:proofErr w:type="gram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de Líbano</w:t>
            </w:r>
            <w:proofErr w:type="gram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WHA78.21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). Adopción de la resolución sobre la remuneración de los titulares de puestos sin clasificar y del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puesto de Director General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WHA78.22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sobre ajustes al Estatuto del Personal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WHA78.23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sobre la prórroga del Plan de aplicación integral sobre nutrición materna, del lactante y del niño pequeño 2012 – 2025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WHA78.24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sobre la reasignación de Indonesia de la Región de Asia Sudoriental a la Región del Pacífico Occidental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WHA78.25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sobre el izado de las banderas de los Estados observadores no miembros de la OMS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WHA78.26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).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Adopción de la resolución sobre el impulso del apoyo mundial a un futuro sin plomo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WHA78.27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resolución sobre los efectos de la guerra nuclear en la salud pública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WHA78.28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). Adopción de la decisión sobre el proceso de tramitación e investigación de posibles denuncias contra los Directores Generales de la OMS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(8)). Adopción de la decisión sobre la emergencia sanitaria en Ucrania y en los países que reciben y acogen refugiados, a raíz de la agresión de la Federación de Rusia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(10)). Adopción de la decisión sobre productos médicos de calidad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subestándar y falsificados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(12)). Adopción de la decisión sobre la Estrategia de la OMS sobre Medicina Tradicional 2025-2034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(14)). Adopción de la decisión sobre resistencia a los antimicrobianos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(15)). Adopción de la decisión sobre la situación sanitaria en el territorio palestino ocupado, incluida Jerusalén oriental, y en el Golán sirio ocupado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(16)). Adopción de la decisión sobre el informe sobre los resultados de 2024 (Presupuesto por programas 2024-2025: evaluación del desempeño) e </w:t>
            </w:r>
            <w:proofErr w:type="gram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informe financiero y estados financieros</w:t>
            </w:r>
            <w:proofErr w:type="gram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comprobados correspondientes al año terminado el 31 de diciembre de 2024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(17)). Adopción de la decisión sobre la suspensión parcial y temporal del párrafo 8.2 del artículo VIII del Reglamento Financiero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(18)).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br/>
              <w:t>Adopción de la decisión sobre el informe del Comisario de Cuentas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(19)). Adopción de la decisión sobre el Nombramiento de representantes en el Comité de la Caja de Pensiones del Personal de la OMS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(20)). Adopción de la decisión sobre la prórroga de las Orientaciones Estratégicas Mundiales sobre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Enfermería y Partería 2021-2025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(21)). Adopción de la decisión sobre la prórroga de la Estrategia Mundial sobre Salud Digital 2020-2025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(22)). Adopción de la decisión sobre la prórroga del Plan de Acción Mundial sobre la Respuesta de Salud Pública a la Demencia 2017-2025 hasta 2031, para armonizarlo con el Plan de Acción Mundial Intersectorial sobre la Epilepsia y Otros Trastornos Neurológicos 2022-2031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(23)). Adopción de la decisión sobre el procedimiento para corregir errores en el texto del Reglamento Sanitario Internacional (2005)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(24)).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Adopción de la decisión sobre colaboración dentro del sistema de las Naciones Unidas y con otras organizaciones intergubernamentales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(25)). Adopción de la decisión sobre la actualización de la Hoja de Ruta para Reforzar la Respuesta Mundial a los Efectos Adversos de la Contaminación del Aire en la Salud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(26)). Adopción de la decisión sobre el Plan de Acción Mundial sobre Cambio Climático y Salud (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WHA78</w:t>
            </w:r>
            <w:proofErr w:type="spellEnd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(27)). </w:t>
            </w:r>
          </w:p>
        </w:tc>
        <w:tc>
          <w:tcPr>
            <w:tcW w:w="1856" w:type="dxa"/>
          </w:tcPr>
          <w:p w14:paraId="0E6BB06F" w14:textId="18A9339A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Ministerio de Salud de Costa Rica </w:t>
            </w:r>
          </w:p>
        </w:tc>
        <w:tc>
          <w:tcPr>
            <w:tcW w:w="1490" w:type="dxa"/>
          </w:tcPr>
          <w:p w14:paraId="545C46EC" w14:textId="58C78B12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₡ 3 452 171,90 </w:t>
            </w:r>
          </w:p>
        </w:tc>
        <w:tc>
          <w:tcPr>
            <w:tcW w:w="1578" w:type="dxa"/>
          </w:tcPr>
          <w:p w14:paraId="7319B934" w14:textId="62C64A43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627621" w:rsidRPr="007F3EF0" w14:paraId="5DE20AC2" w14:textId="77777777" w:rsidTr="00627621">
        <w:trPr>
          <w:gridAfter w:val="1"/>
          <w:wAfter w:w="12" w:type="dxa"/>
          <w:trHeight w:val="50"/>
          <w:jc w:val="center"/>
        </w:trPr>
        <w:tc>
          <w:tcPr>
            <w:tcW w:w="1210" w:type="dxa"/>
          </w:tcPr>
          <w:p w14:paraId="67F273A5" w14:textId="00C6988E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Gloriela Alfaro </w:t>
            </w:r>
            <w:proofErr w:type="spellStart"/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Alfaro</w:t>
            </w:r>
            <w:proofErr w:type="spellEnd"/>
          </w:p>
        </w:tc>
        <w:tc>
          <w:tcPr>
            <w:tcW w:w="1468" w:type="dxa"/>
          </w:tcPr>
          <w:p w14:paraId="5B4B6498" w14:textId="5DD73096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Asuntos Jurídicos </w:t>
            </w:r>
          </w:p>
        </w:tc>
        <w:tc>
          <w:tcPr>
            <w:tcW w:w="941" w:type="dxa"/>
          </w:tcPr>
          <w:p w14:paraId="765F0B62" w14:textId="0E902983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20 de mayo de 2025</w:t>
            </w:r>
          </w:p>
        </w:tc>
        <w:tc>
          <w:tcPr>
            <w:tcW w:w="1230" w:type="dxa"/>
          </w:tcPr>
          <w:p w14:paraId="3744AB95" w14:textId="7701AC6B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22 de mayo de 2025</w:t>
            </w:r>
          </w:p>
        </w:tc>
        <w:tc>
          <w:tcPr>
            <w:tcW w:w="1114" w:type="dxa"/>
          </w:tcPr>
          <w:p w14:paraId="60774C11" w14:textId="3657306F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31" w:type="dxa"/>
          </w:tcPr>
          <w:p w14:paraId="5BAE1951" w14:textId="49E9F4DB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Taller Regional para la validación de la Propuesta de Nuevo Marco Normativo de la Negociación Conjunta COMISCA</w:t>
            </w:r>
          </w:p>
        </w:tc>
        <w:tc>
          <w:tcPr>
            <w:tcW w:w="2080" w:type="dxa"/>
          </w:tcPr>
          <w:p w14:paraId="410E1CE8" w14:textId="2F6349EE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Validado con el Comité Ad-hoc Estructura y contenido de nuevo marco normativo del mecanismo de Negociación Conjunta COMISCA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(Reglamento del mecanismo de Negociación Conjunta COMISCA). Identificación de los nuevos procedimientos administrativos – técnicos que deben ser incluidos en el nuevo marco normativo y ajustes al sistema de gestión de la calidad del mecanismo. Definidos los próximos pasos para la validación del nuevo Reglamento del mecanismo de Negociación Conjunta COMISCA®.</w:t>
            </w:r>
          </w:p>
        </w:tc>
        <w:tc>
          <w:tcPr>
            <w:tcW w:w="1856" w:type="dxa"/>
          </w:tcPr>
          <w:p w14:paraId="5577BA02" w14:textId="0F17F72C" w:rsidR="00627621" w:rsidRPr="007F3EF0" w:rsidRDefault="00627621" w:rsidP="00627621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Agencia Española de Cooperación Internacional para el Desarrollo (AECID)</w:t>
            </w:r>
          </w:p>
        </w:tc>
        <w:tc>
          <w:tcPr>
            <w:tcW w:w="1490" w:type="dxa"/>
          </w:tcPr>
          <w:p w14:paraId="6D27D4BC" w14:textId="2571FFF1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No se giran viáticos institucionales.  </w:t>
            </w:r>
          </w:p>
        </w:tc>
        <w:tc>
          <w:tcPr>
            <w:tcW w:w="1578" w:type="dxa"/>
          </w:tcPr>
          <w:p w14:paraId="2C1933B9" w14:textId="4591669B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627621" w:rsidRPr="007F3EF0" w14:paraId="09855842" w14:textId="77777777" w:rsidTr="00627621">
        <w:trPr>
          <w:gridAfter w:val="1"/>
          <w:wAfter w:w="12" w:type="dxa"/>
          <w:trHeight w:val="50"/>
          <w:jc w:val="center"/>
        </w:trPr>
        <w:tc>
          <w:tcPr>
            <w:tcW w:w="1210" w:type="dxa"/>
          </w:tcPr>
          <w:p w14:paraId="43C3AA6A" w14:textId="74B5A0C7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Marlen Arce Villalobos</w:t>
            </w:r>
          </w:p>
        </w:tc>
        <w:tc>
          <w:tcPr>
            <w:tcW w:w="1468" w:type="dxa"/>
          </w:tcPr>
          <w:p w14:paraId="446D7A9A" w14:textId="76E5E1A2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941" w:type="dxa"/>
          </w:tcPr>
          <w:p w14:paraId="37053479" w14:textId="105A3239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26 de mayo de 2025</w:t>
            </w:r>
          </w:p>
        </w:tc>
        <w:tc>
          <w:tcPr>
            <w:tcW w:w="1230" w:type="dxa"/>
          </w:tcPr>
          <w:p w14:paraId="5DBAC738" w14:textId="7E09106A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28 de mayo de 2025</w:t>
            </w:r>
          </w:p>
        </w:tc>
        <w:tc>
          <w:tcPr>
            <w:tcW w:w="1114" w:type="dxa"/>
          </w:tcPr>
          <w:p w14:paraId="61799133" w14:textId="17486630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831" w:type="dxa"/>
          </w:tcPr>
          <w:p w14:paraId="0FC433E9" w14:textId="4F850199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Validación por Expertos del Curso Avanzado de Prevención y control de Infecciones, así como del Manual de la OPS para el Abordaje de Brotes por </w:t>
            </w: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Patógenos Transmisibles en Establecimientos de Salud </w:t>
            </w:r>
          </w:p>
        </w:tc>
        <w:tc>
          <w:tcPr>
            <w:tcW w:w="2080" w:type="dxa"/>
          </w:tcPr>
          <w:p w14:paraId="75083813" w14:textId="3C9B3355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 --</w:t>
            </w:r>
          </w:p>
        </w:tc>
        <w:tc>
          <w:tcPr>
            <w:tcW w:w="1856" w:type="dxa"/>
          </w:tcPr>
          <w:p w14:paraId="575C2737" w14:textId="290D1B2C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90" w:type="dxa"/>
          </w:tcPr>
          <w:p w14:paraId="05593BA1" w14:textId="76D831E9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 xml:space="preserve"> No se giran viáticos institucionales.  </w:t>
            </w:r>
          </w:p>
        </w:tc>
        <w:tc>
          <w:tcPr>
            <w:tcW w:w="1578" w:type="dxa"/>
          </w:tcPr>
          <w:p w14:paraId="4B515060" w14:textId="5EFFAA0F" w:rsidR="00627621" w:rsidRPr="007F3EF0" w:rsidRDefault="00627621" w:rsidP="0062762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7F3EF0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del oficio CARTA-MS-DM-2526-2025.</w:t>
            </w:r>
          </w:p>
        </w:tc>
      </w:tr>
      <w:tr w:rsidR="00627621" w:rsidRPr="007F3EF0" w14:paraId="672D3EC7" w14:textId="77777777" w:rsidTr="00DC1FF1">
        <w:trPr>
          <w:trHeight w:val="50"/>
          <w:jc w:val="center"/>
        </w:trPr>
        <w:tc>
          <w:tcPr>
            <w:tcW w:w="14810" w:type="dxa"/>
            <w:gridSpan w:val="11"/>
            <w:shd w:val="clear" w:color="auto" w:fill="0F4761" w:themeFill="accent1" w:themeFillShade="BF"/>
          </w:tcPr>
          <w:p w14:paraId="21C03E93" w14:textId="77777777" w:rsidR="00627621" w:rsidRPr="007F3EF0" w:rsidRDefault="00627621" w:rsidP="0062762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7F3EF0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4DCE4D08" w14:textId="77777777" w:rsidR="00065385" w:rsidRDefault="00065385" w:rsidP="00065385">
      <w:pPr>
        <w:spacing w:line="240" w:lineRule="auto"/>
        <w:rPr>
          <w:sz w:val="20"/>
          <w:szCs w:val="20"/>
          <w:lang w:val="es-ES_tradnl"/>
        </w:rPr>
      </w:pPr>
    </w:p>
    <w:p w14:paraId="7E6E0598" w14:textId="213A1135" w:rsidR="00065385" w:rsidRDefault="00065385" w:rsidP="00065385">
      <w:pPr>
        <w:spacing w:line="240" w:lineRule="auto"/>
      </w:pPr>
      <w:r>
        <w:rPr>
          <w:sz w:val="20"/>
          <w:szCs w:val="20"/>
          <w:lang w:val="es-ES_tradnl"/>
        </w:rPr>
        <w:t>Actualizado: 13 de agosto de 2025</w:t>
      </w:r>
    </w:p>
    <w:p w14:paraId="5DD98251" w14:textId="77777777" w:rsidR="00065385" w:rsidRDefault="00065385" w:rsidP="00065385"/>
    <w:p w14:paraId="33E70012" w14:textId="77777777" w:rsidR="0065321F" w:rsidRDefault="0065321F"/>
    <w:sectPr w:rsidR="0065321F" w:rsidSect="00065385">
      <w:headerReference w:type="default" r:id="rId6"/>
      <w:footerReference w:type="default" r:id="rId7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A6611" w14:textId="77777777" w:rsidR="007F3EF0" w:rsidRDefault="007F3EF0">
      <w:pPr>
        <w:spacing w:line="240" w:lineRule="auto"/>
      </w:pPr>
      <w:r>
        <w:separator/>
      </w:r>
    </w:p>
  </w:endnote>
  <w:endnote w:type="continuationSeparator" w:id="0">
    <w:p w14:paraId="0026D11A" w14:textId="77777777" w:rsidR="007F3EF0" w:rsidRDefault="007F3E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FB3D" w14:textId="77777777" w:rsidR="00065385" w:rsidRDefault="00065385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01FC4787" w14:textId="77777777" w:rsidR="00065385" w:rsidRPr="00976BED" w:rsidRDefault="00065385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4650BCF7" w14:textId="77777777" w:rsidR="00065385" w:rsidRPr="00976BED" w:rsidRDefault="00065385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226E2F0B" w14:textId="77777777" w:rsidR="00065385" w:rsidRDefault="00065385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780F8545" w14:textId="77777777" w:rsidR="00065385" w:rsidRDefault="00065385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57F6C3" wp14:editId="12A274F4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7D6D6D82" wp14:editId="6A0F0F42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F3AD" w14:textId="77777777" w:rsidR="007F3EF0" w:rsidRDefault="007F3EF0">
      <w:pPr>
        <w:spacing w:line="240" w:lineRule="auto"/>
      </w:pPr>
      <w:r>
        <w:separator/>
      </w:r>
    </w:p>
  </w:footnote>
  <w:footnote w:type="continuationSeparator" w:id="0">
    <w:p w14:paraId="10CA7571" w14:textId="77777777" w:rsidR="007F3EF0" w:rsidRDefault="007F3E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3F0E" w14:textId="77777777" w:rsidR="00065385" w:rsidRPr="00C617CA" w:rsidRDefault="00065385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E952A0C" wp14:editId="0B7AC4D6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85"/>
    <w:rsid w:val="00065385"/>
    <w:rsid w:val="001351F6"/>
    <w:rsid w:val="00397A1F"/>
    <w:rsid w:val="00473CAB"/>
    <w:rsid w:val="00627621"/>
    <w:rsid w:val="0065321F"/>
    <w:rsid w:val="007F3EF0"/>
    <w:rsid w:val="00A9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73B5"/>
  <w15:chartTrackingRefBased/>
  <w15:docId w15:val="{7CD7DB0A-0A55-49F7-896A-7E108A15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385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653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3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38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38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38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38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38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38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38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5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3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3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3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3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3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3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5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65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538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65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538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653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53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653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5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3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538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6538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5385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06538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1349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3</cp:revision>
  <dcterms:created xsi:type="dcterms:W3CDTF">2025-08-13T21:05:00Z</dcterms:created>
  <dcterms:modified xsi:type="dcterms:W3CDTF">2025-08-13T21:20:00Z</dcterms:modified>
</cp:coreProperties>
</file>