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9B4D35" w14:textId="77777777" w:rsidR="00065385" w:rsidRPr="004D61A4" w:rsidRDefault="00065385" w:rsidP="00065385">
      <w:pPr>
        <w:spacing w:line="240" w:lineRule="auto"/>
        <w:jc w:val="center"/>
        <w:rPr>
          <w:b/>
          <w:bCs/>
          <w:sz w:val="24"/>
          <w:szCs w:val="24"/>
          <w:lang w:val="es-ES_tradnl"/>
        </w:rPr>
      </w:pPr>
      <w:r w:rsidRPr="004D61A4">
        <w:rPr>
          <w:b/>
          <w:bCs/>
          <w:sz w:val="24"/>
          <w:szCs w:val="24"/>
          <w:lang w:val="es-ES_tradnl"/>
        </w:rPr>
        <w:t>Participación de funcionarios del Ministerio de Salud en actividades fuera del país</w:t>
      </w:r>
    </w:p>
    <w:p w14:paraId="44EDA6CC" w14:textId="771B74D2" w:rsidR="00065385" w:rsidRPr="004D61A4" w:rsidRDefault="00065385" w:rsidP="00065385">
      <w:pPr>
        <w:spacing w:line="240" w:lineRule="auto"/>
        <w:jc w:val="center"/>
        <w:rPr>
          <w:b/>
          <w:bCs/>
          <w:sz w:val="24"/>
          <w:szCs w:val="24"/>
          <w:lang w:val="es-ES_tradnl"/>
        </w:rPr>
      </w:pPr>
      <w:r>
        <w:rPr>
          <w:b/>
          <w:bCs/>
          <w:sz w:val="24"/>
          <w:szCs w:val="24"/>
          <w:lang w:val="es-ES_tradnl"/>
        </w:rPr>
        <w:t>Mayo 2025</w:t>
      </w:r>
    </w:p>
    <w:p w14:paraId="6C24B0F4" w14:textId="77777777" w:rsidR="00065385" w:rsidRPr="004D61A4" w:rsidRDefault="00065385" w:rsidP="00065385">
      <w:pPr>
        <w:spacing w:line="240" w:lineRule="auto"/>
        <w:jc w:val="center"/>
        <w:rPr>
          <w:b/>
          <w:bCs/>
          <w:sz w:val="20"/>
          <w:szCs w:val="20"/>
          <w:lang w:val="es-ES_tradnl"/>
        </w:rPr>
      </w:pPr>
    </w:p>
    <w:tbl>
      <w:tblPr>
        <w:tblW w:w="1481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19"/>
        <w:gridCol w:w="1464"/>
        <w:gridCol w:w="938"/>
        <w:gridCol w:w="1230"/>
        <w:gridCol w:w="1119"/>
        <w:gridCol w:w="1829"/>
        <w:gridCol w:w="2080"/>
        <w:gridCol w:w="1851"/>
        <w:gridCol w:w="1490"/>
        <w:gridCol w:w="1578"/>
        <w:gridCol w:w="12"/>
      </w:tblGrid>
      <w:tr w:rsidR="00065385" w:rsidRPr="007F3EF0" w14:paraId="6BC90759" w14:textId="77777777" w:rsidTr="00627621">
        <w:trPr>
          <w:gridAfter w:val="1"/>
          <w:wAfter w:w="12" w:type="dxa"/>
          <w:trHeight w:val="697"/>
          <w:tblHeader/>
          <w:jc w:val="center"/>
        </w:trPr>
        <w:tc>
          <w:tcPr>
            <w:tcW w:w="1210" w:type="dxa"/>
            <w:shd w:val="clear" w:color="000000" w:fill="B4C6E7"/>
            <w:vAlign w:val="center"/>
            <w:hideMark/>
          </w:tcPr>
          <w:p w14:paraId="56A58078" w14:textId="77777777" w:rsidR="00065385" w:rsidRPr="007F3EF0" w:rsidRDefault="00065385" w:rsidP="00DC1FF1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7F3EF0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Nombre</w:t>
            </w:r>
          </w:p>
        </w:tc>
        <w:tc>
          <w:tcPr>
            <w:tcW w:w="1468" w:type="dxa"/>
            <w:shd w:val="clear" w:color="000000" w:fill="B4C6E7"/>
            <w:vAlign w:val="center"/>
            <w:hideMark/>
          </w:tcPr>
          <w:p w14:paraId="263E50F0" w14:textId="77777777" w:rsidR="00065385" w:rsidRPr="007F3EF0" w:rsidRDefault="00065385" w:rsidP="00DC1FF1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7F3EF0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 xml:space="preserve">Dirección </w:t>
            </w:r>
          </w:p>
        </w:tc>
        <w:tc>
          <w:tcPr>
            <w:tcW w:w="941" w:type="dxa"/>
            <w:shd w:val="clear" w:color="000000" w:fill="B4C6E7"/>
            <w:vAlign w:val="center"/>
            <w:hideMark/>
          </w:tcPr>
          <w:p w14:paraId="3FB3DCC2" w14:textId="77777777" w:rsidR="00065385" w:rsidRPr="007F3EF0" w:rsidRDefault="00065385" w:rsidP="00DC1FF1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7F3EF0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 xml:space="preserve">Fecha de inicio </w:t>
            </w:r>
          </w:p>
        </w:tc>
        <w:tc>
          <w:tcPr>
            <w:tcW w:w="1230" w:type="dxa"/>
            <w:shd w:val="clear" w:color="000000" w:fill="B4C6E7"/>
            <w:vAlign w:val="center"/>
            <w:hideMark/>
          </w:tcPr>
          <w:p w14:paraId="7228C295" w14:textId="77777777" w:rsidR="00065385" w:rsidRPr="007F3EF0" w:rsidRDefault="00065385" w:rsidP="00DC1FF1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7F3EF0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Fecha de finalización</w:t>
            </w:r>
          </w:p>
        </w:tc>
        <w:tc>
          <w:tcPr>
            <w:tcW w:w="1114" w:type="dxa"/>
            <w:shd w:val="clear" w:color="000000" w:fill="B4C6E7"/>
            <w:vAlign w:val="center"/>
            <w:hideMark/>
          </w:tcPr>
          <w:p w14:paraId="20BDD29B" w14:textId="77777777" w:rsidR="00065385" w:rsidRPr="007F3EF0" w:rsidRDefault="00065385" w:rsidP="00DC1FF1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7F3EF0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 xml:space="preserve">Lugar </w:t>
            </w:r>
          </w:p>
        </w:tc>
        <w:tc>
          <w:tcPr>
            <w:tcW w:w="1831" w:type="dxa"/>
            <w:shd w:val="clear" w:color="000000" w:fill="B4C6E7"/>
            <w:vAlign w:val="center"/>
            <w:hideMark/>
          </w:tcPr>
          <w:p w14:paraId="2D453D2E" w14:textId="77777777" w:rsidR="00065385" w:rsidRPr="007F3EF0" w:rsidRDefault="00065385" w:rsidP="00DC1FF1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7F3EF0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Actividad</w:t>
            </w:r>
          </w:p>
        </w:tc>
        <w:tc>
          <w:tcPr>
            <w:tcW w:w="2080" w:type="dxa"/>
            <w:shd w:val="clear" w:color="000000" w:fill="B4C6E7"/>
            <w:vAlign w:val="center"/>
            <w:hideMark/>
          </w:tcPr>
          <w:p w14:paraId="5448E261" w14:textId="77777777" w:rsidR="00065385" w:rsidRPr="007F3EF0" w:rsidRDefault="00065385" w:rsidP="00DC1FF1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7F3EF0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Compromisos</w:t>
            </w:r>
          </w:p>
        </w:tc>
        <w:tc>
          <w:tcPr>
            <w:tcW w:w="1856" w:type="dxa"/>
            <w:shd w:val="clear" w:color="000000" w:fill="B4C6E7"/>
            <w:vAlign w:val="center"/>
            <w:hideMark/>
          </w:tcPr>
          <w:p w14:paraId="0B2186D2" w14:textId="77777777" w:rsidR="00065385" w:rsidRPr="007F3EF0" w:rsidRDefault="00065385" w:rsidP="00DC1FF1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7F3EF0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 xml:space="preserve">Financiado por </w:t>
            </w:r>
          </w:p>
        </w:tc>
        <w:tc>
          <w:tcPr>
            <w:tcW w:w="1490" w:type="dxa"/>
            <w:shd w:val="clear" w:color="000000" w:fill="B4C6E7"/>
            <w:vAlign w:val="center"/>
            <w:hideMark/>
          </w:tcPr>
          <w:p w14:paraId="203DE921" w14:textId="77777777" w:rsidR="00065385" w:rsidRPr="007F3EF0" w:rsidRDefault="00065385" w:rsidP="00DC1FF1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7F3EF0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 xml:space="preserve">Viáticos </w:t>
            </w:r>
          </w:p>
        </w:tc>
        <w:tc>
          <w:tcPr>
            <w:tcW w:w="1578" w:type="dxa"/>
            <w:shd w:val="clear" w:color="000000" w:fill="B4C6E7"/>
            <w:vAlign w:val="center"/>
            <w:hideMark/>
          </w:tcPr>
          <w:p w14:paraId="02254B5E" w14:textId="77777777" w:rsidR="00065385" w:rsidRPr="007F3EF0" w:rsidRDefault="00065385" w:rsidP="00DC1FF1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7F3EF0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Observaciones</w:t>
            </w:r>
          </w:p>
        </w:tc>
      </w:tr>
      <w:tr w:rsidR="00627621" w:rsidRPr="007F3EF0" w14:paraId="0DD5D1B4" w14:textId="77777777" w:rsidTr="00627621">
        <w:trPr>
          <w:gridAfter w:val="1"/>
          <w:wAfter w:w="12" w:type="dxa"/>
          <w:trHeight w:val="50"/>
          <w:jc w:val="center"/>
        </w:trPr>
        <w:tc>
          <w:tcPr>
            <w:tcW w:w="1210" w:type="dxa"/>
          </w:tcPr>
          <w:p w14:paraId="1A2BD600" w14:textId="483C78B2" w:rsidR="00627621" w:rsidRPr="007F3EF0" w:rsidRDefault="00627621" w:rsidP="0062762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Kattia Alfaro Molina</w:t>
            </w:r>
          </w:p>
        </w:tc>
        <w:tc>
          <w:tcPr>
            <w:tcW w:w="1468" w:type="dxa"/>
          </w:tcPr>
          <w:p w14:paraId="1EBD815D" w14:textId="52EF2F40" w:rsidR="00627621" w:rsidRPr="007F3EF0" w:rsidRDefault="00627621" w:rsidP="0062762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Vigilancia de la Salud </w:t>
            </w:r>
          </w:p>
        </w:tc>
        <w:tc>
          <w:tcPr>
            <w:tcW w:w="941" w:type="dxa"/>
          </w:tcPr>
          <w:p w14:paraId="67188B93" w14:textId="5687E1D1" w:rsidR="00627621" w:rsidRPr="007F3EF0" w:rsidRDefault="00627621" w:rsidP="0062762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5 de mayo de 2025</w:t>
            </w:r>
          </w:p>
        </w:tc>
        <w:tc>
          <w:tcPr>
            <w:tcW w:w="1230" w:type="dxa"/>
          </w:tcPr>
          <w:p w14:paraId="33AF687C" w14:textId="57C75D58" w:rsidR="00627621" w:rsidRPr="007F3EF0" w:rsidRDefault="00627621" w:rsidP="0062762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8 de mayo de 2025</w:t>
            </w:r>
          </w:p>
        </w:tc>
        <w:tc>
          <w:tcPr>
            <w:tcW w:w="1114" w:type="dxa"/>
          </w:tcPr>
          <w:p w14:paraId="6B482DF8" w14:textId="4D43D662" w:rsidR="00627621" w:rsidRPr="007F3EF0" w:rsidRDefault="00627621" w:rsidP="0062762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Uruguay</w:t>
            </w:r>
          </w:p>
        </w:tc>
        <w:tc>
          <w:tcPr>
            <w:tcW w:w="1831" w:type="dxa"/>
          </w:tcPr>
          <w:p w14:paraId="4B186387" w14:textId="7261B2C7" w:rsidR="00627621" w:rsidRPr="007F3EF0" w:rsidRDefault="00627621" w:rsidP="0062762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Reunión de representantes ministeriales de la Red Iberoamericana de expertos en salud de las enfermedades raras (</w:t>
            </w:r>
            <w:proofErr w:type="spellStart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RIBERSER</w:t>
            </w:r>
            <w:proofErr w:type="spellEnd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 xml:space="preserve">) y el IV Foro </w:t>
            </w:r>
            <w:proofErr w:type="spellStart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ALIBER</w:t>
            </w:r>
            <w:proofErr w:type="spellEnd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alto nivel</w:t>
            </w:r>
          </w:p>
        </w:tc>
        <w:tc>
          <w:tcPr>
            <w:tcW w:w="2080" w:type="dxa"/>
          </w:tcPr>
          <w:p w14:paraId="01AF0332" w14:textId="7467C3B4" w:rsidR="00627621" w:rsidRPr="007F3EF0" w:rsidRDefault="00627621" w:rsidP="00627621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Continuar haciendo visible el tema de enfermedades raras en cada país.</w:t>
            </w:r>
          </w:p>
        </w:tc>
        <w:tc>
          <w:tcPr>
            <w:tcW w:w="1856" w:type="dxa"/>
          </w:tcPr>
          <w:p w14:paraId="321A3DC7" w14:textId="4BCBB6D1" w:rsidR="00627621" w:rsidRPr="007F3EF0" w:rsidRDefault="00627621" w:rsidP="0062762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Agencia Española de Cooperación Internacional para el Desarrollo (AECID)</w:t>
            </w:r>
          </w:p>
        </w:tc>
        <w:tc>
          <w:tcPr>
            <w:tcW w:w="1490" w:type="dxa"/>
          </w:tcPr>
          <w:p w14:paraId="33C0C001" w14:textId="61315574" w:rsidR="00627621" w:rsidRPr="007F3EF0" w:rsidRDefault="00627621" w:rsidP="0062762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 xml:space="preserve"> No se giran viáticos institucionales.  </w:t>
            </w:r>
          </w:p>
        </w:tc>
        <w:tc>
          <w:tcPr>
            <w:tcW w:w="1578" w:type="dxa"/>
          </w:tcPr>
          <w:p w14:paraId="0492C680" w14:textId="217499CB" w:rsidR="00627621" w:rsidRPr="007F3EF0" w:rsidRDefault="00627621" w:rsidP="0062762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627621" w:rsidRPr="007F3EF0" w14:paraId="18B6B818" w14:textId="77777777" w:rsidTr="00627621">
        <w:trPr>
          <w:gridAfter w:val="1"/>
          <w:wAfter w:w="12" w:type="dxa"/>
          <w:trHeight w:val="50"/>
          <w:jc w:val="center"/>
        </w:trPr>
        <w:tc>
          <w:tcPr>
            <w:tcW w:w="1210" w:type="dxa"/>
          </w:tcPr>
          <w:p w14:paraId="5EDA9884" w14:textId="1921B2B6" w:rsidR="00627621" w:rsidRPr="007F3EF0" w:rsidRDefault="00627621" w:rsidP="0062762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Marcela Valverde Ríos</w:t>
            </w:r>
          </w:p>
        </w:tc>
        <w:tc>
          <w:tcPr>
            <w:tcW w:w="1468" w:type="dxa"/>
          </w:tcPr>
          <w:p w14:paraId="0319EDA7" w14:textId="3CD1AC0F" w:rsidR="00627621" w:rsidRPr="007F3EF0" w:rsidRDefault="00627621" w:rsidP="0062762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Regulación de Productos de Interés Sanitario </w:t>
            </w:r>
          </w:p>
        </w:tc>
        <w:tc>
          <w:tcPr>
            <w:tcW w:w="941" w:type="dxa"/>
          </w:tcPr>
          <w:p w14:paraId="14BED026" w14:textId="172C1738" w:rsidR="00627621" w:rsidRPr="007F3EF0" w:rsidRDefault="00627621" w:rsidP="0062762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19 de mayo de 2025</w:t>
            </w:r>
          </w:p>
        </w:tc>
        <w:tc>
          <w:tcPr>
            <w:tcW w:w="1230" w:type="dxa"/>
          </w:tcPr>
          <w:p w14:paraId="77440949" w14:textId="215FA37D" w:rsidR="00627621" w:rsidRPr="007F3EF0" w:rsidRDefault="00627621" w:rsidP="0062762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23 de mayo de 2025</w:t>
            </w:r>
          </w:p>
        </w:tc>
        <w:tc>
          <w:tcPr>
            <w:tcW w:w="1114" w:type="dxa"/>
          </w:tcPr>
          <w:p w14:paraId="0825314E" w14:textId="390B947B" w:rsidR="00627621" w:rsidRPr="007F3EF0" w:rsidRDefault="00627621" w:rsidP="0062762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Suecia</w:t>
            </w:r>
          </w:p>
        </w:tc>
        <w:tc>
          <w:tcPr>
            <w:tcW w:w="1831" w:type="dxa"/>
          </w:tcPr>
          <w:p w14:paraId="15E13383" w14:textId="0C4C167E" w:rsidR="00627621" w:rsidRPr="007F3EF0" w:rsidRDefault="00627621" w:rsidP="0062762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proofErr w:type="spellStart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UMC</w:t>
            </w:r>
            <w:proofErr w:type="spellEnd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 xml:space="preserve"> Workshop 2025</w:t>
            </w:r>
          </w:p>
        </w:tc>
        <w:tc>
          <w:tcPr>
            <w:tcW w:w="2080" w:type="dxa"/>
          </w:tcPr>
          <w:p w14:paraId="7B81E893" w14:textId="5E079126" w:rsidR="00627621" w:rsidRPr="007F3EF0" w:rsidRDefault="00627621" w:rsidP="0062762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asumen compromisos. </w:t>
            </w:r>
          </w:p>
        </w:tc>
        <w:tc>
          <w:tcPr>
            <w:tcW w:w="1856" w:type="dxa"/>
          </w:tcPr>
          <w:p w14:paraId="050E8214" w14:textId="77777777" w:rsidR="00627621" w:rsidRPr="007F3EF0" w:rsidRDefault="00627621" w:rsidP="0062762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 xml:space="preserve">Uppsala </w:t>
            </w:r>
            <w:proofErr w:type="spellStart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Monitoring</w:t>
            </w:r>
            <w:proofErr w:type="spellEnd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 xml:space="preserve"> Center (</w:t>
            </w:r>
            <w:proofErr w:type="spellStart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UMC</w:t>
            </w:r>
            <w:proofErr w:type="spellEnd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 xml:space="preserve">) </w:t>
            </w:r>
          </w:p>
          <w:p w14:paraId="41C45440" w14:textId="52A452EF" w:rsidR="00627621" w:rsidRPr="007F3EF0" w:rsidRDefault="00627621" w:rsidP="0062762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Organización Mundial de la Salud (OMS)</w:t>
            </w:r>
          </w:p>
        </w:tc>
        <w:tc>
          <w:tcPr>
            <w:tcW w:w="1490" w:type="dxa"/>
          </w:tcPr>
          <w:p w14:paraId="23E0F70A" w14:textId="4E89D52F" w:rsidR="00627621" w:rsidRPr="007F3EF0" w:rsidRDefault="00627621" w:rsidP="0062762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 xml:space="preserve"> No se giran viáticos institucionales.  </w:t>
            </w:r>
          </w:p>
        </w:tc>
        <w:tc>
          <w:tcPr>
            <w:tcW w:w="1578" w:type="dxa"/>
          </w:tcPr>
          <w:p w14:paraId="087201AB" w14:textId="113CC10A" w:rsidR="00627621" w:rsidRPr="007F3EF0" w:rsidRDefault="00627621" w:rsidP="0062762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627621" w:rsidRPr="007F3EF0" w14:paraId="3CE2E831" w14:textId="77777777" w:rsidTr="00627621">
        <w:trPr>
          <w:gridAfter w:val="1"/>
          <w:wAfter w:w="12" w:type="dxa"/>
          <w:trHeight w:val="50"/>
          <w:jc w:val="center"/>
        </w:trPr>
        <w:tc>
          <w:tcPr>
            <w:tcW w:w="1210" w:type="dxa"/>
          </w:tcPr>
          <w:p w14:paraId="34C12253" w14:textId="7CEAA76C" w:rsidR="00627621" w:rsidRPr="007F3EF0" w:rsidRDefault="00627621" w:rsidP="0062762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Mary Munive Angermüller</w:t>
            </w:r>
          </w:p>
        </w:tc>
        <w:tc>
          <w:tcPr>
            <w:tcW w:w="1468" w:type="dxa"/>
          </w:tcPr>
          <w:p w14:paraId="704E8711" w14:textId="5125E274" w:rsidR="00627621" w:rsidRPr="007F3EF0" w:rsidRDefault="00627621" w:rsidP="0062762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Despacho Ministerial</w:t>
            </w:r>
          </w:p>
        </w:tc>
        <w:tc>
          <w:tcPr>
            <w:tcW w:w="941" w:type="dxa"/>
          </w:tcPr>
          <w:p w14:paraId="0FA08ADE" w14:textId="25B952C9" w:rsidR="00627621" w:rsidRPr="007F3EF0" w:rsidRDefault="00627621" w:rsidP="0062762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19 de mayo de 2025</w:t>
            </w:r>
          </w:p>
        </w:tc>
        <w:tc>
          <w:tcPr>
            <w:tcW w:w="1230" w:type="dxa"/>
          </w:tcPr>
          <w:p w14:paraId="1CFC2B83" w14:textId="2C1F0DB2" w:rsidR="00627621" w:rsidRPr="007F3EF0" w:rsidRDefault="00627621" w:rsidP="0062762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29 de mayo de 2025</w:t>
            </w:r>
          </w:p>
        </w:tc>
        <w:tc>
          <w:tcPr>
            <w:tcW w:w="1114" w:type="dxa"/>
          </w:tcPr>
          <w:p w14:paraId="111DF14C" w14:textId="06545945" w:rsidR="00627621" w:rsidRPr="007F3EF0" w:rsidRDefault="00627621" w:rsidP="0062762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Suiza</w:t>
            </w:r>
          </w:p>
        </w:tc>
        <w:tc>
          <w:tcPr>
            <w:tcW w:w="1831" w:type="dxa"/>
          </w:tcPr>
          <w:p w14:paraId="6D245F99" w14:textId="77777777" w:rsidR="00397A1F" w:rsidRPr="007F3EF0" w:rsidRDefault="00627621" w:rsidP="0062762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 xml:space="preserve">78° Asamblea Mundial de la Salud </w:t>
            </w:r>
          </w:p>
          <w:p w14:paraId="44BEA6A2" w14:textId="41F4F33E" w:rsidR="00627621" w:rsidRPr="007F3EF0" w:rsidRDefault="00627621" w:rsidP="0062762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157° Comité Ejecutivo de la OMS</w:t>
            </w:r>
          </w:p>
        </w:tc>
        <w:tc>
          <w:tcPr>
            <w:tcW w:w="2080" w:type="dxa"/>
          </w:tcPr>
          <w:p w14:paraId="610B6D44" w14:textId="01F1146C" w:rsidR="00627621" w:rsidRPr="007F3EF0" w:rsidRDefault="00627621" w:rsidP="0062762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Adopción del Acuerdo de la OMS sobre Pandemias (</w:t>
            </w:r>
            <w:proofErr w:type="spellStart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WHA78.1</w:t>
            </w:r>
            <w:proofErr w:type="spellEnd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). Aprobación del Presupuesto por Programas 2026-2027, el cual asciende a USD 6.206,7 millones (</w:t>
            </w:r>
            <w:proofErr w:type="spellStart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WHA78.2</w:t>
            </w:r>
            <w:proofErr w:type="spellEnd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 xml:space="preserve">). Adopción </w:t>
            </w:r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de la resolución para el fortalecimiento de la base empírica de las medidas sociales y de salud pública (</w:t>
            </w:r>
            <w:proofErr w:type="spellStart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WHA78.3</w:t>
            </w:r>
            <w:proofErr w:type="spellEnd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). Adopción de la resolución para la promoción y priorización de un enfoque integrado de la salud pulmonar (</w:t>
            </w:r>
            <w:proofErr w:type="spellStart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WHA78.5</w:t>
            </w:r>
            <w:proofErr w:type="spellEnd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 xml:space="preserve">), la cual subraya la necesidad de medidas multisectoriales para combatir factores de riesgo como la contaminación del aire, el tabaco, el radón, las condiciones laborales y sociales, y la estigmatización.  Adopción de la resolución para la reducción de la carga de las enfermedades no transmisibles promoviendo la salud renal y fortaleciendo la prevención y el control de la nefropatía </w:t>
            </w:r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(</w:t>
            </w:r>
            <w:proofErr w:type="spellStart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WHA78.6</w:t>
            </w:r>
            <w:proofErr w:type="spellEnd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). Aprobación de la resolución sobre prevención primaria y atención integrada de las deficiencias sensoriales, incluidas la deficiencia visual y la pérdida de audición, a lo largo de la vida (</w:t>
            </w:r>
            <w:proofErr w:type="spellStart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WHA78.7</w:t>
            </w:r>
            <w:proofErr w:type="spellEnd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). Se declara el 17 de noviembre como el Día Mundial de la Eliminación del Cáncer de Cuello Uterino, a celebrarse anualmente a partir de noviembre de 2025.  (</w:t>
            </w:r>
            <w:proofErr w:type="spellStart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WHA78.8</w:t>
            </w:r>
            <w:proofErr w:type="spellEnd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). Adopción de la resolución para el fomento de la conexión social para la salud mundial: el papel esencial de la conexión social en la lucha contra la soledad, el aislamiento social y las inequidades en salud (</w:t>
            </w:r>
            <w:proofErr w:type="spellStart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WHA78.9</w:t>
            </w:r>
            <w:proofErr w:type="spellEnd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 xml:space="preserve">).  </w:t>
            </w:r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Adopción de la resolución sobre el fortalecimiento de las capacidades nacionales en la toma de decisiones basadas en la evidencia para la adopción y el impacto de normas y criterios (</w:t>
            </w:r>
            <w:proofErr w:type="spellStart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WHA78.10</w:t>
            </w:r>
            <w:proofErr w:type="spellEnd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). Adopción de la resolución sobre enfermedades raras: una prioridad de salud mundial para la equidad y la inclusión (</w:t>
            </w:r>
            <w:proofErr w:type="spellStart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WHA78.11</w:t>
            </w:r>
            <w:proofErr w:type="spellEnd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). Adopción de la resolución para el fortalecimiento de la financiación de la salud en todo el mundo (</w:t>
            </w:r>
            <w:proofErr w:type="spellStart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WHA78.12</w:t>
            </w:r>
            <w:proofErr w:type="spellEnd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). Adopción de la resolución para el fortalecimiento de la capacidad en materia de diagnóstico por imagen (</w:t>
            </w:r>
            <w:proofErr w:type="spellStart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WHA78.13</w:t>
            </w:r>
            <w:proofErr w:type="spellEnd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 xml:space="preserve">). Adopción de la resolución para la aceleración de la </w:t>
            </w:r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 xml:space="preserve">erradicación de la </w:t>
            </w:r>
            <w:proofErr w:type="spellStart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dracunculosis</w:t>
            </w:r>
            <w:proofErr w:type="spellEnd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 xml:space="preserve"> (</w:t>
            </w:r>
            <w:proofErr w:type="spellStart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WHA78.14</w:t>
            </w:r>
            <w:proofErr w:type="spellEnd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). Adopción de la resolución sobre enfermedades cutáneas como prioridad de salud pública mundial (</w:t>
            </w:r>
            <w:proofErr w:type="spellStart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WHA78.15</w:t>
            </w:r>
            <w:proofErr w:type="spellEnd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).  Adopción de la resolución para la aceleración de la acción respecto del personal de salud y asistencial mundial de aquí al 2030 (</w:t>
            </w:r>
            <w:proofErr w:type="spellStart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WHA78.16</w:t>
            </w:r>
            <w:proofErr w:type="spellEnd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). Adopción de la resolución para la incorporación del Día Mundial de la Prematuridad al calendario de la OMS (</w:t>
            </w:r>
            <w:proofErr w:type="spellStart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WHA78.17</w:t>
            </w:r>
            <w:proofErr w:type="spellEnd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).  Adopción de la resolución sobre la regulación de la comercialización digital de sucedáneos de leche humana (</w:t>
            </w:r>
            <w:proofErr w:type="spellStart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WHA78.18</w:t>
            </w:r>
            <w:proofErr w:type="spellEnd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 xml:space="preserve">). Adopción de la </w:t>
            </w:r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resolución sobre las contribuciones de los Miembros y Asociados para el bienio 2026-2027 (</w:t>
            </w:r>
            <w:proofErr w:type="spellStart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WHA78.19</w:t>
            </w:r>
            <w:proofErr w:type="spellEnd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). Adopción de la resolución sobre el estado de recaudación de las contribuciones señaladas y sobre Estados Miembros con atrasos de contribuciones de importancia bastante para que esté justificada la aplicación del artículo 7 de la Constitución de la OMS (</w:t>
            </w:r>
            <w:proofErr w:type="spellStart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WHA78.20</w:t>
            </w:r>
            <w:proofErr w:type="spellEnd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 xml:space="preserve">). Adopción de la resolución sobre arreglos especiales para la liquidación de atrasos por parte </w:t>
            </w:r>
            <w:proofErr w:type="gramStart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de Líbano</w:t>
            </w:r>
            <w:proofErr w:type="gramEnd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 xml:space="preserve"> (</w:t>
            </w:r>
            <w:proofErr w:type="spellStart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WHA78.21</w:t>
            </w:r>
            <w:proofErr w:type="spellEnd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 xml:space="preserve">). Adopción de la resolución sobre la remuneración de los titulares de puestos sin clasificar y del </w:t>
            </w:r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puesto de Director General (</w:t>
            </w:r>
            <w:proofErr w:type="spellStart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WHA78.22</w:t>
            </w:r>
            <w:proofErr w:type="spellEnd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). Adopción de la resolución sobre ajustes al Estatuto del Personal (</w:t>
            </w:r>
            <w:proofErr w:type="spellStart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WHA78.23</w:t>
            </w:r>
            <w:proofErr w:type="spellEnd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). Adopción de la resolución sobre la prórroga del Plan de aplicación integral sobre nutrición materna, del lactante y del niño pequeño 2012 – 2025 (</w:t>
            </w:r>
            <w:proofErr w:type="spellStart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WHA78.24</w:t>
            </w:r>
            <w:proofErr w:type="spellEnd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). Adopción de la resolución sobre la reasignación de Indonesia de la Región de Asia Sudoriental a la Región del Pacífico Occidental (</w:t>
            </w:r>
            <w:proofErr w:type="spellStart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WHA78.25</w:t>
            </w:r>
            <w:proofErr w:type="spellEnd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). Adopción de la resolución sobre el izado de las banderas de los Estados observadores no miembros de la OMS (</w:t>
            </w:r>
            <w:proofErr w:type="spellStart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WHA78.26</w:t>
            </w:r>
            <w:proofErr w:type="spellEnd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 xml:space="preserve">). </w:t>
            </w:r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Adopción de la resolución sobre el impulso del apoyo mundial a un futuro sin plomo (</w:t>
            </w:r>
            <w:proofErr w:type="spellStart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WHA78.27</w:t>
            </w:r>
            <w:proofErr w:type="spellEnd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). Adopción de la resolución sobre los efectos de la guerra nuclear en la salud pública (</w:t>
            </w:r>
            <w:proofErr w:type="spellStart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WHA78.28</w:t>
            </w:r>
            <w:proofErr w:type="spellEnd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). Adopción de la decisión sobre el proceso de tramitación e investigación de posibles denuncias contra los Directores Generales de la OMS (</w:t>
            </w:r>
            <w:proofErr w:type="spellStart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WHA78</w:t>
            </w:r>
            <w:proofErr w:type="spellEnd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(8)). Adopción de la decisión sobre la emergencia sanitaria en Ucrania y en los países que reciben y acogen refugiados, a raíz de la agresión de la Federación de Rusia (</w:t>
            </w:r>
            <w:proofErr w:type="spellStart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WHA78</w:t>
            </w:r>
            <w:proofErr w:type="spellEnd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 xml:space="preserve">(10)). Adopción de la decisión sobre productos médicos de calidad </w:t>
            </w:r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subestándar y falsificados (</w:t>
            </w:r>
            <w:proofErr w:type="spellStart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WHA78</w:t>
            </w:r>
            <w:proofErr w:type="spellEnd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(12)). Adopción de la decisión sobre la Estrategia de la OMS sobre Medicina Tradicional 2025-2034 (</w:t>
            </w:r>
            <w:proofErr w:type="spellStart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WHA78</w:t>
            </w:r>
            <w:proofErr w:type="spellEnd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(14)). Adopción de la decisión sobre resistencia a los antimicrobianos (</w:t>
            </w:r>
            <w:proofErr w:type="spellStart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WHA78</w:t>
            </w:r>
            <w:proofErr w:type="spellEnd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(15)). Adopción de la decisión sobre la situación sanitaria en el territorio palestino ocupado, incluida Jerusalén oriental, y en el Golán sirio ocupado (</w:t>
            </w:r>
            <w:proofErr w:type="spellStart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WHA78</w:t>
            </w:r>
            <w:proofErr w:type="spellEnd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 xml:space="preserve">(16)). Adopción de la decisión sobre el informe sobre los resultados de 2024 (Presupuesto por programas 2024-2025: evaluación del desempeño) e </w:t>
            </w:r>
            <w:proofErr w:type="gramStart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informe financiero y estados financieros</w:t>
            </w:r>
            <w:proofErr w:type="gramEnd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 xml:space="preserve"> </w:t>
            </w:r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comprobados correspondientes al año terminado el 31 de diciembre de 2024 (</w:t>
            </w:r>
            <w:proofErr w:type="spellStart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WHA78</w:t>
            </w:r>
            <w:proofErr w:type="spellEnd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(17)). Adopción de la decisión sobre la suspensión parcial y temporal del párrafo 8.2 del artículo VIII del Reglamento Financiero (</w:t>
            </w:r>
            <w:proofErr w:type="spellStart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WHA78</w:t>
            </w:r>
            <w:proofErr w:type="spellEnd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(18)).</w:t>
            </w:r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br/>
              <w:t>Adopción de la decisión sobre el informe del Comisario de Cuentas (</w:t>
            </w:r>
            <w:proofErr w:type="spellStart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WHA78</w:t>
            </w:r>
            <w:proofErr w:type="spellEnd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(19)). Adopción de la decisión sobre el Nombramiento de representantes en el Comité de la Caja de Pensiones del Personal de la OMS (</w:t>
            </w:r>
            <w:proofErr w:type="spellStart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WHA78</w:t>
            </w:r>
            <w:proofErr w:type="spellEnd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 xml:space="preserve">(20)). Adopción de la decisión sobre la prórroga de las Orientaciones Estratégicas Mundiales sobre </w:t>
            </w:r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Enfermería y Partería 2021-2025 (</w:t>
            </w:r>
            <w:proofErr w:type="spellStart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WHA78</w:t>
            </w:r>
            <w:proofErr w:type="spellEnd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(21)). Adopción de la decisión sobre la prórroga de la Estrategia Mundial sobre Salud Digital 2020-2025 (</w:t>
            </w:r>
            <w:proofErr w:type="spellStart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WHA78</w:t>
            </w:r>
            <w:proofErr w:type="spellEnd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(22)). Adopción de la decisión sobre la prórroga del Plan de Acción Mundial sobre la Respuesta de Salud Pública a la Demencia 2017-2025 hasta 2031, para armonizarlo con el Plan de Acción Mundial Intersectorial sobre la Epilepsia y Otros Trastornos Neurológicos 2022-2031 (</w:t>
            </w:r>
            <w:proofErr w:type="spellStart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WHA78</w:t>
            </w:r>
            <w:proofErr w:type="spellEnd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(23)). Adopción de la decisión sobre el procedimiento para corregir errores en el texto del Reglamento Sanitario Internacional (2005) (</w:t>
            </w:r>
            <w:proofErr w:type="spellStart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WHA78</w:t>
            </w:r>
            <w:proofErr w:type="spellEnd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 xml:space="preserve">(24)). </w:t>
            </w:r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Adopción de la decisión sobre colaboración dentro del sistema de las Naciones Unidas y con otras organizaciones intergubernamentales (</w:t>
            </w:r>
            <w:proofErr w:type="spellStart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WHA78</w:t>
            </w:r>
            <w:proofErr w:type="spellEnd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(25)). Adopción de la decisión sobre la actualización de la Hoja de Ruta para Reforzar la Respuesta Mundial a los Efectos Adversos de la Contaminación del Aire en la Salud (</w:t>
            </w:r>
            <w:proofErr w:type="spellStart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WHA78</w:t>
            </w:r>
            <w:proofErr w:type="spellEnd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(26)). Adopción de la decisión sobre el Plan de Acción Mundial sobre Cambio Climático y Salud (</w:t>
            </w:r>
            <w:proofErr w:type="spellStart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WHA78</w:t>
            </w:r>
            <w:proofErr w:type="spellEnd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 xml:space="preserve">(27)). </w:t>
            </w:r>
          </w:p>
        </w:tc>
        <w:tc>
          <w:tcPr>
            <w:tcW w:w="1856" w:type="dxa"/>
          </w:tcPr>
          <w:p w14:paraId="0E6BB06F" w14:textId="18A9339A" w:rsidR="00627621" w:rsidRPr="007F3EF0" w:rsidRDefault="00627621" w:rsidP="0062762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 xml:space="preserve">Ministerio de Salud de Costa Rica </w:t>
            </w:r>
          </w:p>
        </w:tc>
        <w:tc>
          <w:tcPr>
            <w:tcW w:w="1490" w:type="dxa"/>
          </w:tcPr>
          <w:p w14:paraId="545C46EC" w14:textId="58C78B12" w:rsidR="00627621" w:rsidRPr="007F3EF0" w:rsidRDefault="00627621" w:rsidP="0062762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 xml:space="preserve"> ₡ 3 452 171,90 </w:t>
            </w:r>
          </w:p>
        </w:tc>
        <w:tc>
          <w:tcPr>
            <w:tcW w:w="1578" w:type="dxa"/>
          </w:tcPr>
          <w:p w14:paraId="7319B934" w14:textId="62C64A43" w:rsidR="00627621" w:rsidRPr="007F3EF0" w:rsidRDefault="00627621" w:rsidP="0062762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627621" w:rsidRPr="007F3EF0" w14:paraId="5DE20AC2" w14:textId="77777777" w:rsidTr="00627621">
        <w:trPr>
          <w:gridAfter w:val="1"/>
          <w:wAfter w:w="12" w:type="dxa"/>
          <w:trHeight w:val="50"/>
          <w:jc w:val="center"/>
        </w:trPr>
        <w:tc>
          <w:tcPr>
            <w:tcW w:w="1210" w:type="dxa"/>
          </w:tcPr>
          <w:p w14:paraId="67F273A5" w14:textId="00C6988E" w:rsidR="00627621" w:rsidRPr="007F3EF0" w:rsidRDefault="00627621" w:rsidP="0062762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 xml:space="preserve">Gloriela Alfaro </w:t>
            </w:r>
            <w:proofErr w:type="spellStart"/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Alfaro</w:t>
            </w:r>
            <w:proofErr w:type="spellEnd"/>
          </w:p>
        </w:tc>
        <w:tc>
          <w:tcPr>
            <w:tcW w:w="1468" w:type="dxa"/>
          </w:tcPr>
          <w:p w14:paraId="5B4B6498" w14:textId="5DD73096" w:rsidR="00627621" w:rsidRPr="007F3EF0" w:rsidRDefault="00627621" w:rsidP="0062762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Asuntos Jurídicos </w:t>
            </w:r>
          </w:p>
        </w:tc>
        <w:tc>
          <w:tcPr>
            <w:tcW w:w="941" w:type="dxa"/>
          </w:tcPr>
          <w:p w14:paraId="765F0B62" w14:textId="0E902983" w:rsidR="00627621" w:rsidRPr="007F3EF0" w:rsidRDefault="00627621" w:rsidP="0062762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20 de mayo de 2025</w:t>
            </w:r>
          </w:p>
        </w:tc>
        <w:tc>
          <w:tcPr>
            <w:tcW w:w="1230" w:type="dxa"/>
          </w:tcPr>
          <w:p w14:paraId="3744AB95" w14:textId="7701AC6B" w:rsidR="00627621" w:rsidRPr="007F3EF0" w:rsidRDefault="00627621" w:rsidP="0062762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22 de mayo de 2025</w:t>
            </w:r>
          </w:p>
        </w:tc>
        <w:tc>
          <w:tcPr>
            <w:tcW w:w="1114" w:type="dxa"/>
          </w:tcPr>
          <w:p w14:paraId="60774C11" w14:textId="3657306F" w:rsidR="00627621" w:rsidRPr="007F3EF0" w:rsidRDefault="00627621" w:rsidP="0062762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Guatemala</w:t>
            </w:r>
          </w:p>
        </w:tc>
        <w:tc>
          <w:tcPr>
            <w:tcW w:w="1831" w:type="dxa"/>
          </w:tcPr>
          <w:p w14:paraId="5BAE1951" w14:textId="49E9F4DB" w:rsidR="00627621" w:rsidRPr="007F3EF0" w:rsidRDefault="00627621" w:rsidP="0062762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Taller Regional para la validación de la Propuesta de Nuevo Marco Normativo de la Negociación Conjunta COMISCA</w:t>
            </w:r>
          </w:p>
        </w:tc>
        <w:tc>
          <w:tcPr>
            <w:tcW w:w="2080" w:type="dxa"/>
          </w:tcPr>
          <w:p w14:paraId="410E1CE8" w14:textId="2F6349EE" w:rsidR="00627621" w:rsidRPr="007F3EF0" w:rsidRDefault="00627621" w:rsidP="0062762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 xml:space="preserve">Validado con el Comité Ad-hoc Estructura y contenido de nuevo marco normativo del mecanismo de Negociación Conjunta COMISCA </w:t>
            </w:r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(Reglamento del mecanismo de Negociación Conjunta COMISCA). Identificación de los nuevos procedimientos administrativos – técnicos que deben ser incluidos en el nuevo marco normativo y ajustes al sistema de gestión de la calidad del mecanismo. Definidos los próximos pasos para la validación del nuevo Reglamento del mecanismo de Negociación Conjunta COMISCA®.</w:t>
            </w:r>
          </w:p>
        </w:tc>
        <w:tc>
          <w:tcPr>
            <w:tcW w:w="1856" w:type="dxa"/>
          </w:tcPr>
          <w:p w14:paraId="5577BA02" w14:textId="0F17F72C" w:rsidR="00627621" w:rsidRPr="007F3EF0" w:rsidRDefault="00627621" w:rsidP="00627621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Agencia Española de Cooperación Internacional para el Desarrollo (AECID)</w:t>
            </w:r>
          </w:p>
        </w:tc>
        <w:tc>
          <w:tcPr>
            <w:tcW w:w="1490" w:type="dxa"/>
          </w:tcPr>
          <w:p w14:paraId="6D27D4BC" w14:textId="2571FFF1" w:rsidR="00627621" w:rsidRPr="007F3EF0" w:rsidRDefault="00627621" w:rsidP="0062762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 xml:space="preserve"> No se giran viáticos institucionales.  </w:t>
            </w:r>
          </w:p>
        </w:tc>
        <w:tc>
          <w:tcPr>
            <w:tcW w:w="1578" w:type="dxa"/>
          </w:tcPr>
          <w:p w14:paraId="2C1933B9" w14:textId="4591669B" w:rsidR="00627621" w:rsidRPr="007F3EF0" w:rsidRDefault="00627621" w:rsidP="0062762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627621" w:rsidRPr="007F3EF0" w14:paraId="09855842" w14:textId="77777777" w:rsidTr="00627621">
        <w:trPr>
          <w:gridAfter w:val="1"/>
          <w:wAfter w:w="12" w:type="dxa"/>
          <w:trHeight w:val="50"/>
          <w:jc w:val="center"/>
        </w:trPr>
        <w:tc>
          <w:tcPr>
            <w:tcW w:w="1210" w:type="dxa"/>
          </w:tcPr>
          <w:p w14:paraId="43C3AA6A" w14:textId="74B5A0C7" w:rsidR="00627621" w:rsidRPr="007F3EF0" w:rsidRDefault="00627621" w:rsidP="0062762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Marlen Arce Villalobos</w:t>
            </w:r>
          </w:p>
        </w:tc>
        <w:tc>
          <w:tcPr>
            <w:tcW w:w="1468" w:type="dxa"/>
          </w:tcPr>
          <w:p w14:paraId="446D7A9A" w14:textId="76E5E1A2" w:rsidR="00627621" w:rsidRPr="007F3EF0" w:rsidRDefault="00627621" w:rsidP="0062762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Vigilancia de la Salud </w:t>
            </w:r>
          </w:p>
        </w:tc>
        <w:tc>
          <w:tcPr>
            <w:tcW w:w="941" w:type="dxa"/>
          </w:tcPr>
          <w:p w14:paraId="37053479" w14:textId="105A3239" w:rsidR="00627621" w:rsidRPr="007F3EF0" w:rsidRDefault="00627621" w:rsidP="0062762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26 de mayo de 2025</w:t>
            </w:r>
          </w:p>
        </w:tc>
        <w:tc>
          <w:tcPr>
            <w:tcW w:w="1230" w:type="dxa"/>
          </w:tcPr>
          <w:p w14:paraId="5DBAC738" w14:textId="7E09106A" w:rsidR="00627621" w:rsidRPr="007F3EF0" w:rsidRDefault="00627621" w:rsidP="0062762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28 de mayo de 2025</w:t>
            </w:r>
          </w:p>
        </w:tc>
        <w:tc>
          <w:tcPr>
            <w:tcW w:w="1114" w:type="dxa"/>
          </w:tcPr>
          <w:p w14:paraId="61799133" w14:textId="17486630" w:rsidR="00627621" w:rsidRPr="007F3EF0" w:rsidRDefault="00627621" w:rsidP="0062762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Chile</w:t>
            </w:r>
          </w:p>
        </w:tc>
        <w:tc>
          <w:tcPr>
            <w:tcW w:w="1831" w:type="dxa"/>
          </w:tcPr>
          <w:p w14:paraId="0FC433E9" w14:textId="4F850199" w:rsidR="00627621" w:rsidRPr="007F3EF0" w:rsidRDefault="00627621" w:rsidP="0062762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 xml:space="preserve">Validación por Expertos del Curso Avanzado de Prevención y control de Infecciones, así como del Manual de la OPS para el Abordaje de Brotes por </w:t>
            </w:r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 xml:space="preserve">Patógenos Transmisibles en Establecimientos de Salud </w:t>
            </w:r>
          </w:p>
        </w:tc>
        <w:tc>
          <w:tcPr>
            <w:tcW w:w="2080" w:type="dxa"/>
          </w:tcPr>
          <w:p w14:paraId="75083813" w14:textId="3C9B3355" w:rsidR="00627621" w:rsidRPr="007F3EF0" w:rsidRDefault="00627621" w:rsidP="0062762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 xml:space="preserve"> --</w:t>
            </w:r>
          </w:p>
        </w:tc>
        <w:tc>
          <w:tcPr>
            <w:tcW w:w="1856" w:type="dxa"/>
          </w:tcPr>
          <w:p w14:paraId="575C2737" w14:textId="290D1B2C" w:rsidR="00627621" w:rsidRPr="007F3EF0" w:rsidRDefault="00627621" w:rsidP="0062762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Organización Panamericana de la Salud (OPS)</w:t>
            </w:r>
          </w:p>
        </w:tc>
        <w:tc>
          <w:tcPr>
            <w:tcW w:w="1490" w:type="dxa"/>
          </w:tcPr>
          <w:p w14:paraId="05593BA1" w14:textId="76D831E9" w:rsidR="00627621" w:rsidRPr="007F3EF0" w:rsidRDefault="00627621" w:rsidP="0062762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 xml:space="preserve"> No se giran viáticos institucionales.  </w:t>
            </w:r>
          </w:p>
        </w:tc>
        <w:tc>
          <w:tcPr>
            <w:tcW w:w="1578" w:type="dxa"/>
          </w:tcPr>
          <w:p w14:paraId="4B515060" w14:textId="5EFFAA0F" w:rsidR="00627621" w:rsidRPr="007F3EF0" w:rsidRDefault="00627621" w:rsidP="00627621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F3EF0">
              <w:rPr>
                <w:rFonts w:eastAsia="Times New Roman"/>
                <w:sz w:val="20"/>
                <w:szCs w:val="20"/>
                <w:lang w:val="es-CR" w:eastAsia="es-CR"/>
              </w:rPr>
              <w:t>Queda sin efecto por medio del oficio CARTA-MS-DM-2526-2025.</w:t>
            </w:r>
          </w:p>
        </w:tc>
      </w:tr>
      <w:tr w:rsidR="00627621" w:rsidRPr="007F3EF0" w14:paraId="672D3EC7" w14:textId="77777777" w:rsidTr="00DC1FF1">
        <w:trPr>
          <w:trHeight w:val="50"/>
          <w:jc w:val="center"/>
        </w:trPr>
        <w:tc>
          <w:tcPr>
            <w:tcW w:w="14810" w:type="dxa"/>
            <w:gridSpan w:val="11"/>
            <w:shd w:val="clear" w:color="auto" w:fill="0F4761" w:themeFill="accent1" w:themeFillShade="BF"/>
          </w:tcPr>
          <w:p w14:paraId="21C03E93" w14:textId="77777777" w:rsidR="00627621" w:rsidRPr="007F3EF0" w:rsidRDefault="00627621" w:rsidP="00627621">
            <w:pPr>
              <w:spacing w:line="240" w:lineRule="auto"/>
              <w:jc w:val="center"/>
              <w:rPr>
                <w:rFonts w:eastAsia="Times New Roman"/>
                <w:b/>
                <w:bCs/>
                <w:color w:val="FFFFFF" w:themeColor="background1"/>
                <w:sz w:val="20"/>
                <w:szCs w:val="20"/>
                <w:lang w:val="es-ES_tradnl" w:eastAsia="es-CR"/>
              </w:rPr>
            </w:pPr>
            <w:r w:rsidRPr="007F3EF0">
              <w:rPr>
                <w:rFonts w:eastAsia="Times New Roman"/>
                <w:b/>
                <w:bCs/>
                <w:color w:val="FFFFFF" w:themeColor="background1"/>
                <w:sz w:val="20"/>
                <w:szCs w:val="20"/>
                <w:lang w:val="es-ES_tradnl" w:eastAsia="es-CR"/>
              </w:rPr>
              <w:t>Última línea</w:t>
            </w:r>
          </w:p>
        </w:tc>
      </w:tr>
    </w:tbl>
    <w:p w14:paraId="4DCE4D08" w14:textId="77777777" w:rsidR="00065385" w:rsidRDefault="00065385" w:rsidP="00065385">
      <w:pPr>
        <w:spacing w:line="240" w:lineRule="auto"/>
        <w:rPr>
          <w:sz w:val="20"/>
          <w:szCs w:val="20"/>
          <w:lang w:val="es-ES_tradnl"/>
        </w:rPr>
      </w:pPr>
    </w:p>
    <w:p w14:paraId="7E6E0598" w14:textId="213A1135" w:rsidR="00065385" w:rsidRDefault="00065385" w:rsidP="00065385">
      <w:pPr>
        <w:spacing w:line="240" w:lineRule="auto"/>
      </w:pPr>
      <w:r>
        <w:rPr>
          <w:sz w:val="20"/>
          <w:szCs w:val="20"/>
          <w:lang w:val="es-ES_tradnl"/>
        </w:rPr>
        <w:t>Actualizado: 13 de agosto de 2025</w:t>
      </w:r>
    </w:p>
    <w:p w14:paraId="5DD98251" w14:textId="77777777" w:rsidR="00065385" w:rsidRDefault="00065385" w:rsidP="00065385"/>
    <w:p w14:paraId="33E70012" w14:textId="77777777" w:rsidR="0065321F" w:rsidRDefault="0065321F"/>
    <w:sectPr w:rsidR="0065321F" w:rsidSect="00065385">
      <w:headerReference w:type="default" r:id="rId6"/>
      <w:footerReference w:type="default" r:id="rId7"/>
      <w:pgSz w:w="15840" w:h="12240" w:orient="landscape"/>
      <w:pgMar w:top="1440" w:right="1276" w:bottom="1440" w:left="1701" w:header="703" w:footer="956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1A6611" w14:textId="77777777" w:rsidR="007F3EF0" w:rsidRDefault="007F3EF0">
      <w:pPr>
        <w:spacing w:line="240" w:lineRule="auto"/>
      </w:pPr>
      <w:r>
        <w:separator/>
      </w:r>
    </w:p>
  </w:endnote>
  <w:endnote w:type="continuationSeparator" w:id="0">
    <w:p w14:paraId="0026D11A" w14:textId="77777777" w:rsidR="007F3EF0" w:rsidRDefault="007F3EF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DDFB3D" w14:textId="77777777" w:rsidR="00065385" w:rsidRDefault="00065385" w:rsidP="004D61A4">
    <w:pPr>
      <w:spacing w:line="240" w:lineRule="auto"/>
      <w:ind w:right="-40"/>
      <w:jc w:val="center"/>
      <w:rPr>
        <w:b/>
        <w:color w:val="004691"/>
        <w:sz w:val="18"/>
        <w:szCs w:val="18"/>
      </w:rPr>
    </w:pPr>
  </w:p>
  <w:p w14:paraId="01FC4787" w14:textId="77777777" w:rsidR="00065385" w:rsidRPr="00976BED" w:rsidRDefault="00065385" w:rsidP="004D61A4">
    <w:pPr>
      <w:spacing w:line="240" w:lineRule="auto"/>
      <w:jc w:val="center"/>
      <w:rPr>
        <w:rFonts w:eastAsia="Calibri"/>
        <w:b/>
        <w:color w:val="0E2841" w:themeColor="text2"/>
        <w:sz w:val="15"/>
        <w:szCs w:val="15"/>
      </w:rPr>
    </w:pPr>
    <w:r>
      <w:rPr>
        <w:rFonts w:eastAsia="Calibri"/>
        <w:b/>
        <w:color w:val="0E2841" w:themeColor="text2"/>
        <w:sz w:val="15"/>
        <w:szCs w:val="15"/>
      </w:rPr>
      <w:t xml:space="preserve">Unidad de Relaciones Internacionales </w:t>
    </w:r>
  </w:p>
  <w:p w14:paraId="4650BCF7" w14:textId="77777777" w:rsidR="00065385" w:rsidRPr="00976BED" w:rsidRDefault="00065385" w:rsidP="004D61A4">
    <w:pPr>
      <w:spacing w:line="240" w:lineRule="auto"/>
      <w:jc w:val="center"/>
      <w:rPr>
        <w:rFonts w:eastAsia="Calibri"/>
        <w:color w:val="0E2841" w:themeColor="text2"/>
        <w:sz w:val="15"/>
        <w:szCs w:val="15"/>
      </w:rPr>
    </w:pPr>
    <w:hyperlink r:id="rId1" w:history="1">
      <w:r w:rsidRPr="00A83DCD">
        <w:rPr>
          <w:rStyle w:val="Hipervnculo"/>
          <w:rFonts w:eastAsia="Calibri"/>
          <w:sz w:val="15"/>
          <w:szCs w:val="15"/>
        </w:rPr>
        <w:t>internacionales@misalud.go.cr</w:t>
      </w:r>
    </w:hyperlink>
  </w:p>
  <w:p w14:paraId="226E2F0B" w14:textId="77777777" w:rsidR="00065385" w:rsidRDefault="00065385" w:rsidP="004D61A4">
    <w:pPr>
      <w:spacing w:line="240" w:lineRule="auto"/>
      <w:jc w:val="center"/>
      <w:rPr>
        <w:rFonts w:eastAsia="Calibri"/>
        <w:color w:val="0E2841" w:themeColor="text2"/>
        <w:sz w:val="15"/>
        <w:szCs w:val="15"/>
      </w:rPr>
    </w:pPr>
    <w:r w:rsidRPr="00976BED">
      <w:rPr>
        <w:rFonts w:eastAsia="Calibri"/>
        <w:color w:val="0E2841" w:themeColor="text2"/>
        <w:sz w:val="15"/>
        <w:szCs w:val="15"/>
      </w:rPr>
      <w:t xml:space="preserve">Tel. </w:t>
    </w:r>
    <w:r>
      <w:rPr>
        <w:rFonts w:eastAsia="Calibri"/>
        <w:color w:val="0E2841" w:themeColor="text2"/>
        <w:sz w:val="15"/>
        <w:szCs w:val="15"/>
      </w:rPr>
      <w:t>4003-5182</w:t>
    </w:r>
  </w:p>
  <w:p w14:paraId="780F8545" w14:textId="77777777" w:rsidR="00065385" w:rsidRDefault="00065385" w:rsidP="004D61A4">
    <w:pPr>
      <w:spacing w:line="240" w:lineRule="auto"/>
      <w:jc w:val="center"/>
      <w:rPr>
        <w:rFonts w:eastAsia="Calibri"/>
        <w:color w:val="0E2841" w:themeColor="text2"/>
        <w:sz w:val="15"/>
        <w:szCs w:val="15"/>
      </w:rPr>
    </w:pPr>
    <w:r>
      <w:rPr>
        <w:noProof/>
      </w:rPr>
      <w:drawing>
        <wp:anchor distT="0" distB="0" distL="114300" distR="114300" simplePos="0" relativeHeight="251658752" behindDoc="0" locked="0" layoutInCell="1" allowOverlap="1" wp14:anchorId="5D57F6C3" wp14:editId="12A274F4">
          <wp:simplePos x="0" y="0"/>
          <wp:positionH relativeFrom="page">
            <wp:align>left</wp:align>
          </wp:positionH>
          <wp:positionV relativeFrom="paragraph">
            <wp:posOffset>229870</wp:posOffset>
          </wp:positionV>
          <wp:extent cx="10052685" cy="545465"/>
          <wp:effectExtent l="0" t="0" r="5715" b="6985"/>
          <wp:wrapSquare wrapText="bothSides"/>
          <wp:docPr id="1034257927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59067003" name="Picture 959067003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52685" cy="5454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6704" behindDoc="0" locked="0" layoutInCell="1" allowOverlap="1" wp14:anchorId="7D6D6D82" wp14:editId="6A0F0F42">
          <wp:simplePos x="0" y="0"/>
          <wp:positionH relativeFrom="page">
            <wp:align>right</wp:align>
          </wp:positionH>
          <wp:positionV relativeFrom="paragraph">
            <wp:posOffset>1120140</wp:posOffset>
          </wp:positionV>
          <wp:extent cx="7766685" cy="545465"/>
          <wp:effectExtent l="0" t="0" r="5715" b="6985"/>
          <wp:wrapNone/>
          <wp:docPr id="936501021" name="Imagen 9365010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59067003" name="Picture 959067003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66685" cy="5454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9DF3AD" w14:textId="77777777" w:rsidR="007F3EF0" w:rsidRDefault="007F3EF0">
      <w:pPr>
        <w:spacing w:line="240" w:lineRule="auto"/>
      </w:pPr>
      <w:r>
        <w:separator/>
      </w:r>
    </w:p>
  </w:footnote>
  <w:footnote w:type="continuationSeparator" w:id="0">
    <w:p w14:paraId="10CA7571" w14:textId="77777777" w:rsidR="007F3EF0" w:rsidRDefault="007F3EF0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693F0E" w14:textId="77777777" w:rsidR="00065385" w:rsidRPr="00C617CA" w:rsidRDefault="00065385" w:rsidP="00A343F7">
    <w:pPr>
      <w:pStyle w:val="Encabezado"/>
      <w:rPr>
        <w:sz w:val="2"/>
        <w:szCs w:val="2"/>
      </w:rPr>
    </w:pPr>
    <w:r>
      <w:rPr>
        <w:noProof/>
      </w:rPr>
      <w:drawing>
        <wp:anchor distT="0" distB="0" distL="114300" distR="114300" simplePos="0" relativeHeight="251657728" behindDoc="0" locked="0" layoutInCell="1" allowOverlap="1" wp14:anchorId="0E952A0C" wp14:editId="0B7AC4D6">
          <wp:simplePos x="0" y="0"/>
          <wp:positionH relativeFrom="page">
            <wp:align>left</wp:align>
          </wp:positionH>
          <wp:positionV relativeFrom="paragraph">
            <wp:posOffset>-436880</wp:posOffset>
          </wp:positionV>
          <wp:extent cx="10052685" cy="1269365"/>
          <wp:effectExtent l="0" t="0" r="5715" b="6985"/>
          <wp:wrapSquare wrapText="bothSides"/>
          <wp:docPr id="1259221905" name="Imagen 1259221905" descr="A white background with blue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621113" name="Picture 1" descr="A white background with blue text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52685" cy="12693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5385"/>
    <w:rsid w:val="00065385"/>
    <w:rsid w:val="001351F6"/>
    <w:rsid w:val="00397A1F"/>
    <w:rsid w:val="00473CAB"/>
    <w:rsid w:val="00627621"/>
    <w:rsid w:val="0065321F"/>
    <w:rsid w:val="007F3EF0"/>
    <w:rsid w:val="00A978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6B73B5"/>
  <w15:chartTrackingRefBased/>
  <w15:docId w15:val="{7CD7DB0A-0A55-49F7-896A-7E108A159E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65385"/>
    <w:pPr>
      <w:spacing w:after="0" w:line="276" w:lineRule="auto"/>
    </w:pPr>
    <w:rPr>
      <w:rFonts w:ascii="Arial" w:eastAsia="Arial" w:hAnsi="Arial" w:cs="Arial"/>
      <w:kern w:val="0"/>
      <w:lang w:val="es-419" w:eastAsia="es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065385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es-CR" w:eastAsia="en-US"/>
      <w14:ligatures w14:val="standardContextua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65385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s-CR" w:eastAsia="en-US"/>
      <w14:ligatures w14:val="standardContextua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065385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es-CR" w:eastAsia="en-US"/>
      <w14:ligatures w14:val="standardContextua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065385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val="es-CR" w:eastAsia="en-US"/>
      <w14:ligatures w14:val="standardContextua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065385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val="es-CR" w:eastAsia="en-US"/>
      <w14:ligatures w14:val="standardContextual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065385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val="es-CR" w:eastAsia="en-US"/>
      <w14:ligatures w14:val="standardContextua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065385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val="es-CR" w:eastAsia="en-US"/>
      <w14:ligatures w14:val="standardContextua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065385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val="es-CR" w:eastAsia="en-US"/>
      <w14:ligatures w14:val="standardContextua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065385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val="es-CR" w:eastAsia="en-US"/>
      <w14:ligatures w14:val="standardContextu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06538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06538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06538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065385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065385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065385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065385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065385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065385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06538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s-CR" w:eastAsia="en-US"/>
      <w14:ligatures w14:val="standardContextual"/>
    </w:rPr>
  </w:style>
  <w:style w:type="character" w:customStyle="1" w:styleId="TtuloCar">
    <w:name w:val="Título Car"/>
    <w:basedOn w:val="Fuentedeprrafopredeter"/>
    <w:link w:val="Ttulo"/>
    <w:uiPriority w:val="10"/>
    <w:rsid w:val="0006538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065385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es-CR" w:eastAsia="en-US"/>
      <w14:ligatures w14:val="standardContextual"/>
    </w:rPr>
  </w:style>
  <w:style w:type="character" w:customStyle="1" w:styleId="SubttuloCar">
    <w:name w:val="Subtítulo Car"/>
    <w:basedOn w:val="Fuentedeprrafopredeter"/>
    <w:link w:val="Subttulo"/>
    <w:uiPriority w:val="11"/>
    <w:rsid w:val="0006538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065385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val="es-CR" w:eastAsia="en-US"/>
      <w14:ligatures w14:val="standardContextual"/>
    </w:rPr>
  </w:style>
  <w:style w:type="character" w:customStyle="1" w:styleId="CitaCar">
    <w:name w:val="Cita Car"/>
    <w:basedOn w:val="Fuentedeprrafopredeter"/>
    <w:link w:val="Cita"/>
    <w:uiPriority w:val="29"/>
    <w:rsid w:val="0006538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65385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lang w:val="es-CR" w:eastAsia="en-US"/>
      <w14:ligatures w14:val="standardContextual"/>
    </w:rPr>
  </w:style>
  <w:style w:type="character" w:styleId="nfasisintenso">
    <w:name w:val="Intense Emphasis"/>
    <w:basedOn w:val="Fuentedeprrafopredeter"/>
    <w:uiPriority w:val="21"/>
    <w:qFormat/>
    <w:rsid w:val="00065385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06538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val="es-CR" w:eastAsia="en-US"/>
      <w14:ligatures w14:val="standardContextual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065385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065385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065385"/>
    <w:pPr>
      <w:tabs>
        <w:tab w:val="center" w:pos="4419"/>
        <w:tab w:val="right" w:pos="8838"/>
      </w:tabs>
      <w:spacing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65385"/>
    <w:rPr>
      <w:rFonts w:ascii="Arial" w:eastAsia="Arial" w:hAnsi="Arial" w:cs="Arial"/>
      <w:kern w:val="0"/>
      <w:lang w:val="es-419" w:eastAsia="es-ES"/>
      <w14:ligatures w14:val="none"/>
    </w:rPr>
  </w:style>
  <w:style w:type="character" w:styleId="Hipervnculo">
    <w:name w:val="Hyperlink"/>
    <w:basedOn w:val="Fuentedeprrafopredeter"/>
    <w:uiPriority w:val="99"/>
    <w:unhideWhenUsed/>
    <w:rsid w:val="00065385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hyperlink" Target="mailto:internacionales@misalud.go.c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14</Pages>
  <Words>1349</Words>
  <Characters>7423</Characters>
  <Application>Microsoft Office Word</Application>
  <DocSecurity>0</DocSecurity>
  <Lines>61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Adriana Salazar González</dc:creator>
  <cp:keywords/>
  <dc:description/>
  <cp:lastModifiedBy>Adriana Salazar González</cp:lastModifiedBy>
  <cp:revision>3</cp:revision>
  <dcterms:created xsi:type="dcterms:W3CDTF">2025-08-13T21:05:00Z</dcterms:created>
  <dcterms:modified xsi:type="dcterms:W3CDTF">2025-08-13T21:20:00Z</dcterms:modified>
</cp:coreProperties>
</file>