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E75BE" w14:textId="77777777" w:rsidR="006C00AE" w:rsidRPr="004D61A4" w:rsidRDefault="006C00AE" w:rsidP="006C00AE">
      <w:pPr>
        <w:spacing w:line="240" w:lineRule="auto"/>
        <w:jc w:val="center"/>
        <w:rPr>
          <w:b/>
          <w:bCs/>
          <w:sz w:val="24"/>
          <w:szCs w:val="24"/>
          <w:lang w:val="es-ES_tradnl"/>
        </w:rPr>
      </w:pPr>
      <w:r w:rsidRPr="004D61A4">
        <w:rPr>
          <w:b/>
          <w:bCs/>
          <w:sz w:val="24"/>
          <w:szCs w:val="24"/>
          <w:lang w:val="es-ES_tradnl"/>
        </w:rPr>
        <w:t>Participación de funcionarios del Ministerio de Salud en actividades fuera del país</w:t>
      </w:r>
    </w:p>
    <w:p w14:paraId="43D7E3AC" w14:textId="12ED7A20" w:rsidR="006C00AE" w:rsidRPr="004D61A4" w:rsidRDefault="006C00AE" w:rsidP="006C00AE">
      <w:pPr>
        <w:spacing w:line="240" w:lineRule="auto"/>
        <w:jc w:val="center"/>
        <w:rPr>
          <w:b/>
          <w:bCs/>
          <w:sz w:val="24"/>
          <w:szCs w:val="24"/>
          <w:lang w:val="es-ES_tradnl"/>
        </w:rPr>
      </w:pPr>
      <w:r>
        <w:rPr>
          <w:b/>
          <w:bCs/>
          <w:sz w:val="24"/>
          <w:szCs w:val="24"/>
          <w:lang w:val="es-ES_tradnl"/>
        </w:rPr>
        <w:t xml:space="preserve">Agosto </w:t>
      </w:r>
      <w:r>
        <w:rPr>
          <w:b/>
          <w:bCs/>
          <w:sz w:val="24"/>
          <w:szCs w:val="24"/>
          <w:lang w:val="es-ES_tradnl"/>
        </w:rPr>
        <w:t>2025</w:t>
      </w:r>
    </w:p>
    <w:p w14:paraId="4C461BD2" w14:textId="77777777" w:rsidR="006C00AE" w:rsidRPr="004D61A4" w:rsidRDefault="006C00AE" w:rsidP="006C00AE">
      <w:pPr>
        <w:spacing w:line="240" w:lineRule="auto"/>
        <w:jc w:val="center"/>
        <w:rPr>
          <w:b/>
          <w:bCs/>
          <w:sz w:val="20"/>
          <w:szCs w:val="20"/>
          <w:lang w:val="es-ES_tradnl"/>
        </w:rPr>
      </w:pPr>
    </w:p>
    <w:tbl>
      <w:tblPr>
        <w:tblW w:w="15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8"/>
        <w:gridCol w:w="1455"/>
        <w:gridCol w:w="806"/>
        <w:gridCol w:w="1230"/>
        <w:gridCol w:w="1089"/>
        <w:gridCol w:w="1779"/>
        <w:gridCol w:w="2741"/>
        <w:gridCol w:w="1779"/>
        <w:gridCol w:w="1387"/>
        <w:gridCol w:w="1575"/>
        <w:gridCol w:w="16"/>
      </w:tblGrid>
      <w:tr w:rsidR="00C25A03" w:rsidRPr="00BF27B4" w14:paraId="5383008F" w14:textId="77777777" w:rsidTr="00BF27B4">
        <w:trPr>
          <w:gridAfter w:val="1"/>
          <w:wAfter w:w="28" w:type="dxa"/>
          <w:trHeight w:val="697"/>
          <w:tblHeader/>
          <w:jc w:val="center"/>
        </w:trPr>
        <w:tc>
          <w:tcPr>
            <w:tcW w:w="1230" w:type="dxa"/>
            <w:shd w:val="clear" w:color="000000" w:fill="B4C6E7"/>
            <w:vAlign w:val="center"/>
            <w:hideMark/>
          </w:tcPr>
          <w:p w14:paraId="38A61511"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Nombre</w:t>
            </w:r>
          </w:p>
        </w:tc>
        <w:tc>
          <w:tcPr>
            <w:tcW w:w="1482" w:type="dxa"/>
            <w:shd w:val="clear" w:color="000000" w:fill="B4C6E7"/>
            <w:vAlign w:val="center"/>
            <w:hideMark/>
          </w:tcPr>
          <w:p w14:paraId="5682F57B"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Dirección</w:t>
            </w:r>
          </w:p>
        </w:tc>
        <w:tc>
          <w:tcPr>
            <w:tcW w:w="895" w:type="dxa"/>
            <w:shd w:val="clear" w:color="000000" w:fill="B4C6E7"/>
            <w:vAlign w:val="center"/>
            <w:hideMark/>
          </w:tcPr>
          <w:p w14:paraId="79105462"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Fecha de inicio</w:t>
            </w:r>
          </w:p>
        </w:tc>
        <w:tc>
          <w:tcPr>
            <w:tcW w:w="1230" w:type="dxa"/>
            <w:shd w:val="clear" w:color="000000" w:fill="B4C6E7"/>
            <w:vAlign w:val="center"/>
            <w:hideMark/>
          </w:tcPr>
          <w:p w14:paraId="0282389A"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Fecha de finalización</w:t>
            </w:r>
          </w:p>
        </w:tc>
        <w:tc>
          <w:tcPr>
            <w:tcW w:w="1108" w:type="dxa"/>
            <w:shd w:val="clear" w:color="000000" w:fill="B4C6E7"/>
            <w:vAlign w:val="center"/>
            <w:hideMark/>
          </w:tcPr>
          <w:p w14:paraId="58C22F4E"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Lugar</w:t>
            </w:r>
          </w:p>
        </w:tc>
        <w:tc>
          <w:tcPr>
            <w:tcW w:w="1812" w:type="dxa"/>
            <w:shd w:val="clear" w:color="000000" w:fill="B4C6E7"/>
            <w:vAlign w:val="center"/>
            <w:hideMark/>
          </w:tcPr>
          <w:p w14:paraId="2C9DA87E"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Actividad</w:t>
            </w:r>
          </w:p>
        </w:tc>
        <w:tc>
          <w:tcPr>
            <w:tcW w:w="2741" w:type="dxa"/>
            <w:shd w:val="clear" w:color="000000" w:fill="B4C6E7"/>
            <w:vAlign w:val="center"/>
            <w:hideMark/>
          </w:tcPr>
          <w:p w14:paraId="3755BC7F"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Compromisos</w:t>
            </w:r>
          </w:p>
        </w:tc>
        <w:tc>
          <w:tcPr>
            <w:tcW w:w="1812" w:type="dxa"/>
            <w:shd w:val="clear" w:color="000000" w:fill="B4C6E7"/>
            <w:vAlign w:val="center"/>
            <w:hideMark/>
          </w:tcPr>
          <w:p w14:paraId="6F2D1BFE"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Financiado por</w:t>
            </w:r>
          </w:p>
        </w:tc>
        <w:tc>
          <w:tcPr>
            <w:tcW w:w="1152" w:type="dxa"/>
            <w:shd w:val="clear" w:color="000000" w:fill="B4C6E7"/>
            <w:vAlign w:val="center"/>
            <w:hideMark/>
          </w:tcPr>
          <w:p w14:paraId="3097C088"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Viáticos</w:t>
            </w:r>
          </w:p>
        </w:tc>
        <w:tc>
          <w:tcPr>
            <w:tcW w:w="1575" w:type="dxa"/>
            <w:shd w:val="clear" w:color="000000" w:fill="B4C6E7"/>
            <w:vAlign w:val="center"/>
            <w:hideMark/>
          </w:tcPr>
          <w:p w14:paraId="48C1F28E" w14:textId="77777777" w:rsidR="006C00AE" w:rsidRPr="00BF27B4" w:rsidRDefault="006C00AE" w:rsidP="00D36F15">
            <w:pPr>
              <w:spacing w:line="240" w:lineRule="auto"/>
              <w:jc w:val="center"/>
              <w:rPr>
                <w:rFonts w:eastAsia="Times New Roman"/>
                <w:b/>
                <w:bCs/>
                <w:sz w:val="20"/>
                <w:szCs w:val="20"/>
                <w:lang w:val="es-ES_tradnl" w:eastAsia="es-CR"/>
              </w:rPr>
            </w:pPr>
            <w:r w:rsidRPr="00BF27B4">
              <w:rPr>
                <w:rFonts w:eastAsia="Times New Roman"/>
                <w:b/>
                <w:bCs/>
                <w:sz w:val="20"/>
                <w:szCs w:val="20"/>
                <w:lang w:val="es-ES_tradnl" w:eastAsia="es-CR"/>
              </w:rPr>
              <w:t>Observaciones</w:t>
            </w:r>
          </w:p>
        </w:tc>
      </w:tr>
      <w:tr w:rsidR="00C25A03" w:rsidRPr="00BF27B4" w14:paraId="46D9248E" w14:textId="77777777" w:rsidTr="00BF27B4">
        <w:trPr>
          <w:gridAfter w:val="1"/>
          <w:wAfter w:w="28" w:type="dxa"/>
          <w:trHeight w:val="50"/>
          <w:jc w:val="center"/>
        </w:trPr>
        <w:tc>
          <w:tcPr>
            <w:tcW w:w="1230" w:type="dxa"/>
          </w:tcPr>
          <w:p w14:paraId="63B95905" w14:textId="5B28C76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María José Lafuente González</w:t>
            </w:r>
          </w:p>
        </w:tc>
        <w:tc>
          <w:tcPr>
            <w:tcW w:w="1482" w:type="dxa"/>
          </w:tcPr>
          <w:p w14:paraId="5899044F" w14:textId="46760A77"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Vigilancia de la Salud </w:t>
            </w:r>
          </w:p>
        </w:tc>
        <w:tc>
          <w:tcPr>
            <w:tcW w:w="895" w:type="dxa"/>
          </w:tcPr>
          <w:p w14:paraId="01472F55" w14:textId="3A7D4CF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4</w:t>
            </w:r>
            <w:r w:rsidR="00B6388F" w:rsidRPr="00BF27B4">
              <w:rPr>
                <w:rFonts w:eastAsia="Times New Roman"/>
                <w:sz w:val="19"/>
                <w:szCs w:val="19"/>
                <w:lang w:val="es-CR" w:eastAsia="es-CR"/>
              </w:rPr>
              <w:t xml:space="preserve"> de agosto de 2025</w:t>
            </w:r>
          </w:p>
        </w:tc>
        <w:tc>
          <w:tcPr>
            <w:tcW w:w="1230" w:type="dxa"/>
          </w:tcPr>
          <w:p w14:paraId="22EF812F" w14:textId="0F100E8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7</w:t>
            </w:r>
            <w:r w:rsidR="00B6388F" w:rsidRPr="00BF27B4">
              <w:rPr>
                <w:rFonts w:eastAsia="Times New Roman"/>
                <w:sz w:val="19"/>
                <w:szCs w:val="19"/>
                <w:lang w:val="es-CR" w:eastAsia="es-CR"/>
              </w:rPr>
              <w:t xml:space="preserve"> de agosto de 2025</w:t>
            </w:r>
          </w:p>
        </w:tc>
        <w:tc>
          <w:tcPr>
            <w:tcW w:w="1108" w:type="dxa"/>
          </w:tcPr>
          <w:p w14:paraId="593BAF7B" w14:textId="73838C00"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Panamá</w:t>
            </w:r>
          </w:p>
        </w:tc>
        <w:tc>
          <w:tcPr>
            <w:tcW w:w="1812" w:type="dxa"/>
          </w:tcPr>
          <w:p w14:paraId="61C7EAFE" w14:textId="189EC71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Taller regional Formación de Formadores en Gusano Barrenado del Ganado (</w:t>
            </w:r>
            <w:proofErr w:type="spellStart"/>
            <w:r w:rsidRPr="00D23A75">
              <w:rPr>
                <w:rFonts w:eastAsia="Times New Roman"/>
                <w:sz w:val="19"/>
                <w:szCs w:val="19"/>
                <w:lang w:val="es-CR" w:eastAsia="es-CR"/>
              </w:rPr>
              <w:t>GBG</w:t>
            </w:r>
            <w:proofErr w:type="spellEnd"/>
            <w:r w:rsidRPr="00D23A75">
              <w:rPr>
                <w:rFonts w:eastAsia="Times New Roman"/>
                <w:sz w:val="19"/>
                <w:szCs w:val="19"/>
                <w:lang w:val="es-CR" w:eastAsia="es-CR"/>
              </w:rPr>
              <w:t>)</w:t>
            </w:r>
          </w:p>
        </w:tc>
        <w:tc>
          <w:tcPr>
            <w:tcW w:w="2741" w:type="dxa"/>
          </w:tcPr>
          <w:p w14:paraId="4D8F0A9C" w14:textId="1E47ED1C" w:rsidR="00D23A75" w:rsidRPr="00BF27B4" w:rsidRDefault="00D23A75" w:rsidP="00D23A75">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Desarrollo de capacitaciones a personal de salud humana animal-ambiental con relación Gusano Barrenador del Ganado, coordinado por parte del </w:t>
            </w:r>
            <w:proofErr w:type="spellStart"/>
            <w:r w:rsidRPr="00D23A75">
              <w:rPr>
                <w:rFonts w:eastAsia="Times New Roman"/>
                <w:sz w:val="19"/>
                <w:szCs w:val="19"/>
                <w:lang w:val="es-CR" w:eastAsia="es-CR"/>
              </w:rPr>
              <w:t>IICA</w:t>
            </w:r>
            <w:proofErr w:type="spellEnd"/>
            <w:r w:rsidRPr="00D23A75">
              <w:rPr>
                <w:rFonts w:eastAsia="Times New Roman"/>
                <w:sz w:val="19"/>
                <w:szCs w:val="19"/>
                <w:lang w:val="es-CR" w:eastAsia="es-CR"/>
              </w:rPr>
              <w:t xml:space="preserve">, con participación de las personas capacitadas en Costa Rica para la formación del personal con representación del Ministerio de Salud, del Servicio Nacional de Salud Animal, la Corporación Ganadera </w:t>
            </w:r>
            <w:proofErr w:type="spellStart"/>
            <w:r w:rsidRPr="00D23A75">
              <w:rPr>
                <w:rFonts w:eastAsia="Times New Roman"/>
                <w:sz w:val="19"/>
                <w:szCs w:val="19"/>
                <w:lang w:val="es-CR" w:eastAsia="es-CR"/>
              </w:rPr>
              <w:t>CORFOGA</w:t>
            </w:r>
            <w:proofErr w:type="spellEnd"/>
            <w:r w:rsidRPr="00D23A75">
              <w:rPr>
                <w:rFonts w:eastAsia="Times New Roman"/>
                <w:sz w:val="19"/>
                <w:szCs w:val="19"/>
                <w:lang w:val="es-CR" w:eastAsia="es-CR"/>
              </w:rPr>
              <w:t xml:space="preserve"> y el </w:t>
            </w:r>
            <w:proofErr w:type="spellStart"/>
            <w:r w:rsidRPr="00D23A75">
              <w:rPr>
                <w:rFonts w:eastAsia="Times New Roman"/>
                <w:sz w:val="19"/>
                <w:szCs w:val="19"/>
                <w:lang w:val="es-CR" w:eastAsia="es-CR"/>
              </w:rPr>
              <w:t>IICA</w:t>
            </w:r>
            <w:proofErr w:type="spellEnd"/>
            <w:r w:rsidRPr="00D23A75">
              <w:rPr>
                <w:rFonts w:eastAsia="Times New Roman"/>
                <w:sz w:val="19"/>
                <w:szCs w:val="19"/>
                <w:lang w:val="es-CR" w:eastAsia="es-CR"/>
              </w:rPr>
              <w:t>.</w:t>
            </w:r>
          </w:p>
        </w:tc>
        <w:tc>
          <w:tcPr>
            <w:tcW w:w="1812" w:type="dxa"/>
          </w:tcPr>
          <w:p w14:paraId="0396D193" w14:textId="48601068"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Instituto Interamericano de Cooperación para la Agricultura (</w:t>
            </w:r>
            <w:proofErr w:type="spellStart"/>
            <w:r w:rsidRPr="00D23A75">
              <w:rPr>
                <w:rFonts w:eastAsia="Times New Roman"/>
                <w:sz w:val="19"/>
                <w:szCs w:val="19"/>
                <w:lang w:val="es-CR" w:eastAsia="es-CR"/>
              </w:rPr>
              <w:t>IICA</w:t>
            </w:r>
            <w:proofErr w:type="spellEnd"/>
            <w:r w:rsidRPr="00D23A75">
              <w:rPr>
                <w:rFonts w:eastAsia="Times New Roman"/>
                <w:sz w:val="19"/>
                <w:szCs w:val="19"/>
                <w:lang w:val="es-CR" w:eastAsia="es-CR"/>
              </w:rPr>
              <w:t>)</w:t>
            </w:r>
          </w:p>
        </w:tc>
        <w:tc>
          <w:tcPr>
            <w:tcW w:w="1152" w:type="dxa"/>
          </w:tcPr>
          <w:p w14:paraId="4BF2B225" w14:textId="2A58BC2B"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38A902B1"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397FEDA8" w14:textId="77777777" w:rsidTr="00BF27B4">
        <w:trPr>
          <w:gridAfter w:val="1"/>
          <w:wAfter w:w="28" w:type="dxa"/>
          <w:trHeight w:val="50"/>
          <w:jc w:val="center"/>
        </w:trPr>
        <w:tc>
          <w:tcPr>
            <w:tcW w:w="1230" w:type="dxa"/>
          </w:tcPr>
          <w:p w14:paraId="135C36C7" w14:textId="5B3E134C" w:rsidR="00D23A75" w:rsidRPr="00BF27B4" w:rsidRDefault="00D23A75" w:rsidP="00D23A75">
            <w:pPr>
              <w:spacing w:line="240" w:lineRule="auto"/>
              <w:rPr>
                <w:rFonts w:eastAsia="Times New Roman"/>
                <w:sz w:val="19"/>
                <w:szCs w:val="19"/>
                <w:lang w:val="es-CR" w:eastAsia="es-CR"/>
              </w:rPr>
            </w:pPr>
            <w:proofErr w:type="spellStart"/>
            <w:r w:rsidRPr="00D23A75">
              <w:rPr>
                <w:rFonts w:eastAsia="Times New Roman"/>
                <w:sz w:val="19"/>
                <w:szCs w:val="19"/>
                <w:lang w:val="es-CR" w:eastAsia="es-CR"/>
              </w:rPr>
              <w:t>Karol</w:t>
            </w:r>
            <w:proofErr w:type="spellEnd"/>
            <w:r w:rsidRPr="00D23A75">
              <w:rPr>
                <w:rFonts w:eastAsia="Times New Roman"/>
                <w:sz w:val="19"/>
                <w:szCs w:val="19"/>
                <w:lang w:val="es-CR" w:eastAsia="es-CR"/>
              </w:rPr>
              <w:t xml:space="preserve"> Masís Díaz</w:t>
            </w:r>
          </w:p>
        </w:tc>
        <w:tc>
          <w:tcPr>
            <w:tcW w:w="1482" w:type="dxa"/>
          </w:tcPr>
          <w:p w14:paraId="53AE25F1" w14:textId="777724E5"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Regulación de Productos de Interés Sanitario </w:t>
            </w:r>
          </w:p>
        </w:tc>
        <w:tc>
          <w:tcPr>
            <w:tcW w:w="895" w:type="dxa"/>
          </w:tcPr>
          <w:p w14:paraId="5AF26A7D" w14:textId="06CA1951"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5</w:t>
            </w:r>
            <w:r w:rsidR="00B6388F" w:rsidRPr="00BF27B4">
              <w:rPr>
                <w:rFonts w:eastAsia="Times New Roman"/>
                <w:sz w:val="19"/>
                <w:szCs w:val="19"/>
                <w:lang w:val="es-CR" w:eastAsia="es-CR"/>
              </w:rPr>
              <w:t xml:space="preserve"> de agosto de 2025</w:t>
            </w:r>
          </w:p>
        </w:tc>
        <w:tc>
          <w:tcPr>
            <w:tcW w:w="1230" w:type="dxa"/>
          </w:tcPr>
          <w:p w14:paraId="20EC1262" w14:textId="5612AC72"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7</w:t>
            </w:r>
            <w:r w:rsidR="00B6388F" w:rsidRPr="00BF27B4">
              <w:rPr>
                <w:rFonts w:eastAsia="Times New Roman"/>
                <w:sz w:val="19"/>
                <w:szCs w:val="19"/>
                <w:lang w:val="es-CR" w:eastAsia="es-CR"/>
              </w:rPr>
              <w:t xml:space="preserve"> de agosto de 2025</w:t>
            </w:r>
          </w:p>
        </w:tc>
        <w:tc>
          <w:tcPr>
            <w:tcW w:w="1108" w:type="dxa"/>
          </w:tcPr>
          <w:p w14:paraId="1B89EC55" w14:textId="428DAB10"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Argentina</w:t>
            </w:r>
          </w:p>
        </w:tc>
        <w:tc>
          <w:tcPr>
            <w:tcW w:w="1812" w:type="dxa"/>
          </w:tcPr>
          <w:p w14:paraId="153C2B3C" w14:textId="4FE861CC" w:rsidR="00D23A75" w:rsidRPr="00BF27B4" w:rsidRDefault="00D23A75" w:rsidP="00D23A75">
            <w:pPr>
              <w:spacing w:line="240" w:lineRule="auto"/>
              <w:rPr>
                <w:rFonts w:eastAsia="Times New Roman"/>
                <w:sz w:val="19"/>
                <w:szCs w:val="19"/>
                <w:lang w:val="en-US" w:eastAsia="es-CR"/>
              </w:rPr>
            </w:pPr>
            <w:r w:rsidRPr="00D23A75">
              <w:rPr>
                <w:rFonts w:eastAsia="Times New Roman"/>
                <w:sz w:val="19"/>
                <w:szCs w:val="19"/>
                <w:lang w:val="en-US" w:eastAsia="es-CR"/>
              </w:rPr>
              <w:t>Strychnos - a Chemical Terrorism Workshop</w:t>
            </w:r>
          </w:p>
        </w:tc>
        <w:tc>
          <w:tcPr>
            <w:tcW w:w="2741" w:type="dxa"/>
          </w:tcPr>
          <w:p w14:paraId="405352AC" w14:textId="20FCB8E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57975AF6" w14:textId="1A4E8868"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Gobierno de Estados Unidos de América</w:t>
            </w:r>
          </w:p>
        </w:tc>
        <w:tc>
          <w:tcPr>
            <w:tcW w:w="1152" w:type="dxa"/>
          </w:tcPr>
          <w:p w14:paraId="64897E56" w14:textId="53A947D3"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09C08376"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42BA8D94" w14:textId="77777777" w:rsidTr="00BF27B4">
        <w:trPr>
          <w:gridAfter w:val="1"/>
          <w:wAfter w:w="28" w:type="dxa"/>
          <w:trHeight w:val="50"/>
          <w:jc w:val="center"/>
        </w:trPr>
        <w:tc>
          <w:tcPr>
            <w:tcW w:w="1230" w:type="dxa"/>
          </w:tcPr>
          <w:p w14:paraId="7BCD0AD0" w14:textId="41E21B8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Melissa Orozco Flores</w:t>
            </w:r>
          </w:p>
        </w:tc>
        <w:tc>
          <w:tcPr>
            <w:tcW w:w="1482" w:type="dxa"/>
          </w:tcPr>
          <w:p w14:paraId="0424C407" w14:textId="1A4733AF"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Planificación </w:t>
            </w:r>
          </w:p>
        </w:tc>
        <w:tc>
          <w:tcPr>
            <w:tcW w:w="895" w:type="dxa"/>
          </w:tcPr>
          <w:p w14:paraId="1180FAC4" w14:textId="1BB304A5"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18</w:t>
            </w:r>
            <w:r w:rsidR="00B6388F" w:rsidRPr="00BF27B4">
              <w:rPr>
                <w:rFonts w:eastAsia="Times New Roman"/>
                <w:sz w:val="19"/>
                <w:szCs w:val="19"/>
                <w:lang w:val="es-CR" w:eastAsia="es-CR"/>
              </w:rPr>
              <w:t xml:space="preserve"> de agosto de 2025</w:t>
            </w:r>
          </w:p>
        </w:tc>
        <w:tc>
          <w:tcPr>
            <w:tcW w:w="1230" w:type="dxa"/>
          </w:tcPr>
          <w:p w14:paraId="1C20E9DA" w14:textId="6DAFFD28"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20</w:t>
            </w:r>
            <w:r w:rsidR="00B6388F" w:rsidRPr="00BF27B4">
              <w:rPr>
                <w:rFonts w:eastAsia="Times New Roman"/>
                <w:sz w:val="19"/>
                <w:szCs w:val="19"/>
                <w:lang w:val="es-CR" w:eastAsia="es-CR"/>
              </w:rPr>
              <w:t xml:space="preserve"> de agosto de 2025</w:t>
            </w:r>
          </w:p>
        </w:tc>
        <w:tc>
          <w:tcPr>
            <w:tcW w:w="1108" w:type="dxa"/>
          </w:tcPr>
          <w:p w14:paraId="35B80FF6" w14:textId="5F57E6F5"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Chile</w:t>
            </w:r>
          </w:p>
        </w:tc>
        <w:tc>
          <w:tcPr>
            <w:tcW w:w="1812" w:type="dxa"/>
          </w:tcPr>
          <w:p w14:paraId="714919F2" w14:textId="4A444030"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Reunión regional de la iniciativa especial de abordaje de los determinantes sociales para la equidad en salud e iniciativa de gobernanza urbana para la salud y bienestar</w:t>
            </w:r>
          </w:p>
        </w:tc>
        <w:tc>
          <w:tcPr>
            <w:tcW w:w="2741" w:type="dxa"/>
          </w:tcPr>
          <w:p w14:paraId="1C7540FE" w14:textId="375F4AFA"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Convocatoria a una reunión para la presentación de la iniciativa Especial de Abordaje de los Determinantes Sociales para la Equidad en Salud con la jefatura y equipo técnico de Promoción de la Salud de la Dirección de Planificación. Convocatoria a una reunión con los representantes del nivel Regional y nivel local de la Dirección Regional Brunca </w:t>
            </w:r>
            <w:r w:rsidRPr="00D23A75">
              <w:rPr>
                <w:rFonts w:eastAsia="Times New Roman"/>
                <w:sz w:val="19"/>
                <w:szCs w:val="19"/>
                <w:lang w:val="es-CR" w:eastAsia="es-CR"/>
              </w:rPr>
              <w:lastRenderedPageBreak/>
              <w:t xml:space="preserve">(Director Regional, jefatura de la Unidad de Planificación, y colaboradores de proceso de promoción de la salud) para presentación de los antecedentes y avances en la implementación de la iniciativa Especial de Abordaje de los Determinantes Sociales para la Equidad en Salud. Definición de lineamientos por parte del nivel central para la incorporación de los representantes regional y locales en los equipos de trabajo que conducen la Iniciativa Especial de Abordaje de los Determinantes Sociales para la Equidad en Salud, a través de los CCCI. </w:t>
            </w:r>
          </w:p>
        </w:tc>
        <w:tc>
          <w:tcPr>
            <w:tcW w:w="1812" w:type="dxa"/>
          </w:tcPr>
          <w:p w14:paraId="594B0F49" w14:textId="5DCC34FB"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Organización Panamericana de la Salud (OPS)</w:t>
            </w:r>
          </w:p>
        </w:tc>
        <w:tc>
          <w:tcPr>
            <w:tcW w:w="1152" w:type="dxa"/>
          </w:tcPr>
          <w:p w14:paraId="2F965A82" w14:textId="37879DA5"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361AF1C9"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372EE4C0" w14:textId="77777777" w:rsidTr="00BF27B4">
        <w:trPr>
          <w:gridAfter w:val="1"/>
          <w:wAfter w:w="28" w:type="dxa"/>
          <w:trHeight w:val="50"/>
          <w:jc w:val="center"/>
        </w:trPr>
        <w:tc>
          <w:tcPr>
            <w:tcW w:w="1230" w:type="dxa"/>
          </w:tcPr>
          <w:p w14:paraId="09D62D47" w14:textId="302CEB2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Isaac Vargas Roldán </w:t>
            </w:r>
          </w:p>
        </w:tc>
        <w:tc>
          <w:tcPr>
            <w:tcW w:w="1482" w:type="dxa"/>
          </w:tcPr>
          <w:p w14:paraId="7893AD58" w14:textId="4646F730"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Vigilancia de la Salud </w:t>
            </w:r>
          </w:p>
        </w:tc>
        <w:tc>
          <w:tcPr>
            <w:tcW w:w="895" w:type="dxa"/>
          </w:tcPr>
          <w:p w14:paraId="546DFDC8" w14:textId="13272422"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19</w:t>
            </w:r>
            <w:r w:rsidR="00B6388F" w:rsidRPr="00BF27B4">
              <w:rPr>
                <w:rFonts w:eastAsia="Times New Roman"/>
                <w:sz w:val="19"/>
                <w:szCs w:val="19"/>
                <w:lang w:val="es-CR" w:eastAsia="es-CR"/>
              </w:rPr>
              <w:t xml:space="preserve"> de agosto de 2025</w:t>
            </w:r>
          </w:p>
        </w:tc>
        <w:tc>
          <w:tcPr>
            <w:tcW w:w="1230" w:type="dxa"/>
          </w:tcPr>
          <w:p w14:paraId="1AADC264" w14:textId="6095F3D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19</w:t>
            </w:r>
            <w:r w:rsidR="00B6388F" w:rsidRPr="00BF27B4">
              <w:rPr>
                <w:rFonts w:eastAsia="Times New Roman"/>
                <w:sz w:val="19"/>
                <w:szCs w:val="19"/>
                <w:lang w:val="es-CR" w:eastAsia="es-CR"/>
              </w:rPr>
              <w:t xml:space="preserve"> de agosto de 2025</w:t>
            </w:r>
          </w:p>
        </w:tc>
        <w:tc>
          <w:tcPr>
            <w:tcW w:w="1108" w:type="dxa"/>
          </w:tcPr>
          <w:p w14:paraId="17073CEA" w14:textId="233D8F8A"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Perú</w:t>
            </w:r>
          </w:p>
        </w:tc>
        <w:tc>
          <w:tcPr>
            <w:tcW w:w="1812" w:type="dxa"/>
          </w:tcPr>
          <w:p w14:paraId="0BB89488" w14:textId="0BB86CE4"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6.ª Reunión Regional de la Alianza para la Eliminación del </w:t>
            </w:r>
            <w:proofErr w:type="spellStart"/>
            <w:r w:rsidRPr="00D23A75">
              <w:rPr>
                <w:rFonts w:eastAsia="Times New Roman"/>
                <w:sz w:val="19"/>
                <w:szCs w:val="19"/>
                <w:lang w:val="es-CR" w:eastAsia="es-CR"/>
              </w:rPr>
              <w:t>Vivax</w:t>
            </w:r>
            <w:proofErr w:type="spellEnd"/>
            <w:r w:rsidRPr="00D23A75">
              <w:rPr>
                <w:rFonts w:eastAsia="Times New Roman"/>
                <w:sz w:val="19"/>
                <w:szCs w:val="19"/>
                <w:lang w:val="es-CR" w:eastAsia="es-CR"/>
              </w:rPr>
              <w:t xml:space="preserve"> (PAVE) para</w:t>
            </w:r>
            <w:r w:rsidRPr="00D23A75">
              <w:rPr>
                <w:rFonts w:eastAsia="Times New Roman"/>
                <w:sz w:val="19"/>
                <w:szCs w:val="19"/>
                <w:lang w:val="es-CR" w:eastAsia="es-CR"/>
              </w:rPr>
              <w:br/>
              <w:t>América Latina</w:t>
            </w:r>
          </w:p>
        </w:tc>
        <w:tc>
          <w:tcPr>
            <w:tcW w:w="2741" w:type="dxa"/>
          </w:tcPr>
          <w:p w14:paraId="4326EFBC" w14:textId="3D360C71"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47C7E054" w14:textId="5D882BEE" w:rsidR="00D23A75" w:rsidRPr="00BF27B4" w:rsidRDefault="00D23A75" w:rsidP="00D23A75">
            <w:pPr>
              <w:spacing w:line="240" w:lineRule="auto"/>
              <w:rPr>
                <w:rFonts w:eastAsia="Times New Roman"/>
                <w:i/>
                <w:iCs/>
                <w:sz w:val="19"/>
                <w:szCs w:val="19"/>
                <w:lang w:val="es-CR" w:eastAsia="es-CR"/>
              </w:rPr>
            </w:pPr>
            <w:proofErr w:type="spellStart"/>
            <w:r w:rsidRPr="00D23A75">
              <w:rPr>
                <w:rFonts w:eastAsia="Times New Roman"/>
                <w:sz w:val="19"/>
                <w:szCs w:val="19"/>
                <w:lang w:val="es-CR" w:eastAsia="es-CR"/>
              </w:rPr>
              <w:t>United</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Nations</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Foundation</w:t>
            </w:r>
            <w:proofErr w:type="spellEnd"/>
          </w:p>
        </w:tc>
        <w:tc>
          <w:tcPr>
            <w:tcW w:w="1152" w:type="dxa"/>
          </w:tcPr>
          <w:p w14:paraId="59F5D8F8" w14:textId="634F0122"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479195DC"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2DDBEC14" w14:textId="77777777" w:rsidTr="00BF27B4">
        <w:trPr>
          <w:gridAfter w:val="1"/>
          <w:wAfter w:w="28" w:type="dxa"/>
          <w:trHeight w:val="50"/>
          <w:jc w:val="center"/>
        </w:trPr>
        <w:tc>
          <w:tcPr>
            <w:tcW w:w="1230" w:type="dxa"/>
          </w:tcPr>
          <w:p w14:paraId="1D0A6CB3" w14:textId="40ECB99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Katherine Arroyo Herrera</w:t>
            </w:r>
          </w:p>
        </w:tc>
        <w:tc>
          <w:tcPr>
            <w:tcW w:w="1482" w:type="dxa"/>
          </w:tcPr>
          <w:p w14:paraId="33F8C56D" w14:textId="5499871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Protección Radiológica y Salud Ambiental </w:t>
            </w:r>
          </w:p>
        </w:tc>
        <w:tc>
          <w:tcPr>
            <w:tcW w:w="895" w:type="dxa"/>
          </w:tcPr>
          <w:p w14:paraId="69BABB7D" w14:textId="2B5A53D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19</w:t>
            </w:r>
            <w:r w:rsidR="00B6388F" w:rsidRPr="00BF27B4">
              <w:rPr>
                <w:rFonts w:eastAsia="Times New Roman"/>
                <w:sz w:val="19"/>
                <w:szCs w:val="19"/>
                <w:lang w:val="es-CR" w:eastAsia="es-CR"/>
              </w:rPr>
              <w:t xml:space="preserve"> de agosto de 2025</w:t>
            </w:r>
          </w:p>
        </w:tc>
        <w:tc>
          <w:tcPr>
            <w:tcW w:w="1230" w:type="dxa"/>
          </w:tcPr>
          <w:p w14:paraId="3BB7A2E5" w14:textId="76AC7EE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108" w:type="dxa"/>
          </w:tcPr>
          <w:p w14:paraId="0EF10808" w14:textId="782A7107"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Colombia</w:t>
            </w:r>
          </w:p>
        </w:tc>
        <w:tc>
          <w:tcPr>
            <w:tcW w:w="1812" w:type="dxa"/>
          </w:tcPr>
          <w:p w14:paraId="4FCDD068" w14:textId="0F3F0EF5"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Taller Regional sobre la Capacitación de Formadores para la Gestión Segura de Residuos Sólidos en </w:t>
            </w:r>
            <w:r w:rsidRPr="00D23A75">
              <w:rPr>
                <w:rFonts w:eastAsia="Times New Roman"/>
                <w:sz w:val="19"/>
                <w:szCs w:val="19"/>
                <w:lang w:val="es-CR" w:eastAsia="es-CR"/>
              </w:rPr>
              <w:lastRenderedPageBreak/>
              <w:t>Establecimientos de Salud</w:t>
            </w:r>
          </w:p>
        </w:tc>
        <w:tc>
          <w:tcPr>
            <w:tcW w:w="2741" w:type="dxa"/>
          </w:tcPr>
          <w:p w14:paraId="25C0F3C9" w14:textId="012D98C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 xml:space="preserve">No se asumen compromisos. </w:t>
            </w:r>
          </w:p>
        </w:tc>
        <w:tc>
          <w:tcPr>
            <w:tcW w:w="1812" w:type="dxa"/>
          </w:tcPr>
          <w:p w14:paraId="76551CDD" w14:textId="4D4A1674"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Organización Panamericana de la Salud (OPS)</w:t>
            </w:r>
          </w:p>
        </w:tc>
        <w:tc>
          <w:tcPr>
            <w:tcW w:w="1152" w:type="dxa"/>
          </w:tcPr>
          <w:p w14:paraId="3A4148FD" w14:textId="7B51A704"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7599F1BE"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5908DDE3" w14:textId="77777777" w:rsidTr="00BF27B4">
        <w:trPr>
          <w:gridAfter w:val="1"/>
          <w:wAfter w:w="28" w:type="dxa"/>
          <w:trHeight w:val="50"/>
          <w:jc w:val="center"/>
        </w:trPr>
        <w:tc>
          <w:tcPr>
            <w:tcW w:w="1230" w:type="dxa"/>
          </w:tcPr>
          <w:p w14:paraId="68FC7E06" w14:textId="3E67632A"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Rosalyn Aguilar Hernández</w:t>
            </w:r>
          </w:p>
        </w:tc>
        <w:tc>
          <w:tcPr>
            <w:tcW w:w="1482" w:type="dxa"/>
          </w:tcPr>
          <w:p w14:paraId="397BA650" w14:textId="1F540FE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Planificación </w:t>
            </w:r>
          </w:p>
        </w:tc>
        <w:tc>
          <w:tcPr>
            <w:tcW w:w="895" w:type="dxa"/>
          </w:tcPr>
          <w:p w14:paraId="57A827BF" w14:textId="3957AB9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20</w:t>
            </w:r>
            <w:r w:rsidR="00B6388F" w:rsidRPr="00BF27B4">
              <w:rPr>
                <w:rFonts w:eastAsia="Times New Roman"/>
                <w:sz w:val="19"/>
                <w:szCs w:val="19"/>
                <w:lang w:val="es-CR" w:eastAsia="es-CR"/>
              </w:rPr>
              <w:t xml:space="preserve"> de agosto de 2025</w:t>
            </w:r>
          </w:p>
        </w:tc>
        <w:tc>
          <w:tcPr>
            <w:tcW w:w="1230" w:type="dxa"/>
          </w:tcPr>
          <w:p w14:paraId="6909BEAC" w14:textId="327A1D62"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108" w:type="dxa"/>
          </w:tcPr>
          <w:p w14:paraId="35E4C917" w14:textId="63C93F2F"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Perú</w:t>
            </w:r>
          </w:p>
        </w:tc>
        <w:tc>
          <w:tcPr>
            <w:tcW w:w="1812" w:type="dxa"/>
          </w:tcPr>
          <w:p w14:paraId="250353D2" w14:textId="3A89ECB4"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Serie de actividades de capacitación sobre la atención en salud a niñas, niños y adolescentes sobrevivientes de violencia</w:t>
            </w:r>
          </w:p>
        </w:tc>
        <w:tc>
          <w:tcPr>
            <w:tcW w:w="2741" w:type="dxa"/>
          </w:tcPr>
          <w:p w14:paraId="0BB35850" w14:textId="584A8E2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7A4FB14D" w14:textId="3F3D5DEB"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Organización Panamericana de la Salud (OPS)</w:t>
            </w:r>
          </w:p>
        </w:tc>
        <w:tc>
          <w:tcPr>
            <w:tcW w:w="1152" w:type="dxa"/>
          </w:tcPr>
          <w:p w14:paraId="5E51D8AC" w14:textId="29366724" w:rsidR="00D23A75" w:rsidRPr="00BF27B4" w:rsidRDefault="00BF27B4" w:rsidP="00BF27B4">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04F22883" w14:textId="77777777" w:rsidR="00D23A75" w:rsidRPr="00BF27B4" w:rsidRDefault="00D23A75" w:rsidP="00D23A75">
            <w:pPr>
              <w:spacing w:line="240" w:lineRule="auto"/>
              <w:rPr>
                <w:rFonts w:eastAsia="Times New Roman"/>
                <w:sz w:val="19"/>
                <w:szCs w:val="19"/>
                <w:lang w:val="es-CR" w:eastAsia="es-CR"/>
              </w:rPr>
            </w:pPr>
          </w:p>
        </w:tc>
      </w:tr>
      <w:tr w:rsidR="00C25A03" w:rsidRPr="00BF27B4" w14:paraId="40B852B9" w14:textId="77777777" w:rsidTr="00BF27B4">
        <w:trPr>
          <w:gridAfter w:val="1"/>
          <w:wAfter w:w="28" w:type="dxa"/>
          <w:trHeight w:val="50"/>
          <w:jc w:val="center"/>
        </w:trPr>
        <w:tc>
          <w:tcPr>
            <w:tcW w:w="1230" w:type="dxa"/>
          </w:tcPr>
          <w:p w14:paraId="4435456D" w14:textId="72FCBCE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Amed </w:t>
            </w:r>
            <w:proofErr w:type="spellStart"/>
            <w:r w:rsidRPr="00D23A75">
              <w:rPr>
                <w:rFonts w:eastAsia="Times New Roman"/>
                <w:sz w:val="19"/>
                <w:szCs w:val="19"/>
                <w:lang w:val="es-CR" w:eastAsia="es-CR"/>
              </w:rPr>
              <w:t>LaRoche</w:t>
            </w:r>
            <w:proofErr w:type="spellEnd"/>
            <w:r w:rsidRPr="00D23A75">
              <w:rPr>
                <w:rFonts w:eastAsia="Times New Roman"/>
                <w:sz w:val="19"/>
                <w:szCs w:val="19"/>
                <w:lang w:val="es-CR" w:eastAsia="es-CR"/>
              </w:rPr>
              <w:t xml:space="preserve"> Loaiza</w:t>
            </w:r>
          </w:p>
        </w:tc>
        <w:tc>
          <w:tcPr>
            <w:tcW w:w="1482" w:type="dxa"/>
          </w:tcPr>
          <w:p w14:paraId="4AB53905" w14:textId="64E833B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Dirección Regional de Rectoría de la Salud Brunca</w:t>
            </w:r>
          </w:p>
        </w:tc>
        <w:tc>
          <w:tcPr>
            <w:tcW w:w="895" w:type="dxa"/>
          </w:tcPr>
          <w:p w14:paraId="2559472A" w14:textId="758D986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20</w:t>
            </w:r>
            <w:r w:rsidR="00B6388F" w:rsidRPr="00BF27B4">
              <w:rPr>
                <w:rFonts w:eastAsia="Times New Roman"/>
                <w:sz w:val="19"/>
                <w:szCs w:val="19"/>
                <w:lang w:val="es-CR" w:eastAsia="es-CR"/>
              </w:rPr>
              <w:t xml:space="preserve"> de agosto de 2025</w:t>
            </w:r>
          </w:p>
        </w:tc>
        <w:tc>
          <w:tcPr>
            <w:tcW w:w="1230" w:type="dxa"/>
          </w:tcPr>
          <w:p w14:paraId="6D0BE1A2" w14:textId="0EFDAA64"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108" w:type="dxa"/>
          </w:tcPr>
          <w:p w14:paraId="7BDBF9B6" w14:textId="7E2C1736"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Brasil</w:t>
            </w:r>
          </w:p>
        </w:tc>
        <w:tc>
          <w:tcPr>
            <w:tcW w:w="1812" w:type="dxa"/>
          </w:tcPr>
          <w:p w14:paraId="4107B0AE" w14:textId="7C835F8F"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Reunión Regional de Programas de Accidentes por Animales Venenosos de América Latina y Caribe</w:t>
            </w:r>
          </w:p>
        </w:tc>
        <w:tc>
          <w:tcPr>
            <w:tcW w:w="2741" w:type="dxa"/>
          </w:tcPr>
          <w:p w14:paraId="5F11DCE6" w14:textId="56F5F559" w:rsidR="00D23A75" w:rsidRPr="00BF27B4" w:rsidRDefault="00D23A75" w:rsidP="00D23A75">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 --</w:t>
            </w:r>
          </w:p>
        </w:tc>
        <w:tc>
          <w:tcPr>
            <w:tcW w:w="1812" w:type="dxa"/>
          </w:tcPr>
          <w:p w14:paraId="4B544DA7" w14:textId="34D22FAC"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Organización Panamericana de la Salud (OPS)</w:t>
            </w:r>
          </w:p>
        </w:tc>
        <w:tc>
          <w:tcPr>
            <w:tcW w:w="1152" w:type="dxa"/>
          </w:tcPr>
          <w:p w14:paraId="7C33E14C" w14:textId="01E96F06"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6D571472" w14:textId="6B7E5E9B"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Queda sin efecto por medio del oficio CARTA-MS-DM-3894-2025 y el oficio CARTA-MS-DM-3895-2025.</w:t>
            </w:r>
          </w:p>
        </w:tc>
      </w:tr>
      <w:tr w:rsidR="00C25A03" w:rsidRPr="00BF27B4" w14:paraId="3F558C9A" w14:textId="77777777" w:rsidTr="00BF27B4">
        <w:trPr>
          <w:gridAfter w:val="1"/>
          <w:wAfter w:w="28" w:type="dxa"/>
          <w:trHeight w:val="50"/>
          <w:jc w:val="center"/>
        </w:trPr>
        <w:tc>
          <w:tcPr>
            <w:tcW w:w="1230" w:type="dxa"/>
          </w:tcPr>
          <w:p w14:paraId="7A4A600A" w14:textId="186C02A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María José Lafuente González</w:t>
            </w:r>
          </w:p>
        </w:tc>
        <w:tc>
          <w:tcPr>
            <w:tcW w:w="1482" w:type="dxa"/>
          </w:tcPr>
          <w:p w14:paraId="125361DC" w14:textId="02ADE376"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Vigilancia de la Salud </w:t>
            </w:r>
          </w:p>
        </w:tc>
        <w:tc>
          <w:tcPr>
            <w:tcW w:w="895" w:type="dxa"/>
          </w:tcPr>
          <w:p w14:paraId="23DE0313" w14:textId="7502B96C"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20</w:t>
            </w:r>
            <w:r w:rsidR="00B6388F" w:rsidRPr="00BF27B4">
              <w:rPr>
                <w:rFonts w:eastAsia="Times New Roman"/>
                <w:sz w:val="19"/>
                <w:szCs w:val="19"/>
                <w:lang w:val="es-CR" w:eastAsia="es-CR"/>
              </w:rPr>
              <w:t xml:space="preserve"> de agosto de 2025</w:t>
            </w:r>
          </w:p>
        </w:tc>
        <w:tc>
          <w:tcPr>
            <w:tcW w:w="1230" w:type="dxa"/>
          </w:tcPr>
          <w:p w14:paraId="1728B4B0" w14:textId="3283CD32"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108" w:type="dxa"/>
          </w:tcPr>
          <w:p w14:paraId="0FA8940A" w14:textId="443087C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Brasil</w:t>
            </w:r>
          </w:p>
        </w:tc>
        <w:tc>
          <w:tcPr>
            <w:tcW w:w="1812" w:type="dxa"/>
          </w:tcPr>
          <w:p w14:paraId="5143FDC7" w14:textId="14D5F6A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Reunión Regional de Programas de Accidentes por Animales Venenosos de América Latina y Caribe</w:t>
            </w:r>
          </w:p>
        </w:tc>
        <w:tc>
          <w:tcPr>
            <w:tcW w:w="2741" w:type="dxa"/>
          </w:tcPr>
          <w:p w14:paraId="386B9356" w14:textId="6F64F75A" w:rsidR="00D23A75" w:rsidRPr="00BF27B4" w:rsidRDefault="00D23A75" w:rsidP="00D23A75">
            <w:pPr>
              <w:spacing w:line="240" w:lineRule="auto"/>
              <w:rPr>
                <w:rFonts w:eastAsia="Times New Roman"/>
                <w:i/>
                <w:iCs/>
                <w:sz w:val="19"/>
                <w:szCs w:val="19"/>
                <w:lang w:val="es-CR" w:eastAsia="es-CR"/>
              </w:rPr>
            </w:pPr>
            <w:r w:rsidRPr="00D23A75">
              <w:rPr>
                <w:rFonts w:eastAsia="Times New Roman"/>
                <w:sz w:val="19"/>
                <w:szCs w:val="19"/>
                <w:lang w:val="es-CR" w:eastAsia="es-CR"/>
              </w:rPr>
              <w:t>Estar a la espera del informe final y ruta de trabajo conjunto para el desarrollo de actividades conjuntas y propuestas de políticas de salud humana, animal y ambiental de los países de la región involucrados.</w:t>
            </w:r>
          </w:p>
        </w:tc>
        <w:tc>
          <w:tcPr>
            <w:tcW w:w="1812" w:type="dxa"/>
          </w:tcPr>
          <w:p w14:paraId="12000E21" w14:textId="0F7233DB"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Organización Panamericana de la Salud (OPS)</w:t>
            </w:r>
          </w:p>
        </w:tc>
        <w:tc>
          <w:tcPr>
            <w:tcW w:w="1152" w:type="dxa"/>
          </w:tcPr>
          <w:p w14:paraId="272AD132" w14:textId="1E38417D"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30A83066" w14:textId="554E04F8" w:rsidR="00D23A75" w:rsidRPr="00BF27B4" w:rsidRDefault="00D23A75" w:rsidP="00D23A75">
            <w:pPr>
              <w:spacing w:line="240" w:lineRule="auto"/>
              <w:rPr>
                <w:rFonts w:eastAsia="Times New Roman"/>
                <w:sz w:val="19"/>
                <w:szCs w:val="19"/>
                <w:lang w:val="es-CR" w:eastAsia="es-CR"/>
              </w:rPr>
            </w:pPr>
          </w:p>
        </w:tc>
      </w:tr>
      <w:tr w:rsidR="00C25A03" w:rsidRPr="00BF27B4" w14:paraId="7E5E78AF" w14:textId="77777777" w:rsidTr="00BF27B4">
        <w:trPr>
          <w:gridAfter w:val="1"/>
          <w:wAfter w:w="28" w:type="dxa"/>
          <w:trHeight w:val="50"/>
          <w:jc w:val="center"/>
        </w:trPr>
        <w:tc>
          <w:tcPr>
            <w:tcW w:w="1230" w:type="dxa"/>
          </w:tcPr>
          <w:p w14:paraId="4FFFB7BA" w14:textId="75D38208"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Xiomara Vega Cruz</w:t>
            </w:r>
          </w:p>
        </w:tc>
        <w:tc>
          <w:tcPr>
            <w:tcW w:w="1482" w:type="dxa"/>
          </w:tcPr>
          <w:p w14:paraId="203834DC" w14:textId="4E305DBF"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Regulación de Productos de Interés Sanitario </w:t>
            </w:r>
          </w:p>
        </w:tc>
        <w:tc>
          <w:tcPr>
            <w:tcW w:w="895" w:type="dxa"/>
          </w:tcPr>
          <w:p w14:paraId="2750B10B" w14:textId="6175839C"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20</w:t>
            </w:r>
            <w:r w:rsidR="00B6388F" w:rsidRPr="00BF27B4">
              <w:rPr>
                <w:rFonts w:eastAsia="Times New Roman"/>
                <w:sz w:val="19"/>
                <w:szCs w:val="19"/>
                <w:lang w:val="es-CR" w:eastAsia="es-CR"/>
              </w:rPr>
              <w:t xml:space="preserve"> de agosto de 2025</w:t>
            </w:r>
          </w:p>
        </w:tc>
        <w:tc>
          <w:tcPr>
            <w:tcW w:w="1230" w:type="dxa"/>
          </w:tcPr>
          <w:p w14:paraId="5DA4B3A8" w14:textId="6CA77CAE"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108" w:type="dxa"/>
          </w:tcPr>
          <w:p w14:paraId="128D2ADF" w14:textId="28E1D75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México</w:t>
            </w:r>
          </w:p>
        </w:tc>
        <w:tc>
          <w:tcPr>
            <w:tcW w:w="1812" w:type="dxa"/>
          </w:tcPr>
          <w:p w14:paraId="4CB263A2" w14:textId="7B0FD051"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7° Simposio del Capítulo Latinoamericano de la International </w:t>
            </w:r>
            <w:proofErr w:type="spellStart"/>
            <w:r w:rsidRPr="00D23A75">
              <w:rPr>
                <w:rFonts w:eastAsia="Times New Roman"/>
                <w:sz w:val="19"/>
                <w:szCs w:val="19"/>
                <w:lang w:val="es-CR" w:eastAsia="es-CR"/>
              </w:rPr>
              <w:t>Society</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of</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Pharmacovigilance</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ISoP</w:t>
            </w:r>
            <w:proofErr w:type="spellEnd"/>
            <w:r w:rsidRPr="00D23A75">
              <w:rPr>
                <w:rFonts w:eastAsia="Times New Roman"/>
                <w:sz w:val="19"/>
                <w:szCs w:val="19"/>
                <w:lang w:val="es-CR" w:eastAsia="es-CR"/>
              </w:rPr>
              <w:t>)</w:t>
            </w:r>
          </w:p>
        </w:tc>
        <w:tc>
          <w:tcPr>
            <w:tcW w:w="2741" w:type="dxa"/>
          </w:tcPr>
          <w:p w14:paraId="72A527A6" w14:textId="28B7A2D9" w:rsidR="00D23A75" w:rsidRPr="00BF27B4" w:rsidRDefault="00D23A75" w:rsidP="00D23A75">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44EEF76D" w14:textId="27EF1635"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Capítulo Latinoamericano de la International </w:t>
            </w:r>
            <w:proofErr w:type="spellStart"/>
            <w:r w:rsidRPr="00D23A75">
              <w:rPr>
                <w:rFonts w:eastAsia="Times New Roman"/>
                <w:sz w:val="19"/>
                <w:szCs w:val="19"/>
                <w:lang w:val="es-CR" w:eastAsia="es-CR"/>
              </w:rPr>
              <w:t>Society</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of</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Pharmacovigilance</w:t>
            </w:r>
            <w:proofErr w:type="spellEnd"/>
            <w:r w:rsidRPr="00D23A75">
              <w:rPr>
                <w:rFonts w:eastAsia="Times New Roman"/>
                <w:sz w:val="19"/>
                <w:szCs w:val="19"/>
                <w:lang w:val="es-CR" w:eastAsia="es-CR"/>
              </w:rPr>
              <w:t xml:space="preserve"> (</w:t>
            </w:r>
            <w:proofErr w:type="spellStart"/>
            <w:r w:rsidRPr="00D23A75">
              <w:rPr>
                <w:rFonts w:eastAsia="Times New Roman"/>
                <w:sz w:val="19"/>
                <w:szCs w:val="19"/>
                <w:lang w:val="es-CR" w:eastAsia="es-CR"/>
              </w:rPr>
              <w:t>ISoP</w:t>
            </w:r>
            <w:proofErr w:type="spellEnd"/>
            <w:r w:rsidRPr="00D23A75">
              <w:rPr>
                <w:rFonts w:eastAsia="Times New Roman"/>
                <w:sz w:val="19"/>
                <w:szCs w:val="19"/>
                <w:lang w:val="es-CR" w:eastAsia="es-CR"/>
              </w:rPr>
              <w:t>)</w:t>
            </w:r>
          </w:p>
        </w:tc>
        <w:tc>
          <w:tcPr>
            <w:tcW w:w="1152" w:type="dxa"/>
          </w:tcPr>
          <w:p w14:paraId="1E96EEA3" w14:textId="64C4AAB7"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1F4D951F" w14:textId="2D2180ED" w:rsidR="00D23A75" w:rsidRPr="00BF27B4" w:rsidRDefault="00D23A75" w:rsidP="00D23A75">
            <w:pPr>
              <w:spacing w:line="240" w:lineRule="auto"/>
              <w:rPr>
                <w:rFonts w:eastAsia="Times New Roman"/>
                <w:sz w:val="19"/>
                <w:szCs w:val="19"/>
                <w:lang w:val="es-CR" w:eastAsia="es-CR"/>
              </w:rPr>
            </w:pPr>
          </w:p>
        </w:tc>
      </w:tr>
      <w:tr w:rsidR="00C25A03" w:rsidRPr="00BF27B4" w14:paraId="3262BE59" w14:textId="77777777" w:rsidTr="00BF27B4">
        <w:trPr>
          <w:gridAfter w:val="1"/>
          <w:wAfter w:w="28" w:type="dxa"/>
          <w:trHeight w:val="50"/>
          <w:jc w:val="center"/>
        </w:trPr>
        <w:tc>
          <w:tcPr>
            <w:tcW w:w="1230" w:type="dxa"/>
          </w:tcPr>
          <w:p w14:paraId="0948DB25" w14:textId="5AC399B0" w:rsidR="00D23A75" w:rsidRPr="00BF27B4" w:rsidRDefault="00D23A75" w:rsidP="00D23A75">
            <w:pPr>
              <w:spacing w:line="240" w:lineRule="auto"/>
              <w:rPr>
                <w:rFonts w:eastAsia="Times New Roman"/>
                <w:sz w:val="19"/>
                <w:szCs w:val="19"/>
                <w:lang w:val="es-CR" w:eastAsia="es-CR"/>
              </w:rPr>
            </w:pPr>
            <w:proofErr w:type="spellStart"/>
            <w:r w:rsidRPr="00D23A75">
              <w:rPr>
                <w:rFonts w:eastAsia="Times New Roman"/>
                <w:sz w:val="19"/>
                <w:szCs w:val="19"/>
                <w:lang w:val="es-CR" w:eastAsia="es-CR"/>
              </w:rPr>
              <w:lastRenderedPageBreak/>
              <w:t>Bernny</w:t>
            </w:r>
            <w:proofErr w:type="spellEnd"/>
            <w:r w:rsidRPr="00D23A75">
              <w:rPr>
                <w:rFonts w:eastAsia="Times New Roman"/>
                <w:sz w:val="19"/>
                <w:szCs w:val="19"/>
                <w:lang w:val="es-CR" w:eastAsia="es-CR"/>
              </w:rPr>
              <w:t xml:space="preserve"> Villarreal Cortés </w:t>
            </w:r>
          </w:p>
        </w:tc>
        <w:tc>
          <w:tcPr>
            <w:tcW w:w="1482" w:type="dxa"/>
          </w:tcPr>
          <w:p w14:paraId="4B0BE0CC" w14:textId="1CEBC962"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Dirección General de Salud</w:t>
            </w:r>
          </w:p>
        </w:tc>
        <w:tc>
          <w:tcPr>
            <w:tcW w:w="895" w:type="dxa"/>
          </w:tcPr>
          <w:p w14:paraId="21BBE174" w14:textId="3CEE111F"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230" w:type="dxa"/>
          </w:tcPr>
          <w:p w14:paraId="3FC4F5D5" w14:textId="4FC449E1"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108" w:type="dxa"/>
          </w:tcPr>
          <w:p w14:paraId="0217CC4B" w14:textId="74E22EE3"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Panamá</w:t>
            </w:r>
          </w:p>
        </w:tc>
        <w:tc>
          <w:tcPr>
            <w:tcW w:w="1812" w:type="dxa"/>
          </w:tcPr>
          <w:p w14:paraId="6604F98A" w14:textId="242D9D99"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t xml:space="preserve">Presentación del informe sobre salud pública y movilidad en los Puntos de Entrada oficiales de migración de Paso Canoas y Puente Sixaola-Guabito </w:t>
            </w:r>
          </w:p>
        </w:tc>
        <w:tc>
          <w:tcPr>
            <w:tcW w:w="2741" w:type="dxa"/>
          </w:tcPr>
          <w:p w14:paraId="67E607FD" w14:textId="3D77B9FC" w:rsidR="00D23A75" w:rsidRPr="00BF27B4" w:rsidRDefault="00D23A75" w:rsidP="00D23A75">
            <w:pPr>
              <w:spacing w:line="240" w:lineRule="auto"/>
              <w:rPr>
                <w:rFonts w:eastAsia="Times New Roman"/>
                <w:i/>
                <w:iCs/>
                <w:sz w:val="19"/>
                <w:szCs w:val="19"/>
                <w:lang w:val="es-CR" w:eastAsia="es-CR"/>
              </w:rPr>
            </w:pPr>
            <w:r w:rsidRPr="00D23A75">
              <w:rPr>
                <w:rFonts w:eastAsia="Times New Roman"/>
                <w:sz w:val="19"/>
                <w:szCs w:val="19"/>
                <w:lang w:val="es-CR" w:eastAsia="es-CR"/>
              </w:rPr>
              <w:t>Los resultados del estudio Exploración Rápida sobre información existente de salud pública y movilidad en puntos de entrada Frontera binacional de Costa Rica- Panamá será insumo para el fortalecimiento de las acciones del Plan de Acción 2025-2028 de la Comisión Técnica Sectorial Binacional en Salud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Las autoridades de salud de ambos países garantizarán la participación sistemática de los niveles locales, regionales y nacionales, según corresponda, en las actividades contempladas en el Plan de Acción 2025-2028, con el apoyo de la SE-COMISCA. La Unidad de Relaciones Internacionales de cada ministerio de salud serán los puntos focales para la comunicación y coordinación entre Salud de la Frontera de SE-COMISCA y la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En el caso de Costa Rica, toda comunicación debe remitirse al correo </w:t>
            </w:r>
            <w:hyperlink r:id="rId4" w:history="1">
              <w:r w:rsidR="001C6EF4" w:rsidRPr="00D23A75">
                <w:rPr>
                  <w:rStyle w:val="Hipervnculo"/>
                  <w:rFonts w:eastAsia="Times New Roman"/>
                  <w:sz w:val="19"/>
                  <w:szCs w:val="19"/>
                  <w:lang w:val="es-CR" w:eastAsia="es-CR"/>
                </w:rPr>
                <w:t>internacionales@misalud.go.cr</w:t>
              </w:r>
            </w:hyperlink>
            <w:r w:rsidR="001C6EF4" w:rsidRPr="00BF27B4">
              <w:rPr>
                <w:rFonts w:eastAsia="Times New Roman"/>
                <w:sz w:val="19"/>
                <w:szCs w:val="19"/>
                <w:lang w:val="es-CR" w:eastAsia="es-CR"/>
              </w:rPr>
              <w:t xml:space="preserve"> </w:t>
            </w:r>
            <w:r w:rsidRPr="00D23A75">
              <w:rPr>
                <w:rFonts w:eastAsia="Times New Roman"/>
                <w:sz w:val="19"/>
                <w:szCs w:val="19"/>
                <w:lang w:val="es-CR" w:eastAsia="es-CR"/>
              </w:rPr>
              <w:t xml:space="preserve"> en el caso de Panamá las comunicaciones deben remitirse al correo </w:t>
            </w:r>
            <w:hyperlink r:id="rId5" w:history="1">
              <w:r w:rsidR="001C6EF4" w:rsidRPr="00D23A75">
                <w:rPr>
                  <w:rStyle w:val="Hipervnculo"/>
                  <w:rFonts w:eastAsia="Times New Roman"/>
                  <w:sz w:val="19"/>
                  <w:szCs w:val="19"/>
                  <w:lang w:val="es-CR" w:eastAsia="es-CR"/>
                </w:rPr>
                <w:t>lsalcedo@minsa.gob.pa</w:t>
              </w:r>
            </w:hyperlink>
            <w:r w:rsidR="001C6EF4" w:rsidRPr="00BF27B4">
              <w:rPr>
                <w:rFonts w:eastAsia="Times New Roman"/>
                <w:sz w:val="19"/>
                <w:szCs w:val="19"/>
                <w:lang w:val="es-CR" w:eastAsia="es-CR"/>
              </w:rPr>
              <w:t xml:space="preserve">. </w:t>
            </w:r>
            <w:r w:rsidRPr="00D23A75">
              <w:rPr>
                <w:rFonts w:eastAsia="Times New Roman"/>
                <w:sz w:val="19"/>
                <w:szCs w:val="19"/>
                <w:lang w:val="es-CR" w:eastAsia="es-CR"/>
              </w:rPr>
              <w:t>El Plan de Acción 2025-2028 será enviado a SE-COMISCA para identificar puntos estratégicos prioritarios dentro de los cuatro ejes de trabajo y Promoción de la Salud como eje transversal, para la dotación de apoyo técnico y financiero desde la Secretaría Ejecutiva.</w:t>
            </w:r>
          </w:p>
        </w:tc>
        <w:tc>
          <w:tcPr>
            <w:tcW w:w="1812" w:type="dxa"/>
          </w:tcPr>
          <w:p w14:paraId="7ECD521E" w14:textId="7A6BBE6D" w:rsidR="00D23A75" w:rsidRPr="00BF27B4" w:rsidRDefault="00D23A75" w:rsidP="00D23A75">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tc>
        <w:tc>
          <w:tcPr>
            <w:tcW w:w="1152" w:type="dxa"/>
          </w:tcPr>
          <w:p w14:paraId="25D4479B" w14:textId="1D655149" w:rsidR="00D23A75" w:rsidRPr="00BF27B4" w:rsidRDefault="00BF27B4" w:rsidP="00D23A75">
            <w:pPr>
              <w:spacing w:line="240" w:lineRule="auto"/>
              <w:rPr>
                <w:rFonts w:eastAsia="Times New Roman"/>
                <w:sz w:val="19"/>
                <w:szCs w:val="19"/>
                <w:lang w:val="es-CR" w:eastAsia="es-CR"/>
              </w:rPr>
            </w:pPr>
            <w:r w:rsidRPr="00BF27B4">
              <w:rPr>
                <w:rFonts w:eastAsia="Times New Roman"/>
                <w:sz w:val="19"/>
                <w:szCs w:val="19"/>
                <w:lang w:val="es-CR" w:eastAsia="es-CR"/>
              </w:rPr>
              <w:t>No</w:t>
            </w:r>
            <w:r w:rsidR="00D23A75" w:rsidRPr="00D23A75">
              <w:rPr>
                <w:rFonts w:eastAsia="Times New Roman"/>
                <w:sz w:val="19"/>
                <w:szCs w:val="19"/>
                <w:lang w:val="es-CR" w:eastAsia="es-CR"/>
              </w:rPr>
              <w:t xml:space="preserve"> se giran viáticos institucionales. </w:t>
            </w:r>
          </w:p>
        </w:tc>
        <w:tc>
          <w:tcPr>
            <w:tcW w:w="1575" w:type="dxa"/>
          </w:tcPr>
          <w:p w14:paraId="5BCBBEC7" w14:textId="795BCDF9" w:rsidR="00D23A75" w:rsidRPr="00BF27B4" w:rsidRDefault="00D23A75" w:rsidP="00D23A75">
            <w:pPr>
              <w:spacing w:line="240" w:lineRule="auto"/>
              <w:rPr>
                <w:rFonts w:eastAsia="Times New Roman"/>
                <w:sz w:val="19"/>
                <w:szCs w:val="19"/>
                <w:lang w:val="es-CR" w:eastAsia="es-CR"/>
              </w:rPr>
            </w:pPr>
          </w:p>
        </w:tc>
      </w:tr>
      <w:tr w:rsidR="00C25A03" w:rsidRPr="00BF27B4" w14:paraId="6EB8DF28" w14:textId="77777777" w:rsidTr="00BF27B4">
        <w:trPr>
          <w:gridAfter w:val="1"/>
          <w:wAfter w:w="28" w:type="dxa"/>
          <w:trHeight w:val="50"/>
          <w:jc w:val="center"/>
        </w:trPr>
        <w:tc>
          <w:tcPr>
            <w:tcW w:w="1230" w:type="dxa"/>
          </w:tcPr>
          <w:p w14:paraId="112D1EF2" w14:textId="5ECA0D67"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Francisco Navarro Camacho</w:t>
            </w:r>
          </w:p>
        </w:tc>
        <w:tc>
          <w:tcPr>
            <w:tcW w:w="1482" w:type="dxa"/>
          </w:tcPr>
          <w:p w14:paraId="0B08EFC0" w14:textId="08710A6E"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Dirección Regional de Rectoría de la Salud Brunca</w:t>
            </w:r>
          </w:p>
        </w:tc>
        <w:tc>
          <w:tcPr>
            <w:tcW w:w="895" w:type="dxa"/>
          </w:tcPr>
          <w:p w14:paraId="70E25750" w14:textId="65FAC46B"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230" w:type="dxa"/>
          </w:tcPr>
          <w:p w14:paraId="363C8B9A" w14:textId="3353618B"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108" w:type="dxa"/>
          </w:tcPr>
          <w:p w14:paraId="4BC47061" w14:textId="2609FD24"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Panamá</w:t>
            </w:r>
          </w:p>
        </w:tc>
        <w:tc>
          <w:tcPr>
            <w:tcW w:w="1812" w:type="dxa"/>
          </w:tcPr>
          <w:p w14:paraId="4A18267C" w14:textId="6841278A"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 xml:space="preserve">Presentación del informe sobre salud pública y movilidad en los Puntos de Entrada oficiales de migración de Paso Canoas y Puente Sixaola-Guabito </w:t>
            </w:r>
          </w:p>
        </w:tc>
        <w:tc>
          <w:tcPr>
            <w:tcW w:w="2741" w:type="dxa"/>
          </w:tcPr>
          <w:p w14:paraId="1B893672" w14:textId="0FC070ED" w:rsidR="001C6EF4" w:rsidRPr="00BF27B4" w:rsidRDefault="001C6EF4" w:rsidP="001C6EF4">
            <w:pPr>
              <w:spacing w:line="240" w:lineRule="auto"/>
              <w:rPr>
                <w:rFonts w:eastAsia="Times New Roman"/>
                <w:i/>
                <w:iCs/>
                <w:sz w:val="19"/>
                <w:szCs w:val="19"/>
                <w:lang w:val="es-CR" w:eastAsia="es-CR"/>
              </w:rPr>
            </w:pPr>
            <w:r w:rsidRPr="00D23A75">
              <w:rPr>
                <w:rFonts w:eastAsia="Times New Roman"/>
                <w:sz w:val="19"/>
                <w:szCs w:val="19"/>
                <w:lang w:val="es-CR" w:eastAsia="es-CR"/>
              </w:rPr>
              <w:t>Los resultados del estudio Exploración Rápida sobre información existente de salud pública y movilidad en puntos de entrada Frontera binacional de Costa Rica- Panamá será insumo para el fortalecimiento de las acciones del Plan de Acción 2025-2028 de la Comisión Técnica Sectorial Binacional en Salud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Las autoridades de salud de ambos países garantizarán la participación sistemática de los niveles locales, regionales y nacionales, según corresponda, en las actividades contempladas en el Plan de Acción 2025-2028, con el apoyo de la SE-COMISCA. La Unidad de Relaciones Internacionales de cada ministerio de salud serán </w:t>
            </w:r>
            <w:r w:rsidRPr="00D23A75">
              <w:rPr>
                <w:rFonts w:eastAsia="Times New Roman"/>
                <w:sz w:val="19"/>
                <w:szCs w:val="19"/>
                <w:lang w:val="es-CR" w:eastAsia="es-CR"/>
              </w:rPr>
              <w:lastRenderedPageBreak/>
              <w:t xml:space="preserve">los puntos focales para la comunicación y coordinación entre Salud de la Frontera de SE-COMISCA y la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En el caso de Costa Rica, toda comunicación debe remitirse al correo </w:t>
            </w:r>
            <w:hyperlink r:id="rId6" w:history="1">
              <w:r w:rsidRPr="00D23A75">
                <w:rPr>
                  <w:rStyle w:val="Hipervnculo"/>
                  <w:rFonts w:eastAsia="Times New Roman"/>
                  <w:sz w:val="19"/>
                  <w:szCs w:val="19"/>
                  <w:lang w:val="es-CR" w:eastAsia="es-CR"/>
                </w:rPr>
                <w:t>internacionales@misalud.go.cr</w:t>
              </w:r>
            </w:hyperlink>
            <w:r w:rsidRPr="00D23A75">
              <w:rPr>
                <w:rFonts w:eastAsia="Times New Roman"/>
                <w:sz w:val="19"/>
                <w:szCs w:val="19"/>
                <w:lang w:val="es-CR" w:eastAsia="es-CR"/>
              </w:rPr>
              <w:t xml:space="preserve"> en el caso de Panamá las comunicaciones deben remitirse al correo </w:t>
            </w:r>
            <w:hyperlink r:id="rId7" w:history="1">
              <w:r w:rsidRPr="00D23A75">
                <w:rPr>
                  <w:rStyle w:val="Hipervnculo"/>
                  <w:rFonts w:eastAsia="Times New Roman"/>
                  <w:sz w:val="19"/>
                  <w:szCs w:val="19"/>
                  <w:lang w:val="es-CR" w:eastAsia="es-CR"/>
                </w:rPr>
                <w:t>lsalcedo@minsa.gob.pa</w:t>
              </w:r>
            </w:hyperlink>
            <w:r w:rsidRPr="00BF27B4">
              <w:rPr>
                <w:rFonts w:eastAsia="Times New Roman"/>
                <w:sz w:val="19"/>
                <w:szCs w:val="19"/>
                <w:lang w:val="es-CR" w:eastAsia="es-CR"/>
              </w:rPr>
              <w:t xml:space="preserve"> E</w:t>
            </w:r>
            <w:r w:rsidRPr="00D23A75">
              <w:rPr>
                <w:rFonts w:eastAsia="Times New Roman"/>
                <w:sz w:val="19"/>
                <w:szCs w:val="19"/>
                <w:lang w:val="es-CR" w:eastAsia="es-CR"/>
              </w:rPr>
              <w:t>l Plan de Acción 2025-2028 será enviado a SE-COMISCA para identificar puntos estratégicos prioritarios dentro de los cuatro ejes de trabajo y Promoción de la Salud como eje transversal, para la dotación de apoyo técnico y financiero desde la Secretaría Ejecutiva.</w:t>
            </w:r>
          </w:p>
        </w:tc>
        <w:tc>
          <w:tcPr>
            <w:tcW w:w="1812" w:type="dxa"/>
          </w:tcPr>
          <w:p w14:paraId="79FA6D41" w14:textId="036A51F0"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tc>
        <w:tc>
          <w:tcPr>
            <w:tcW w:w="1152" w:type="dxa"/>
          </w:tcPr>
          <w:p w14:paraId="173E5F83" w14:textId="471B03E0" w:rsidR="001C6EF4" w:rsidRPr="00BF27B4" w:rsidRDefault="00BF27B4" w:rsidP="001C6EF4">
            <w:pPr>
              <w:spacing w:line="240" w:lineRule="auto"/>
              <w:rPr>
                <w:rFonts w:eastAsia="Times New Roman"/>
                <w:sz w:val="19"/>
                <w:szCs w:val="19"/>
                <w:lang w:val="es-CR" w:eastAsia="es-CR"/>
              </w:rPr>
            </w:pPr>
            <w:r w:rsidRPr="00BF27B4">
              <w:rPr>
                <w:rFonts w:eastAsia="Times New Roman"/>
                <w:sz w:val="19"/>
                <w:szCs w:val="19"/>
                <w:lang w:val="es-CR" w:eastAsia="es-CR"/>
              </w:rPr>
              <w:t>No</w:t>
            </w:r>
            <w:r w:rsidR="001C6EF4" w:rsidRPr="00D23A75">
              <w:rPr>
                <w:rFonts w:eastAsia="Times New Roman"/>
                <w:sz w:val="19"/>
                <w:szCs w:val="19"/>
                <w:lang w:val="es-CR" w:eastAsia="es-CR"/>
              </w:rPr>
              <w:t xml:space="preserve"> se giran viáticos institucionales. </w:t>
            </w:r>
          </w:p>
        </w:tc>
        <w:tc>
          <w:tcPr>
            <w:tcW w:w="1575" w:type="dxa"/>
          </w:tcPr>
          <w:p w14:paraId="4EE2D2AC" w14:textId="77777777" w:rsidR="001C6EF4" w:rsidRPr="00BF27B4" w:rsidRDefault="001C6EF4" w:rsidP="001C6EF4">
            <w:pPr>
              <w:spacing w:line="240" w:lineRule="auto"/>
              <w:rPr>
                <w:rFonts w:eastAsia="Times New Roman"/>
                <w:sz w:val="19"/>
                <w:szCs w:val="19"/>
                <w:lang w:val="es-CR" w:eastAsia="es-CR"/>
              </w:rPr>
            </w:pPr>
          </w:p>
        </w:tc>
      </w:tr>
      <w:tr w:rsidR="00C25A03" w:rsidRPr="00BF27B4" w14:paraId="418FE28D" w14:textId="77777777" w:rsidTr="00BF27B4">
        <w:trPr>
          <w:gridAfter w:val="1"/>
          <w:wAfter w:w="28" w:type="dxa"/>
          <w:trHeight w:val="50"/>
          <w:jc w:val="center"/>
        </w:trPr>
        <w:tc>
          <w:tcPr>
            <w:tcW w:w="1230" w:type="dxa"/>
          </w:tcPr>
          <w:p w14:paraId="4555F718" w14:textId="4E513DB5"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 xml:space="preserve">Jennifer Jones </w:t>
            </w:r>
            <w:proofErr w:type="spellStart"/>
            <w:r w:rsidRPr="00D23A75">
              <w:rPr>
                <w:rFonts w:eastAsia="Times New Roman"/>
                <w:sz w:val="19"/>
                <w:szCs w:val="19"/>
                <w:lang w:val="es-CR" w:eastAsia="es-CR"/>
              </w:rPr>
              <w:t>Villiers</w:t>
            </w:r>
            <w:proofErr w:type="spellEnd"/>
          </w:p>
        </w:tc>
        <w:tc>
          <w:tcPr>
            <w:tcW w:w="1482" w:type="dxa"/>
          </w:tcPr>
          <w:p w14:paraId="0DF52D69" w14:textId="1DB92F09"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Área Rectora de Salud Talamanca</w:t>
            </w:r>
          </w:p>
        </w:tc>
        <w:tc>
          <w:tcPr>
            <w:tcW w:w="895" w:type="dxa"/>
          </w:tcPr>
          <w:p w14:paraId="11DBD8E2" w14:textId="2DE26F13"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230" w:type="dxa"/>
          </w:tcPr>
          <w:p w14:paraId="3A1C115F" w14:textId="456A39B3"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108" w:type="dxa"/>
          </w:tcPr>
          <w:p w14:paraId="61D336FC" w14:textId="5495AA3A"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Panamá</w:t>
            </w:r>
          </w:p>
        </w:tc>
        <w:tc>
          <w:tcPr>
            <w:tcW w:w="1812" w:type="dxa"/>
          </w:tcPr>
          <w:p w14:paraId="7EF15AB4" w14:textId="0CB05C0C"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 xml:space="preserve">Presentación del informe sobre salud pública y movilidad en los Puntos de Entrada oficiales de migración de Paso Canoas y Puente Sixaola-Guabito </w:t>
            </w:r>
          </w:p>
        </w:tc>
        <w:tc>
          <w:tcPr>
            <w:tcW w:w="2741" w:type="dxa"/>
          </w:tcPr>
          <w:p w14:paraId="0C31A095" w14:textId="7CB00B6F" w:rsidR="001C6EF4" w:rsidRPr="00BF27B4" w:rsidRDefault="001C6EF4" w:rsidP="001C6EF4">
            <w:pPr>
              <w:spacing w:line="240" w:lineRule="auto"/>
              <w:rPr>
                <w:rFonts w:eastAsia="Times New Roman"/>
                <w:i/>
                <w:iCs/>
                <w:sz w:val="19"/>
                <w:szCs w:val="19"/>
                <w:lang w:val="es-CR" w:eastAsia="es-CR"/>
              </w:rPr>
            </w:pPr>
            <w:r w:rsidRPr="00D23A75">
              <w:rPr>
                <w:rFonts w:eastAsia="Times New Roman"/>
                <w:sz w:val="19"/>
                <w:szCs w:val="19"/>
                <w:lang w:val="es-CR" w:eastAsia="es-CR"/>
              </w:rPr>
              <w:t>Los resultados del estudio Exploración Rápida sobre información existente de salud pública y movilidad en puntos de entrada Frontera binacional de Costa Rica- Panamá será insumo para el fortalecimiento de las acciones del Plan de Acción 2025-2028 de la Comisión Técnica Sectorial Binacional en Salud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Las autoridades de salud </w:t>
            </w:r>
            <w:r w:rsidRPr="00D23A75">
              <w:rPr>
                <w:rFonts w:eastAsia="Times New Roman"/>
                <w:sz w:val="19"/>
                <w:szCs w:val="19"/>
                <w:lang w:val="es-CR" w:eastAsia="es-CR"/>
              </w:rPr>
              <w:lastRenderedPageBreak/>
              <w:t xml:space="preserve">de ambos países garantizarán la participación sistemática de los niveles locales, regionales y nacionales, según corresponda, en las actividades contempladas en el Plan de Acción 2025-2028, con el apoyo de la SE-COMISCA. La Unidad de Relaciones Internacionales de cada ministerio de salud serán los puntos focales para la comunicación y coordinación entre Salud de la Frontera de SE-COMISCA y la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En el caso de Costa Rica, toda comunicación debe remitirse al correo </w:t>
            </w:r>
            <w:hyperlink r:id="rId8" w:history="1">
              <w:r w:rsidRPr="00D23A75">
                <w:rPr>
                  <w:rStyle w:val="Hipervnculo"/>
                  <w:rFonts w:eastAsia="Times New Roman"/>
                  <w:sz w:val="19"/>
                  <w:szCs w:val="19"/>
                  <w:lang w:val="es-CR" w:eastAsia="es-CR"/>
                </w:rPr>
                <w:t>internacionales@misalud.go.cr</w:t>
              </w:r>
            </w:hyperlink>
            <w:r w:rsidRPr="00BF27B4">
              <w:rPr>
                <w:rFonts w:eastAsia="Times New Roman"/>
                <w:sz w:val="19"/>
                <w:szCs w:val="19"/>
                <w:lang w:val="es-CR" w:eastAsia="es-CR"/>
              </w:rPr>
              <w:t xml:space="preserve"> </w:t>
            </w:r>
            <w:r w:rsidRPr="00D23A75">
              <w:rPr>
                <w:rFonts w:eastAsia="Times New Roman"/>
                <w:sz w:val="19"/>
                <w:szCs w:val="19"/>
                <w:lang w:val="es-CR" w:eastAsia="es-CR"/>
              </w:rPr>
              <w:t xml:space="preserve"> en el caso de Panamá las comunicaciones deben remitirse al correo </w:t>
            </w:r>
            <w:hyperlink r:id="rId9" w:history="1">
              <w:r w:rsidRPr="00D23A75">
                <w:rPr>
                  <w:rStyle w:val="Hipervnculo"/>
                  <w:rFonts w:eastAsia="Times New Roman"/>
                  <w:sz w:val="19"/>
                  <w:szCs w:val="19"/>
                  <w:lang w:val="es-CR" w:eastAsia="es-CR"/>
                </w:rPr>
                <w:t>lsalcedo@minsa.gob.pa</w:t>
              </w:r>
            </w:hyperlink>
            <w:r w:rsidRPr="00BF27B4">
              <w:rPr>
                <w:rFonts w:eastAsia="Times New Roman"/>
                <w:sz w:val="19"/>
                <w:szCs w:val="19"/>
                <w:lang w:val="es-CR" w:eastAsia="es-CR"/>
              </w:rPr>
              <w:t xml:space="preserve"> </w:t>
            </w:r>
            <w:r w:rsidRPr="00D23A75">
              <w:rPr>
                <w:rFonts w:eastAsia="Times New Roman"/>
                <w:sz w:val="19"/>
                <w:szCs w:val="19"/>
                <w:lang w:val="es-CR" w:eastAsia="es-CR"/>
              </w:rPr>
              <w:t xml:space="preserve"> Comisión Técnica Sectorial Binacional de Salud. El Plan de Acción 2025-2028 será enviado a SE-COMISCA para identificar puntos estratégicos prioritarios dentro de los cuatro ejes de trabajo y Promoción de la Salud como eje transversal, para la dotación de apoyo técnico y </w:t>
            </w:r>
            <w:r w:rsidRPr="00D23A75">
              <w:rPr>
                <w:rFonts w:eastAsia="Times New Roman"/>
                <w:sz w:val="19"/>
                <w:szCs w:val="19"/>
                <w:lang w:val="es-CR" w:eastAsia="es-CR"/>
              </w:rPr>
              <w:lastRenderedPageBreak/>
              <w:t>financiero desde la Secretaría Ejecutiva.</w:t>
            </w:r>
          </w:p>
        </w:tc>
        <w:tc>
          <w:tcPr>
            <w:tcW w:w="1812" w:type="dxa"/>
          </w:tcPr>
          <w:p w14:paraId="66EA2AE6" w14:textId="676F82BA"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tc>
        <w:tc>
          <w:tcPr>
            <w:tcW w:w="1152" w:type="dxa"/>
          </w:tcPr>
          <w:p w14:paraId="407CB14A" w14:textId="6157489E" w:rsidR="001C6EF4" w:rsidRPr="00BF27B4" w:rsidRDefault="00BF27B4" w:rsidP="001C6EF4">
            <w:pPr>
              <w:spacing w:line="240" w:lineRule="auto"/>
              <w:rPr>
                <w:rFonts w:eastAsia="Times New Roman"/>
                <w:sz w:val="19"/>
                <w:szCs w:val="19"/>
                <w:lang w:val="es-CR" w:eastAsia="es-CR"/>
              </w:rPr>
            </w:pPr>
            <w:r w:rsidRPr="00BF27B4">
              <w:rPr>
                <w:rFonts w:eastAsia="Times New Roman"/>
                <w:sz w:val="19"/>
                <w:szCs w:val="19"/>
                <w:lang w:val="es-CR" w:eastAsia="es-CR"/>
              </w:rPr>
              <w:t>No</w:t>
            </w:r>
            <w:r w:rsidR="001C6EF4" w:rsidRPr="00D23A75">
              <w:rPr>
                <w:rFonts w:eastAsia="Times New Roman"/>
                <w:sz w:val="19"/>
                <w:szCs w:val="19"/>
                <w:lang w:val="es-CR" w:eastAsia="es-CR"/>
              </w:rPr>
              <w:t xml:space="preserve"> se giran viáticos institucionales. </w:t>
            </w:r>
          </w:p>
        </w:tc>
        <w:tc>
          <w:tcPr>
            <w:tcW w:w="1575" w:type="dxa"/>
          </w:tcPr>
          <w:p w14:paraId="0AAA47C4" w14:textId="77777777" w:rsidR="001C6EF4" w:rsidRPr="00BF27B4" w:rsidRDefault="001C6EF4" w:rsidP="001C6EF4">
            <w:pPr>
              <w:spacing w:line="240" w:lineRule="auto"/>
              <w:rPr>
                <w:rFonts w:eastAsia="Times New Roman"/>
                <w:sz w:val="19"/>
                <w:szCs w:val="19"/>
                <w:lang w:val="es-CR" w:eastAsia="es-CR"/>
              </w:rPr>
            </w:pPr>
          </w:p>
        </w:tc>
      </w:tr>
      <w:tr w:rsidR="00C25A03" w:rsidRPr="00BF27B4" w14:paraId="415E7BDC" w14:textId="77777777" w:rsidTr="00BF27B4">
        <w:trPr>
          <w:gridAfter w:val="1"/>
          <w:wAfter w:w="28" w:type="dxa"/>
          <w:trHeight w:val="50"/>
          <w:jc w:val="center"/>
        </w:trPr>
        <w:tc>
          <w:tcPr>
            <w:tcW w:w="1230" w:type="dxa"/>
          </w:tcPr>
          <w:p w14:paraId="47F3057A" w14:textId="0FBEC876"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Luis Carlos Fallas Villavicencio</w:t>
            </w:r>
          </w:p>
        </w:tc>
        <w:tc>
          <w:tcPr>
            <w:tcW w:w="1482" w:type="dxa"/>
          </w:tcPr>
          <w:p w14:paraId="5125F362" w14:textId="251D0FD1"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Unidad de Relaciones Internacionales</w:t>
            </w:r>
          </w:p>
        </w:tc>
        <w:tc>
          <w:tcPr>
            <w:tcW w:w="895" w:type="dxa"/>
          </w:tcPr>
          <w:p w14:paraId="37F6DD2E" w14:textId="4F171945"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230" w:type="dxa"/>
          </w:tcPr>
          <w:p w14:paraId="148FFABD" w14:textId="30EC2B9C"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108" w:type="dxa"/>
          </w:tcPr>
          <w:p w14:paraId="7292F402" w14:textId="571E0E1F"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Panamá</w:t>
            </w:r>
          </w:p>
        </w:tc>
        <w:tc>
          <w:tcPr>
            <w:tcW w:w="1812" w:type="dxa"/>
          </w:tcPr>
          <w:p w14:paraId="0AA7D848" w14:textId="3710927B"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t xml:space="preserve">Presentación del informe sobre salud pública y movilidad en los Puntos de Entrada oficiales de migración de Paso Canoas y Puente Sixaola-Guabito </w:t>
            </w:r>
          </w:p>
        </w:tc>
        <w:tc>
          <w:tcPr>
            <w:tcW w:w="2741" w:type="dxa"/>
          </w:tcPr>
          <w:p w14:paraId="6420F6D4" w14:textId="016F68E0" w:rsidR="001C6EF4" w:rsidRPr="00BF27B4" w:rsidRDefault="001C6EF4" w:rsidP="001C6EF4">
            <w:pPr>
              <w:spacing w:line="240" w:lineRule="auto"/>
              <w:rPr>
                <w:rFonts w:eastAsia="Times New Roman"/>
                <w:i/>
                <w:iCs/>
                <w:sz w:val="19"/>
                <w:szCs w:val="19"/>
                <w:lang w:val="es-CR" w:eastAsia="es-CR"/>
              </w:rPr>
            </w:pPr>
            <w:r w:rsidRPr="00D23A75">
              <w:rPr>
                <w:rFonts w:eastAsia="Times New Roman"/>
                <w:sz w:val="19"/>
                <w:szCs w:val="19"/>
                <w:lang w:val="es-CR" w:eastAsia="es-CR"/>
              </w:rPr>
              <w:t>Los resultados del estudio Exploración Rápida sobre información existente de salud pública y movilidad en puntos de entrada Frontera binacional de Costa Rica- Panamá será insumo para el fortalecimiento de las acciones del Plan de Acción 2025-2028 de la Comisión Técnica Sectorial Binacional en Salud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Las autoridades de salud de ambos países garantizarán la participación sistemática de los niveles locales, regionales y nacionales, según corresponda, en las actividades contempladas en el Plan de Acción 2025-2028, con el apoyo de la SE-COMISCA. La Unidad de Relaciones Internacionales de cada ministerio de salud serán los puntos focales para la comunicación y coordinación entre Salud de la Frontera de SE-COMISCA y la </w:t>
            </w:r>
            <w:proofErr w:type="spellStart"/>
            <w:r w:rsidRPr="00D23A75">
              <w:rPr>
                <w:rFonts w:eastAsia="Times New Roman"/>
                <w:sz w:val="19"/>
                <w:szCs w:val="19"/>
                <w:lang w:val="es-CR" w:eastAsia="es-CR"/>
              </w:rPr>
              <w:t>CTSB</w:t>
            </w:r>
            <w:proofErr w:type="spellEnd"/>
            <w:r w:rsidRPr="00D23A75">
              <w:rPr>
                <w:rFonts w:eastAsia="Times New Roman"/>
                <w:sz w:val="19"/>
                <w:szCs w:val="19"/>
                <w:lang w:val="es-CR" w:eastAsia="es-CR"/>
              </w:rPr>
              <w:t xml:space="preserve">-S. En el caso de Costa Rica, toda comunicación debe remitirse al correo </w:t>
            </w:r>
            <w:hyperlink r:id="rId10" w:history="1">
              <w:r w:rsidR="00C25A03" w:rsidRPr="00D23A75">
                <w:rPr>
                  <w:rStyle w:val="Hipervnculo"/>
                  <w:rFonts w:eastAsia="Times New Roman"/>
                  <w:sz w:val="19"/>
                  <w:szCs w:val="19"/>
                  <w:lang w:val="es-CR" w:eastAsia="es-CR"/>
                </w:rPr>
                <w:t>internacionales@misalud.go.cr</w:t>
              </w:r>
            </w:hyperlink>
            <w:r w:rsidR="00C25A03" w:rsidRPr="00BF27B4">
              <w:rPr>
                <w:rFonts w:eastAsia="Times New Roman"/>
                <w:sz w:val="19"/>
                <w:szCs w:val="19"/>
                <w:lang w:val="es-CR" w:eastAsia="es-CR"/>
              </w:rPr>
              <w:t xml:space="preserve"> </w:t>
            </w:r>
            <w:r w:rsidRPr="00D23A75">
              <w:rPr>
                <w:rFonts w:eastAsia="Times New Roman"/>
                <w:sz w:val="19"/>
                <w:szCs w:val="19"/>
                <w:lang w:val="es-CR" w:eastAsia="es-CR"/>
              </w:rPr>
              <w:t xml:space="preserve">en el caso de Panamá las </w:t>
            </w:r>
            <w:r w:rsidRPr="00D23A75">
              <w:rPr>
                <w:rFonts w:eastAsia="Times New Roman"/>
                <w:sz w:val="19"/>
                <w:szCs w:val="19"/>
                <w:lang w:val="es-CR" w:eastAsia="es-CR"/>
              </w:rPr>
              <w:lastRenderedPageBreak/>
              <w:t xml:space="preserve">comunicaciones deben remitirse al correo </w:t>
            </w:r>
            <w:hyperlink r:id="rId11" w:history="1">
              <w:r w:rsidR="00C25A03" w:rsidRPr="00D23A75">
                <w:rPr>
                  <w:rStyle w:val="Hipervnculo"/>
                  <w:rFonts w:eastAsia="Times New Roman"/>
                  <w:sz w:val="19"/>
                  <w:szCs w:val="19"/>
                  <w:lang w:val="es-CR" w:eastAsia="es-CR"/>
                </w:rPr>
                <w:t>lsalcedo@minsa.gob.pa</w:t>
              </w:r>
            </w:hyperlink>
            <w:r w:rsidR="00C25A03" w:rsidRPr="00BF27B4">
              <w:rPr>
                <w:rFonts w:eastAsia="Times New Roman"/>
                <w:sz w:val="19"/>
                <w:szCs w:val="19"/>
                <w:lang w:val="es-CR" w:eastAsia="es-CR"/>
              </w:rPr>
              <w:t xml:space="preserve"> </w:t>
            </w:r>
            <w:r w:rsidRPr="00D23A75">
              <w:rPr>
                <w:rFonts w:eastAsia="Times New Roman"/>
                <w:sz w:val="19"/>
                <w:szCs w:val="19"/>
                <w:lang w:val="es-CR" w:eastAsia="es-CR"/>
              </w:rPr>
              <w:t>El Plan de Acción 2025-2028 será enviado a SE-COMISCA para identificar puntos estratégicos prioritarios dentro de los cuatro ejes de trabajo y Promoción de la Salud como eje transversal, para la dotación de apoyo técnico y financiero desde la Secretaría Ejecutiva.</w:t>
            </w:r>
          </w:p>
        </w:tc>
        <w:tc>
          <w:tcPr>
            <w:tcW w:w="1812" w:type="dxa"/>
          </w:tcPr>
          <w:p w14:paraId="5FAA1774" w14:textId="7CB3561C" w:rsidR="001C6EF4" w:rsidRPr="00BF27B4" w:rsidRDefault="001C6EF4" w:rsidP="001C6EF4">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tc>
        <w:tc>
          <w:tcPr>
            <w:tcW w:w="1152" w:type="dxa"/>
          </w:tcPr>
          <w:p w14:paraId="1B52A153" w14:textId="79D80009" w:rsidR="001C6EF4" w:rsidRPr="00BF27B4" w:rsidRDefault="00BF27B4" w:rsidP="001C6EF4">
            <w:pPr>
              <w:spacing w:line="240" w:lineRule="auto"/>
              <w:rPr>
                <w:rFonts w:eastAsia="Times New Roman"/>
                <w:sz w:val="19"/>
                <w:szCs w:val="19"/>
                <w:lang w:val="es-CR" w:eastAsia="es-CR"/>
              </w:rPr>
            </w:pPr>
            <w:r w:rsidRPr="00BF27B4">
              <w:rPr>
                <w:rFonts w:eastAsia="Times New Roman"/>
                <w:sz w:val="19"/>
                <w:szCs w:val="19"/>
                <w:lang w:val="es-CR" w:eastAsia="es-CR"/>
              </w:rPr>
              <w:t>No</w:t>
            </w:r>
            <w:r w:rsidR="001C6EF4" w:rsidRPr="00D23A75">
              <w:rPr>
                <w:rFonts w:eastAsia="Times New Roman"/>
                <w:sz w:val="19"/>
                <w:szCs w:val="19"/>
                <w:lang w:val="es-CR" w:eastAsia="es-CR"/>
              </w:rPr>
              <w:t xml:space="preserve"> se giran viáticos institucionales. </w:t>
            </w:r>
          </w:p>
        </w:tc>
        <w:tc>
          <w:tcPr>
            <w:tcW w:w="1575" w:type="dxa"/>
          </w:tcPr>
          <w:p w14:paraId="4C039B02" w14:textId="77777777" w:rsidR="001C6EF4" w:rsidRPr="00BF27B4" w:rsidRDefault="001C6EF4" w:rsidP="001C6EF4">
            <w:pPr>
              <w:spacing w:line="240" w:lineRule="auto"/>
              <w:rPr>
                <w:rFonts w:eastAsia="Times New Roman"/>
                <w:sz w:val="19"/>
                <w:szCs w:val="19"/>
                <w:lang w:val="es-CR" w:eastAsia="es-CR"/>
              </w:rPr>
            </w:pPr>
          </w:p>
        </w:tc>
      </w:tr>
      <w:tr w:rsidR="00C25A03" w:rsidRPr="00BF27B4" w14:paraId="794E9CFF" w14:textId="77777777" w:rsidTr="00BF27B4">
        <w:trPr>
          <w:gridAfter w:val="1"/>
          <w:wAfter w:w="28" w:type="dxa"/>
          <w:trHeight w:val="50"/>
          <w:jc w:val="center"/>
        </w:trPr>
        <w:tc>
          <w:tcPr>
            <w:tcW w:w="1230" w:type="dxa"/>
          </w:tcPr>
          <w:p w14:paraId="60C2827C" w14:textId="6096FC1A"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Xenia Fallas Garbanzo</w:t>
            </w:r>
          </w:p>
        </w:tc>
        <w:tc>
          <w:tcPr>
            <w:tcW w:w="1482" w:type="dxa"/>
          </w:tcPr>
          <w:p w14:paraId="2114A78A" w14:textId="1B5254F4"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Servicios de Salud </w:t>
            </w:r>
          </w:p>
        </w:tc>
        <w:tc>
          <w:tcPr>
            <w:tcW w:w="895" w:type="dxa"/>
          </w:tcPr>
          <w:p w14:paraId="306C2077" w14:textId="313D91D5"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21</w:t>
            </w:r>
            <w:r w:rsidR="00B6388F" w:rsidRPr="00BF27B4">
              <w:rPr>
                <w:rFonts w:eastAsia="Times New Roman"/>
                <w:sz w:val="19"/>
                <w:szCs w:val="19"/>
                <w:lang w:val="es-CR" w:eastAsia="es-CR"/>
              </w:rPr>
              <w:t xml:space="preserve"> de agosto de 2025</w:t>
            </w:r>
          </w:p>
        </w:tc>
        <w:tc>
          <w:tcPr>
            <w:tcW w:w="1230" w:type="dxa"/>
          </w:tcPr>
          <w:p w14:paraId="3F264C13" w14:textId="6B9EA427"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108" w:type="dxa"/>
          </w:tcPr>
          <w:p w14:paraId="3B413C62" w14:textId="4C39262F"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Guatemala</w:t>
            </w:r>
          </w:p>
        </w:tc>
        <w:tc>
          <w:tcPr>
            <w:tcW w:w="1812" w:type="dxa"/>
          </w:tcPr>
          <w:p w14:paraId="50B66061" w14:textId="477AAAE5"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Taller del Petit Comité de la Comisión Técnica de Desarrollo de Recursos Humanos en Salud (</w:t>
            </w:r>
            <w:proofErr w:type="spellStart"/>
            <w:r w:rsidRPr="00D23A75">
              <w:rPr>
                <w:rFonts w:eastAsia="Times New Roman"/>
                <w:sz w:val="19"/>
                <w:szCs w:val="19"/>
                <w:lang w:val="es-CR" w:eastAsia="es-CR"/>
              </w:rPr>
              <w:t>CTDRHUS</w:t>
            </w:r>
            <w:proofErr w:type="spellEnd"/>
            <w:r w:rsidRPr="00D23A75">
              <w:rPr>
                <w:rFonts w:eastAsia="Times New Roman"/>
                <w:sz w:val="19"/>
                <w:szCs w:val="19"/>
                <w:lang w:val="es-CR" w:eastAsia="es-CR"/>
              </w:rPr>
              <w:t>)</w:t>
            </w:r>
          </w:p>
        </w:tc>
        <w:tc>
          <w:tcPr>
            <w:tcW w:w="2741" w:type="dxa"/>
          </w:tcPr>
          <w:p w14:paraId="7F9C4ED6" w14:textId="47FAFA84"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2A8973A3" w14:textId="0269864E"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Secretaría Ejecutiva del Consejo de Ministros de Salud de Centroamérica y República Dominicana (SE-COMISCA)</w:t>
            </w:r>
          </w:p>
        </w:tc>
        <w:tc>
          <w:tcPr>
            <w:tcW w:w="1152" w:type="dxa"/>
          </w:tcPr>
          <w:p w14:paraId="7625EC7C" w14:textId="31575D66" w:rsidR="00C25A03" w:rsidRPr="00BF27B4" w:rsidRDefault="00BF27B4" w:rsidP="00C25A03">
            <w:pPr>
              <w:spacing w:line="240" w:lineRule="auto"/>
              <w:rPr>
                <w:rFonts w:eastAsia="Times New Roman"/>
                <w:sz w:val="19"/>
                <w:szCs w:val="19"/>
                <w:lang w:val="es-CR" w:eastAsia="es-CR"/>
              </w:rPr>
            </w:pPr>
            <w:r w:rsidRPr="00BF27B4">
              <w:rPr>
                <w:rFonts w:eastAsia="Times New Roman"/>
                <w:sz w:val="19"/>
                <w:szCs w:val="19"/>
                <w:lang w:val="es-CR" w:eastAsia="es-CR"/>
              </w:rPr>
              <w:t>No</w:t>
            </w:r>
            <w:r w:rsidR="00C25A03" w:rsidRPr="00D23A75">
              <w:rPr>
                <w:rFonts w:eastAsia="Times New Roman"/>
                <w:sz w:val="19"/>
                <w:szCs w:val="19"/>
                <w:lang w:val="es-CR" w:eastAsia="es-CR"/>
              </w:rPr>
              <w:t xml:space="preserve"> se giran viáticos institucionales. </w:t>
            </w:r>
          </w:p>
        </w:tc>
        <w:tc>
          <w:tcPr>
            <w:tcW w:w="1575" w:type="dxa"/>
          </w:tcPr>
          <w:p w14:paraId="27EE3AB3" w14:textId="77777777" w:rsidR="00C25A03" w:rsidRPr="00BF27B4" w:rsidRDefault="00C25A03" w:rsidP="00C25A03">
            <w:pPr>
              <w:spacing w:line="240" w:lineRule="auto"/>
              <w:rPr>
                <w:rFonts w:eastAsia="Times New Roman"/>
                <w:sz w:val="19"/>
                <w:szCs w:val="19"/>
                <w:lang w:val="es-CR" w:eastAsia="es-CR"/>
              </w:rPr>
            </w:pPr>
          </w:p>
        </w:tc>
      </w:tr>
      <w:tr w:rsidR="00C25A03" w:rsidRPr="00BF27B4" w14:paraId="6EF808FB" w14:textId="77777777" w:rsidTr="00BF27B4">
        <w:trPr>
          <w:gridAfter w:val="1"/>
          <w:wAfter w:w="28" w:type="dxa"/>
          <w:trHeight w:val="50"/>
          <w:jc w:val="center"/>
        </w:trPr>
        <w:tc>
          <w:tcPr>
            <w:tcW w:w="1230" w:type="dxa"/>
          </w:tcPr>
          <w:p w14:paraId="57E9D6C6" w14:textId="56828141"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Carlos Salguero Mendoza</w:t>
            </w:r>
          </w:p>
        </w:tc>
        <w:tc>
          <w:tcPr>
            <w:tcW w:w="1482" w:type="dxa"/>
          </w:tcPr>
          <w:p w14:paraId="40E158C0" w14:textId="67A58FA6"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Vigilancia de la Salud </w:t>
            </w:r>
          </w:p>
        </w:tc>
        <w:tc>
          <w:tcPr>
            <w:tcW w:w="895" w:type="dxa"/>
          </w:tcPr>
          <w:p w14:paraId="20168A07" w14:textId="34593048"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22</w:t>
            </w:r>
            <w:r w:rsidR="00B6388F" w:rsidRPr="00BF27B4">
              <w:rPr>
                <w:rFonts w:eastAsia="Times New Roman"/>
                <w:sz w:val="19"/>
                <w:szCs w:val="19"/>
                <w:lang w:val="es-CR" w:eastAsia="es-CR"/>
              </w:rPr>
              <w:t xml:space="preserve"> de agosto de 2025</w:t>
            </w:r>
          </w:p>
        </w:tc>
        <w:tc>
          <w:tcPr>
            <w:tcW w:w="1230" w:type="dxa"/>
          </w:tcPr>
          <w:p w14:paraId="1BBA04F0" w14:textId="3604DFBC"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30</w:t>
            </w:r>
            <w:r w:rsidR="00B6388F" w:rsidRPr="00BF27B4">
              <w:rPr>
                <w:rFonts w:eastAsia="Times New Roman"/>
                <w:sz w:val="19"/>
                <w:szCs w:val="19"/>
                <w:lang w:val="es-CR" w:eastAsia="es-CR"/>
              </w:rPr>
              <w:t xml:space="preserve"> de agosto de 2025</w:t>
            </w:r>
          </w:p>
        </w:tc>
        <w:tc>
          <w:tcPr>
            <w:tcW w:w="1108" w:type="dxa"/>
          </w:tcPr>
          <w:p w14:paraId="4A5C2F39" w14:textId="3834DB79"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Honduras</w:t>
            </w:r>
          </w:p>
        </w:tc>
        <w:tc>
          <w:tcPr>
            <w:tcW w:w="1812" w:type="dxa"/>
          </w:tcPr>
          <w:p w14:paraId="4D8C74D9" w14:textId="5ED47058"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Evaluación Externa Conjunta (</w:t>
            </w:r>
            <w:proofErr w:type="spellStart"/>
            <w:r w:rsidRPr="00D23A75">
              <w:rPr>
                <w:rFonts w:eastAsia="Times New Roman"/>
                <w:sz w:val="19"/>
                <w:szCs w:val="19"/>
                <w:lang w:val="es-CR" w:eastAsia="es-CR"/>
              </w:rPr>
              <w:t>EEV</w:t>
            </w:r>
            <w:proofErr w:type="spellEnd"/>
            <w:r w:rsidRPr="00D23A75">
              <w:rPr>
                <w:rFonts w:eastAsia="Times New Roman"/>
                <w:sz w:val="19"/>
                <w:szCs w:val="19"/>
                <w:lang w:val="es-CR" w:eastAsia="es-CR"/>
              </w:rPr>
              <w:t>) de Honduras</w:t>
            </w:r>
          </w:p>
        </w:tc>
        <w:tc>
          <w:tcPr>
            <w:tcW w:w="2741" w:type="dxa"/>
          </w:tcPr>
          <w:p w14:paraId="206B8C30" w14:textId="16E6D370" w:rsidR="00C25A03" w:rsidRPr="00BF27B4" w:rsidRDefault="00C25A03" w:rsidP="00B6388F">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No se asumen compromisos. </w:t>
            </w:r>
          </w:p>
        </w:tc>
        <w:tc>
          <w:tcPr>
            <w:tcW w:w="1812" w:type="dxa"/>
          </w:tcPr>
          <w:p w14:paraId="58EDE1BB" w14:textId="304A1FA5"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Organización Panamericana de la Salud (OPS)</w:t>
            </w:r>
          </w:p>
        </w:tc>
        <w:tc>
          <w:tcPr>
            <w:tcW w:w="1152" w:type="dxa"/>
          </w:tcPr>
          <w:p w14:paraId="38F9AA09" w14:textId="3E05AC48" w:rsidR="00C25A03" w:rsidRPr="00BF27B4" w:rsidRDefault="00BF27B4" w:rsidP="00C25A03">
            <w:pPr>
              <w:spacing w:line="240" w:lineRule="auto"/>
              <w:rPr>
                <w:rFonts w:eastAsia="Times New Roman"/>
                <w:sz w:val="19"/>
                <w:szCs w:val="19"/>
                <w:lang w:val="es-CR" w:eastAsia="es-CR"/>
              </w:rPr>
            </w:pPr>
            <w:r w:rsidRPr="00BF27B4">
              <w:rPr>
                <w:rFonts w:eastAsia="Times New Roman"/>
                <w:sz w:val="19"/>
                <w:szCs w:val="19"/>
                <w:lang w:val="es-CR" w:eastAsia="es-CR"/>
              </w:rPr>
              <w:t>No</w:t>
            </w:r>
            <w:r w:rsidR="00C25A03" w:rsidRPr="00D23A75">
              <w:rPr>
                <w:rFonts w:eastAsia="Times New Roman"/>
                <w:sz w:val="19"/>
                <w:szCs w:val="19"/>
                <w:lang w:val="es-CR" w:eastAsia="es-CR"/>
              </w:rPr>
              <w:t xml:space="preserve"> se giran viáticos institucionales. </w:t>
            </w:r>
          </w:p>
        </w:tc>
        <w:tc>
          <w:tcPr>
            <w:tcW w:w="1575" w:type="dxa"/>
          </w:tcPr>
          <w:p w14:paraId="5CFCF2B6" w14:textId="77777777" w:rsidR="00C25A03" w:rsidRPr="00BF27B4" w:rsidRDefault="00C25A03" w:rsidP="00C25A03">
            <w:pPr>
              <w:spacing w:line="240" w:lineRule="auto"/>
              <w:rPr>
                <w:rFonts w:eastAsia="Times New Roman"/>
                <w:sz w:val="19"/>
                <w:szCs w:val="19"/>
                <w:lang w:val="es-CR" w:eastAsia="es-CR"/>
              </w:rPr>
            </w:pPr>
          </w:p>
        </w:tc>
      </w:tr>
      <w:tr w:rsidR="00C25A03" w:rsidRPr="00BF27B4" w14:paraId="68678E1C" w14:textId="77777777" w:rsidTr="00BF27B4">
        <w:trPr>
          <w:gridAfter w:val="1"/>
          <w:wAfter w:w="28" w:type="dxa"/>
          <w:trHeight w:val="50"/>
          <w:jc w:val="center"/>
        </w:trPr>
        <w:tc>
          <w:tcPr>
            <w:tcW w:w="1230" w:type="dxa"/>
          </w:tcPr>
          <w:p w14:paraId="3C7D6F5C" w14:textId="4B68B9FD"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Andrea Garita Castro</w:t>
            </w:r>
          </w:p>
        </w:tc>
        <w:tc>
          <w:tcPr>
            <w:tcW w:w="1482" w:type="dxa"/>
          </w:tcPr>
          <w:p w14:paraId="3325DEBC" w14:textId="0BB401E5"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Planificación </w:t>
            </w:r>
          </w:p>
        </w:tc>
        <w:tc>
          <w:tcPr>
            <w:tcW w:w="895" w:type="dxa"/>
          </w:tcPr>
          <w:p w14:paraId="4EDEA29F" w14:textId="71340DD4"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27</w:t>
            </w:r>
            <w:r w:rsidR="00B6388F" w:rsidRPr="00BF27B4">
              <w:rPr>
                <w:rFonts w:eastAsia="Times New Roman"/>
                <w:sz w:val="19"/>
                <w:szCs w:val="19"/>
                <w:lang w:val="es-CR" w:eastAsia="es-CR"/>
              </w:rPr>
              <w:t xml:space="preserve"> de agosto de 2025</w:t>
            </w:r>
          </w:p>
        </w:tc>
        <w:tc>
          <w:tcPr>
            <w:tcW w:w="1230" w:type="dxa"/>
          </w:tcPr>
          <w:p w14:paraId="4E117CCF" w14:textId="1DFD6AE9"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28</w:t>
            </w:r>
            <w:r w:rsidR="00B6388F" w:rsidRPr="00BF27B4">
              <w:rPr>
                <w:rFonts w:eastAsia="Times New Roman"/>
                <w:sz w:val="19"/>
                <w:szCs w:val="19"/>
                <w:lang w:val="es-CR" w:eastAsia="es-CR"/>
              </w:rPr>
              <w:t xml:space="preserve"> de agosto de 2025</w:t>
            </w:r>
          </w:p>
        </w:tc>
        <w:tc>
          <w:tcPr>
            <w:tcW w:w="1108" w:type="dxa"/>
          </w:tcPr>
          <w:p w14:paraId="0FEE033E" w14:textId="43A55016"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El Salvador </w:t>
            </w:r>
          </w:p>
        </w:tc>
        <w:tc>
          <w:tcPr>
            <w:tcW w:w="1812" w:type="dxa"/>
          </w:tcPr>
          <w:p w14:paraId="38FF2688" w14:textId="37FE4677"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Taller para la formulación de la Hoja de Ruta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y su incorporación en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w:t>
            </w:r>
          </w:p>
        </w:tc>
        <w:tc>
          <w:tcPr>
            <w:tcW w:w="2741" w:type="dxa"/>
          </w:tcPr>
          <w:p w14:paraId="2F761469" w14:textId="1B142B6F" w:rsidR="00C25A03" w:rsidRPr="00BF27B4" w:rsidRDefault="00C25A03" w:rsidP="00C25A03">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Revisar y validar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 así como apoyar los procesos requeridos por parte de COMISCA en el marco del proceso de fortalecimiento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en la Región de Centroamérica y el Caribe.</w:t>
            </w:r>
            <w:r w:rsidRPr="00BF27B4">
              <w:rPr>
                <w:rFonts w:eastAsia="Times New Roman"/>
                <w:sz w:val="19"/>
                <w:szCs w:val="19"/>
                <w:lang w:val="es-CR" w:eastAsia="es-CR"/>
              </w:rPr>
              <w:t xml:space="preserve"> </w:t>
            </w:r>
            <w:r w:rsidRPr="00D23A75">
              <w:rPr>
                <w:rFonts w:eastAsia="Times New Roman"/>
                <w:sz w:val="19"/>
                <w:szCs w:val="19"/>
                <w:lang w:val="es-CR" w:eastAsia="es-CR"/>
              </w:rPr>
              <w:t xml:space="preserve">Revisión y validación del </w:t>
            </w:r>
            <w:proofErr w:type="spellStart"/>
            <w:r w:rsidRPr="00D23A75">
              <w:rPr>
                <w:rFonts w:eastAsia="Times New Roman"/>
                <w:sz w:val="19"/>
                <w:szCs w:val="19"/>
                <w:lang w:val="es-CR" w:eastAsia="es-CR"/>
              </w:rPr>
              <w:lastRenderedPageBreak/>
              <w:t>PSCARD</w:t>
            </w:r>
            <w:proofErr w:type="spellEnd"/>
            <w:r w:rsidRPr="00D23A75">
              <w:rPr>
                <w:rFonts w:eastAsia="Times New Roman"/>
                <w:sz w:val="19"/>
                <w:szCs w:val="19"/>
                <w:lang w:val="es-CR" w:eastAsia="es-CR"/>
              </w:rPr>
              <w:t xml:space="preserve"> 2026-2030: a. Revisión técnica liderada por la SE-COMISCA con apoyo del CEIP y la participación de los Ministerios de Salud de la Región (representantes de las Instancias técnicas Regionales). b. Analizar la coherencia entre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y la</w:t>
            </w:r>
            <w:r w:rsidRPr="00BF27B4">
              <w:rPr>
                <w:rFonts w:eastAsia="Times New Roman"/>
                <w:sz w:val="19"/>
                <w:szCs w:val="19"/>
                <w:lang w:val="es-CR" w:eastAsia="es-CR"/>
              </w:rPr>
              <w:t xml:space="preserve"> </w:t>
            </w:r>
            <w:r w:rsidRPr="00D23A75">
              <w:rPr>
                <w:rFonts w:eastAsia="Times New Roman"/>
                <w:sz w:val="19"/>
                <w:szCs w:val="19"/>
                <w:lang w:val="es-CR" w:eastAsia="es-CR"/>
              </w:rPr>
              <w:t xml:space="preserve">Política Nacional de Salud de Costa Rica. Validar prioridades y acciones de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con actores clave nacionales.</w:t>
            </w:r>
            <w:r w:rsidRPr="00BF27B4">
              <w:rPr>
                <w:rFonts w:eastAsia="Times New Roman"/>
                <w:sz w:val="19"/>
                <w:szCs w:val="19"/>
                <w:lang w:val="es-CR" w:eastAsia="es-CR"/>
              </w:rPr>
              <w:t xml:space="preserve"> </w:t>
            </w:r>
            <w:r w:rsidRPr="00D23A75">
              <w:rPr>
                <w:rFonts w:eastAsia="Times New Roman"/>
                <w:sz w:val="19"/>
                <w:szCs w:val="19"/>
                <w:lang w:val="es-CR" w:eastAsia="es-CR"/>
              </w:rPr>
              <w:t xml:space="preserve">Seguimiento y evaluación (2026-2030): a. Brindar retroalimentación mediante informes de avances sobre el cumplimiento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tanto al SE-COMISCA como a OPS/OMS.</w:t>
            </w:r>
          </w:p>
        </w:tc>
        <w:tc>
          <w:tcPr>
            <w:tcW w:w="1812" w:type="dxa"/>
          </w:tcPr>
          <w:p w14:paraId="07AF6B96" w14:textId="77777777"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p w14:paraId="5FF9D44A" w14:textId="6FBF09AB"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Proyecto de Apoyo a la implementación de instrumentos estratégicos regionales en salud y protección social en el marco del SICA</w:t>
            </w:r>
          </w:p>
        </w:tc>
        <w:tc>
          <w:tcPr>
            <w:tcW w:w="1152" w:type="dxa"/>
          </w:tcPr>
          <w:p w14:paraId="0E51F40D" w14:textId="2CB8BC4F" w:rsidR="00C25A03" w:rsidRPr="00BF27B4" w:rsidRDefault="00BF27B4" w:rsidP="00C25A03">
            <w:pPr>
              <w:spacing w:line="240" w:lineRule="auto"/>
              <w:rPr>
                <w:rFonts w:eastAsia="Times New Roman"/>
                <w:sz w:val="19"/>
                <w:szCs w:val="19"/>
                <w:lang w:val="es-CR" w:eastAsia="es-CR"/>
              </w:rPr>
            </w:pPr>
            <w:r w:rsidRPr="00BF27B4">
              <w:rPr>
                <w:rFonts w:eastAsia="Times New Roman"/>
                <w:sz w:val="19"/>
                <w:szCs w:val="19"/>
                <w:lang w:val="es-CR" w:eastAsia="es-CR"/>
              </w:rPr>
              <w:lastRenderedPageBreak/>
              <w:t>No</w:t>
            </w:r>
            <w:r w:rsidR="00C25A03" w:rsidRPr="00D23A75">
              <w:rPr>
                <w:rFonts w:eastAsia="Times New Roman"/>
                <w:sz w:val="19"/>
                <w:szCs w:val="19"/>
                <w:lang w:val="es-CR" w:eastAsia="es-CR"/>
              </w:rPr>
              <w:t xml:space="preserve"> se giran viáticos institucionales. </w:t>
            </w:r>
          </w:p>
        </w:tc>
        <w:tc>
          <w:tcPr>
            <w:tcW w:w="1575" w:type="dxa"/>
          </w:tcPr>
          <w:p w14:paraId="790C500A" w14:textId="77777777" w:rsidR="00C25A03" w:rsidRPr="00BF27B4" w:rsidRDefault="00C25A03" w:rsidP="00C25A03">
            <w:pPr>
              <w:spacing w:line="240" w:lineRule="auto"/>
              <w:rPr>
                <w:rFonts w:eastAsia="Times New Roman"/>
                <w:sz w:val="19"/>
                <w:szCs w:val="19"/>
                <w:lang w:val="es-CR" w:eastAsia="es-CR"/>
              </w:rPr>
            </w:pPr>
          </w:p>
        </w:tc>
      </w:tr>
      <w:tr w:rsidR="00C25A03" w:rsidRPr="00BF27B4" w14:paraId="3C0610FC" w14:textId="77777777" w:rsidTr="00BF27B4">
        <w:trPr>
          <w:gridAfter w:val="1"/>
          <w:wAfter w:w="28" w:type="dxa"/>
          <w:trHeight w:val="50"/>
          <w:jc w:val="center"/>
        </w:trPr>
        <w:tc>
          <w:tcPr>
            <w:tcW w:w="1230" w:type="dxa"/>
          </w:tcPr>
          <w:p w14:paraId="67C3B963" w14:textId="7B21B8A8"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Gerardo Ortega Navarrete</w:t>
            </w:r>
          </w:p>
        </w:tc>
        <w:tc>
          <w:tcPr>
            <w:tcW w:w="1482" w:type="dxa"/>
          </w:tcPr>
          <w:p w14:paraId="5AABF669" w14:textId="57B5FC2B"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Dirección de Planificación </w:t>
            </w:r>
          </w:p>
        </w:tc>
        <w:tc>
          <w:tcPr>
            <w:tcW w:w="895" w:type="dxa"/>
          </w:tcPr>
          <w:p w14:paraId="1219061F" w14:textId="4662530E"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27</w:t>
            </w:r>
            <w:r w:rsidR="00B6388F" w:rsidRPr="00BF27B4">
              <w:rPr>
                <w:rFonts w:eastAsia="Times New Roman"/>
                <w:sz w:val="19"/>
                <w:szCs w:val="19"/>
                <w:lang w:val="es-CR" w:eastAsia="es-CR"/>
              </w:rPr>
              <w:t xml:space="preserve"> de agosto de 2025</w:t>
            </w:r>
          </w:p>
        </w:tc>
        <w:tc>
          <w:tcPr>
            <w:tcW w:w="1230" w:type="dxa"/>
          </w:tcPr>
          <w:p w14:paraId="650C7CEB" w14:textId="6DAB7A49"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28</w:t>
            </w:r>
            <w:r w:rsidR="00B6388F" w:rsidRPr="00BF27B4">
              <w:rPr>
                <w:rFonts w:eastAsia="Times New Roman"/>
                <w:sz w:val="19"/>
                <w:szCs w:val="19"/>
                <w:lang w:val="es-CR" w:eastAsia="es-CR"/>
              </w:rPr>
              <w:t xml:space="preserve"> de agosto de 2025</w:t>
            </w:r>
          </w:p>
        </w:tc>
        <w:tc>
          <w:tcPr>
            <w:tcW w:w="1108" w:type="dxa"/>
          </w:tcPr>
          <w:p w14:paraId="2B214346" w14:textId="2EC1212B"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El Salvador </w:t>
            </w:r>
          </w:p>
        </w:tc>
        <w:tc>
          <w:tcPr>
            <w:tcW w:w="1812" w:type="dxa"/>
          </w:tcPr>
          <w:p w14:paraId="361EB098" w14:textId="42224D2E"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Taller para la formulación de la Hoja de Ruta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y su incorporación en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w:t>
            </w:r>
          </w:p>
        </w:tc>
        <w:tc>
          <w:tcPr>
            <w:tcW w:w="2741" w:type="dxa"/>
          </w:tcPr>
          <w:p w14:paraId="52697ABA" w14:textId="7DC1D414" w:rsidR="00C25A03" w:rsidRPr="00BF27B4" w:rsidRDefault="00C25A03" w:rsidP="00C25A03">
            <w:pPr>
              <w:spacing w:line="240" w:lineRule="auto"/>
              <w:rPr>
                <w:rFonts w:eastAsia="Times New Roman"/>
                <w:i/>
                <w:iCs/>
                <w:sz w:val="19"/>
                <w:szCs w:val="19"/>
                <w:lang w:val="es-CR" w:eastAsia="es-CR"/>
              </w:rPr>
            </w:pPr>
            <w:r w:rsidRPr="00D23A75">
              <w:rPr>
                <w:rFonts w:eastAsia="Times New Roman"/>
                <w:sz w:val="19"/>
                <w:szCs w:val="19"/>
                <w:lang w:val="es-CR" w:eastAsia="es-CR"/>
              </w:rPr>
              <w:t xml:space="preserve">Revisar y validar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 así como apoyar los procesos requeridos por parte de COMISCA en el marco del proceso de fortalecimiento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en la Región de Centroamérica y el Caribe. Plan para implementación:</w:t>
            </w:r>
            <w:r w:rsidRPr="00D23A75">
              <w:rPr>
                <w:rFonts w:eastAsia="Times New Roman"/>
                <w:sz w:val="19"/>
                <w:szCs w:val="19"/>
                <w:lang w:val="es-CR" w:eastAsia="es-CR"/>
              </w:rPr>
              <w:br/>
              <w:t xml:space="preserve">Objetivo: Revisar y validar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 apoyando los procesos requeridos por COMISCA en el marco del fortalecimiento de </w:t>
            </w:r>
            <w:r w:rsidRPr="00D23A75">
              <w:rPr>
                <w:rFonts w:eastAsia="Times New Roman"/>
                <w:sz w:val="19"/>
                <w:szCs w:val="19"/>
                <w:lang w:val="es-CR" w:eastAsia="es-CR"/>
              </w:rPr>
              <w:lastRenderedPageBreak/>
              <w:t xml:space="preserve">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y en especial el seguimiento y evaluación.</w:t>
            </w:r>
            <w:r w:rsidRPr="00D23A75">
              <w:rPr>
                <w:rFonts w:eastAsia="Times New Roman"/>
                <w:sz w:val="19"/>
                <w:szCs w:val="19"/>
                <w:lang w:val="es-CR" w:eastAsia="es-CR"/>
              </w:rPr>
              <w:br/>
              <w:t>Fases de implementación:</w:t>
            </w:r>
            <w:r w:rsidRPr="00D23A75">
              <w:rPr>
                <w:rFonts w:eastAsia="Times New Roman"/>
                <w:sz w:val="19"/>
                <w:szCs w:val="19"/>
                <w:lang w:val="es-CR" w:eastAsia="es-CR"/>
              </w:rPr>
              <w:br/>
              <w:t xml:space="preserve">1. Revisión y validación del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2026-2030: a. Revisión técnica liderada por la SE-COMISCA, y la participación de los Ministerios de Salud de la Región. b. Analizar la coherencia entre el </w:t>
            </w:r>
            <w:proofErr w:type="spellStart"/>
            <w:r w:rsidRPr="00D23A75">
              <w:rPr>
                <w:rFonts w:eastAsia="Times New Roman"/>
                <w:sz w:val="19"/>
                <w:szCs w:val="19"/>
                <w:lang w:val="es-CR" w:eastAsia="es-CR"/>
              </w:rPr>
              <w:t>PSCARD</w:t>
            </w:r>
            <w:proofErr w:type="spellEnd"/>
            <w:r w:rsidRPr="00D23A75">
              <w:rPr>
                <w:rFonts w:eastAsia="Times New Roman"/>
                <w:sz w:val="19"/>
                <w:szCs w:val="19"/>
                <w:lang w:val="es-CR" w:eastAsia="es-CR"/>
              </w:rPr>
              <w:t xml:space="preserve"> y la Política Nacional de Salud de Costa Rica. c. Validar prioridades y acciones de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con actores clave nacionales.</w:t>
            </w:r>
            <w:r w:rsidRPr="00D23A75">
              <w:rPr>
                <w:rFonts w:eastAsia="Times New Roman"/>
                <w:sz w:val="19"/>
                <w:szCs w:val="19"/>
                <w:lang w:val="es-CR" w:eastAsia="es-CR"/>
              </w:rPr>
              <w:br/>
              <w:t>2. Apoyo a procesos de COMISCA (2026-2030): a. Participación en reuniones técnicas y regionales. b. Presentar avances nacionales y lecciones aprendidas. c. Colaborar en la construcción de indicadores</w:t>
            </w:r>
            <w:r w:rsidR="00B6388F" w:rsidRPr="00BF27B4">
              <w:rPr>
                <w:rFonts w:eastAsia="Times New Roman"/>
                <w:sz w:val="19"/>
                <w:szCs w:val="19"/>
                <w:lang w:val="es-CR" w:eastAsia="es-CR"/>
              </w:rPr>
              <w:t xml:space="preserve"> </w:t>
            </w:r>
            <w:r w:rsidRPr="00D23A75">
              <w:rPr>
                <w:rFonts w:eastAsia="Times New Roman"/>
                <w:sz w:val="19"/>
                <w:szCs w:val="19"/>
                <w:lang w:val="es-CR" w:eastAsia="es-CR"/>
              </w:rPr>
              <w:t xml:space="preserve">comunes. </w:t>
            </w:r>
            <w:r w:rsidRPr="00D23A75">
              <w:rPr>
                <w:rFonts w:eastAsia="Times New Roman"/>
                <w:sz w:val="19"/>
                <w:szCs w:val="19"/>
                <w:lang w:val="es-CR" w:eastAsia="es-CR"/>
              </w:rPr>
              <w:br/>
              <w:t xml:space="preserve">3. Seguimiento y evaluación (2026-2030): Brindar retroalimentación mediante informes periódicos de avances sobre el cumplimiento de las </w:t>
            </w:r>
            <w:proofErr w:type="spellStart"/>
            <w:r w:rsidRPr="00D23A75">
              <w:rPr>
                <w:rFonts w:eastAsia="Times New Roman"/>
                <w:sz w:val="19"/>
                <w:szCs w:val="19"/>
                <w:lang w:val="es-CR" w:eastAsia="es-CR"/>
              </w:rPr>
              <w:t>FESP</w:t>
            </w:r>
            <w:proofErr w:type="spellEnd"/>
            <w:r w:rsidRPr="00D23A75">
              <w:rPr>
                <w:rFonts w:eastAsia="Times New Roman"/>
                <w:sz w:val="19"/>
                <w:szCs w:val="19"/>
                <w:lang w:val="es-CR" w:eastAsia="es-CR"/>
              </w:rPr>
              <w:t xml:space="preserve"> tanto al SE-COMISCA, como a OPS/OMS.</w:t>
            </w:r>
          </w:p>
        </w:tc>
        <w:tc>
          <w:tcPr>
            <w:tcW w:w="1812" w:type="dxa"/>
          </w:tcPr>
          <w:p w14:paraId="3A4E75D1" w14:textId="77777777"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lastRenderedPageBreak/>
              <w:t>Secretaría Ejecutiva del Consejo de Ministros de Salud de Centroamérica y República Dominicana (SE-COMISCA)</w:t>
            </w:r>
          </w:p>
          <w:p w14:paraId="339624A9" w14:textId="0AAA1759" w:rsidR="00C25A03" w:rsidRPr="00BF27B4" w:rsidRDefault="00C25A03" w:rsidP="00C25A03">
            <w:pPr>
              <w:spacing w:line="240" w:lineRule="auto"/>
              <w:rPr>
                <w:rFonts w:eastAsia="Times New Roman"/>
                <w:sz w:val="19"/>
                <w:szCs w:val="19"/>
                <w:lang w:val="es-CR" w:eastAsia="es-CR"/>
              </w:rPr>
            </w:pPr>
            <w:r w:rsidRPr="00D23A75">
              <w:rPr>
                <w:rFonts w:eastAsia="Times New Roman"/>
                <w:sz w:val="19"/>
                <w:szCs w:val="19"/>
                <w:lang w:val="es-CR" w:eastAsia="es-CR"/>
              </w:rPr>
              <w:t xml:space="preserve">Proyecto de Apoyo a la implementación de instrumentos estratégicos regionales en </w:t>
            </w:r>
            <w:r w:rsidRPr="00D23A75">
              <w:rPr>
                <w:rFonts w:eastAsia="Times New Roman"/>
                <w:sz w:val="19"/>
                <w:szCs w:val="19"/>
                <w:lang w:val="es-CR" w:eastAsia="es-CR"/>
              </w:rPr>
              <w:lastRenderedPageBreak/>
              <w:t>salud y protección social en el marco del SICA</w:t>
            </w:r>
          </w:p>
        </w:tc>
        <w:tc>
          <w:tcPr>
            <w:tcW w:w="1152" w:type="dxa"/>
          </w:tcPr>
          <w:p w14:paraId="2209413C" w14:textId="5E5F2AD7" w:rsidR="00C25A03" w:rsidRPr="00BF27B4" w:rsidRDefault="00BF27B4" w:rsidP="00C25A03">
            <w:pPr>
              <w:spacing w:line="240" w:lineRule="auto"/>
              <w:rPr>
                <w:rFonts w:eastAsia="Times New Roman"/>
                <w:sz w:val="19"/>
                <w:szCs w:val="19"/>
                <w:lang w:val="es-CR" w:eastAsia="es-CR"/>
              </w:rPr>
            </w:pPr>
            <w:r w:rsidRPr="00BF27B4">
              <w:rPr>
                <w:rFonts w:eastAsia="Times New Roman"/>
                <w:sz w:val="19"/>
                <w:szCs w:val="19"/>
                <w:lang w:val="es-CR" w:eastAsia="es-CR"/>
              </w:rPr>
              <w:lastRenderedPageBreak/>
              <w:t>No</w:t>
            </w:r>
            <w:r w:rsidR="00C25A03" w:rsidRPr="00D23A75">
              <w:rPr>
                <w:rFonts w:eastAsia="Times New Roman"/>
                <w:sz w:val="19"/>
                <w:szCs w:val="19"/>
                <w:lang w:val="es-CR" w:eastAsia="es-CR"/>
              </w:rPr>
              <w:t xml:space="preserve"> se giran viáticos institucionales. </w:t>
            </w:r>
          </w:p>
        </w:tc>
        <w:tc>
          <w:tcPr>
            <w:tcW w:w="1575" w:type="dxa"/>
          </w:tcPr>
          <w:p w14:paraId="58186C78" w14:textId="77777777" w:rsidR="00C25A03" w:rsidRPr="00BF27B4" w:rsidRDefault="00C25A03" w:rsidP="00C25A03">
            <w:pPr>
              <w:spacing w:line="240" w:lineRule="auto"/>
              <w:rPr>
                <w:rFonts w:eastAsia="Times New Roman"/>
                <w:sz w:val="19"/>
                <w:szCs w:val="19"/>
                <w:lang w:val="es-CR" w:eastAsia="es-CR"/>
              </w:rPr>
            </w:pPr>
          </w:p>
        </w:tc>
      </w:tr>
      <w:tr w:rsidR="00C25A03" w:rsidRPr="00BF27B4" w14:paraId="79AE583A" w14:textId="77777777" w:rsidTr="00BF27B4">
        <w:trPr>
          <w:trHeight w:val="50"/>
          <w:jc w:val="center"/>
        </w:trPr>
        <w:tc>
          <w:tcPr>
            <w:tcW w:w="15065" w:type="dxa"/>
            <w:gridSpan w:val="11"/>
            <w:shd w:val="clear" w:color="auto" w:fill="0F4761" w:themeFill="accent1" w:themeFillShade="BF"/>
          </w:tcPr>
          <w:p w14:paraId="363A67D6" w14:textId="77777777" w:rsidR="00C25A03" w:rsidRPr="00BF27B4" w:rsidRDefault="00C25A03" w:rsidP="00C25A03">
            <w:pPr>
              <w:spacing w:line="240" w:lineRule="auto"/>
              <w:jc w:val="center"/>
              <w:rPr>
                <w:rFonts w:eastAsia="Times New Roman"/>
                <w:b/>
                <w:bCs/>
                <w:color w:val="FFFFFF" w:themeColor="background1"/>
                <w:sz w:val="19"/>
                <w:szCs w:val="19"/>
                <w:lang w:val="es-ES_tradnl" w:eastAsia="es-CR"/>
              </w:rPr>
            </w:pPr>
            <w:r w:rsidRPr="00BF27B4">
              <w:rPr>
                <w:rFonts w:eastAsia="Times New Roman"/>
                <w:b/>
                <w:bCs/>
                <w:color w:val="FFFFFF" w:themeColor="background1"/>
                <w:sz w:val="19"/>
                <w:szCs w:val="19"/>
                <w:lang w:val="es-ES_tradnl" w:eastAsia="es-CR"/>
              </w:rPr>
              <w:t>Última línea</w:t>
            </w:r>
          </w:p>
        </w:tc>
      </w:tr>
    </w:tbl>
    <w:p w14:paraId="307BA0F5" w14:textId="77777777" w:rsidR="006C00AE" w:rsidRDefault="006C00AE" w:rsidP="006C00AE">
      <w:pPr>
        <w:spacing w:line="240" w:lineRule="auto"/>
        <w:rPr>
          <w:sz w:val="20"/>
          <w:szCs w:val="20"/>
          <w:lang w:val="es-ES_tradnl"/>
        </w:rPr>
      </w:pPr>
    </w:p>
    <w:p w14:paraId="61AB8C26" w14:textId="063DB771" w:rsidR="0065321F" w:rsidRPr="00D23A75" w:rsidRDefault="006C00AE" w:rsidP="00821DD8">
      <w:pPr>
        <w:spacing w:line="240" w:lineRule="auto"/>
        <w:rPr>
          <w:lang w:val="es-CR"/>
        </w:rPr>
      </w:pPr>
      <w:r>
        <w:rPr>
          <w:sz w:val="20"/>
          <w:szCs w:val="20"/>
          <w:lang w:val="es-ES_tradnl"/>
        </w:rPr>
        <w:t>Actualizado: 11 de</w:t>
      </w:r>
      <w:r w:rsidR="00821DD8">
        <w:rPr>
          <w:sz w:val="20"/>
          <w:szCs w:val="20"/>
          <w:lang w:val="es-ES_tradnl"/>
        </w:rPr>
        <w:t xml:space="preserve"> n</w:t>
      </w:r>
      <w:r w:rsidR="00BF27B4">
        <w:rPr>
          <w:sz w:val="20"/>
          <w:szCs w:val="20"/>
          <w:lang w:val="es-ES_tradnl"/>
        </w:rPr>
        <w:t>o</w:t>
      </w:r>
      <w:r>
        <w:rPr>
          <w:sz w:val="20"/>
          <w:szCs w:val="20"/>
          <w:lang w:val="es-ES_tradnl"/>
        </w:rPr>
        <w:t>viembre de 2025.</w:t>
      </w:r>
    </w:p>
    <w:sectPr w:rsidR="0065321F" w:rsidRPr="00D23A75" w:rsidSect="006C00AE">
      <w:headerReference w:type="default" r:id="rId12"/>
      <w:footerReference w:type="default" r:id="rId13"/>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AEFA6" w14:textId="77777777" w:rsidR="006C00AE" w:rsidRDefault="006C00AE" w:rsidP="004D61A4">
    <w:pPr>
      <w:spacing w:line="240" w:lineRule="auto"/>
      <w:ind w:right="-40"/>
      <w:jc w:val="center"/>
      <w:rPr>
        <w:b/>
        <w:color w:val="004691"/>
        <w:sz w:val="18"/>
        <w:szCs w:val="18"/>
      </w:rPr>
    </w:pPr>
  </w:p>
  <w:p w14:paraId="7CC89D2D" w14:textId="77777777" w:rsidR="006C00AE" w:rsidRPr="00976BED" w:rsidRDefault="006C00AE"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3742BA83" w14:textId="77777777" w:rsidR="006C00AE" w:rsidRPr="00976BED" w:rsidRDefault="006C00AE"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15FA147A" w14:textId="77777777" w:rsidR="006C00AE" w:rsidRDefault="006C00AE"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35F03A7A" w14:textId="77777777" w:rsidR="006C00AE" w:rsidRDefault="006C00AE" w:rsidP="004D61A4">
    <w:pPr>
      <w:spacing w:line="240" w:lineRule="auto"/>
      <w:jc w:val="center"/>
      <w:rPr>
        <w:rFonts w:eastAsia="Calibri"/>
        <w:color w:val="0E2841" w:themeColor="text2"/>
        <w:sz w:val="15"/>
        <w:szCs w:val="15"/>
      </w:rPr>
    </w:pPr>
    <w:r>
      <w:rPr>
        <w:noProof/>
      </w:rPr>
      <w:drawing>
        <wp:anchor distT="0" distB="0" distL="114300" distR="114300" simplePos="0" relativeHeight="251660288" behindDoc="0" locked="0" layoutInCell="1" allowOverlap="1" wp14:anchorId="0E3CE1D0" wp14:editId="50AF9C30">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7C07BD0B" wp14:editId="4FEC4682">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748E3" w14:textId="77777777" w:rsidR="006C00AE" w:rsidRPr="00C617CA" w:rsidRDefault="006C00AE" w:rsidP="00A343F7">
    <w:pPr>
      <w:pStyle w:val="Encabezado"/>
      <w:rPr>
        <w:sz w:val="2"/>
        <w:szCs w:val="2"/>
      </w:rPr>
    </w:pPr>
    <w:r>
      <w:rPr>
        <w:noProof/>
      </w:rPr>
      <w:drawing>
        <wp:anchor distT="0" distB="0" distL="114300" distR="114300" simplePos="0" relativeHeight="251659264" behindDoc="0" locked="0" layoutInCell="1" allowOverlap="1" wp14:anchorId="3CCE1F03" wp14:editId="4A888FA1">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00AE"/>
    <w:rsid w:val="001351F6"/>
    <w:rsid w:val="001C6EF4"/>
    <w:rsid w:val="0065321F"/>
    <w:rsid w:val="006C00AE"/>
    <w:rsid w:val="00821DD8"/>
    <w:rsid w:val="00A9784E"/>
    <w:rsid w:val="00B6388F"/>
    <w:rsid w:val="00BF27B4"/>
    <w:rsid w:val="00C25A03"/>
    <w:rsid w:val="00D23A75"/>
    <w:rsid w:val="00E2018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88A65"/>
  <w15:chartTrackingRefBased/>
  <w15:docId w15:val="{F5BD565D-02EE-4557-AFA7-225E48E67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00AE"/>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6C00A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6C00A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6C00AE"/>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6C00AE"/>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6C00AE"/>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6C00AE"/>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6C00AE"/>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6C00AE"/>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6C00AE"/>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C00A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C00A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C00A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C00A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C00A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C00A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C00A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C00A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C00AE"/>
    <w:rPr>
      <w:rFonts w:eastAsiaTheme="majorEastAsia" w:cstheme="majorBidi"/>
      <w:color w:val="272727" w:themeColor="text1" w:themeTint="D8"/>
    </w:rPr>
  </w:style>
  <w:style w:type="paragraph" w:styleId="Ttulo">
    <w:name w:val="Title"/>
    <w:basedOn w:val="Normal"/>
    <w:next w:val="Normal"/>
    <w:link w:val="TtuloCar"/>
    <w:uiPriority w:val="10"/>
    <w:qFormat/>
    <w:rsid w:val="006C00AE"/>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6C00A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C00AE"/>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6C00A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C00AE"/>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6C00AE"/>
    <w:rPr>
      <w:i/>
      <w:iCs/>
      <w:color w:val="404040" w:themeColor="text1" w:themeTint="BF"/>
    </w:rPr>
  </w:style>
  <w:style w:type="paragraph" w:styleId="Prrafodelista">
    <w:name w:val="List Paragraph"/>
    <w:basedOn w:val="Normal"/>
    <w:uiPriority w:val="34"/>
    <w:qFormat/>
    <w:rsid w:val="006C00AE"/>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6C00AE"/>
    <w:rPr>
      <w:i/>
      <w:iCs/>
      <w:color w:val="0F4761" w:themeColor="accent1" w:themeShade="BF"/>
    </w:rPr>
  </w:style>
  <w:style w:type="paragraph" w:styleId="Citadestacada">
    <w:name w:val="Intense Quote"/>
    <w:basedOn w:val="Normal"/>
    <w:next w:val="Normal"/>
    <w:link w:val="CitadestacadaCar"/>
    <w:uiPriority w:val="30"/>
    <w:qFormat/>
    <w:rsid w:val="006C00AE"/>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6C00AE"/>
    <w:rPr>
      <w:i/>
      <w:iCs/>
      <w:color w:val="0F4761" w:themeColor="accent1" w:themeShade="BF"/>
    </w:rPr>
  </w:style>
  <w:style w:type="character" w:styleId="Referenciaintensa">
    <w:name w:val="Intense Reference"/>
    <w:basedOn w:val="Fuentedeprrafopredeter"/>
    <w:uiPriority w:val="32"/>
    <w:qFormat/>
    <w:rsid w:val="006C00AE"/>
    <w:rPr>
      <w:b/>
      <w:bCs/>
      <w:smallCaps/>
      <w:color w:val="0F4761" w:themeColor="accent1" w:themeShade="BF"/>
      <w:spacing w:val="5"/>
    </w:rPr>
  </w:style>
  <w:style w:type="paragraph" w:styleId="Encabezado">
    <w:name w:val="header"/>
    <w:basedOn w:val="Normal"/>
    <w:link w:val="EncabezadoCar"/>
    <w:uiPriority w:val="99"/>
    <w:unhideWhenUsed/>
    <w:rsid w:val="006C00A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C00AE"/>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6C00AE"/>
    <w:rPr>
      <w:color w:val="467886" w:themeColor="hyperlink"/>
      <w:u w:val="single"/>
    </w:rPr>
  </w:style>
  <w:style w:type="character" w:styleId="Mencinsinresolver">
    <w:name w:val="Unresolved Mention"/>
    <w:basedOn w:val="Fuentedeprrafopredeter"/>
    <w:uiPriority w:val="99"/>
    <w:semiHidden/>
    <w:unhideWhenUsed/>
    <w:rsid w:val="001C6E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ternacionales@misalud.go.cr"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lsalcedo@minsa.gob.pa" TargetMode="External"/><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ternacionales@misalud.go.cr" TargetMode="External"/><Relationship Id="rId11" Type="http://schemas.openxmlformats.org/officeDocument/2006/relationships/hyperlink" Target="mailto:lsalcedo@minsa.gob.pa" TargetMode="External"/><Relationship Id="rId5" Type="http://schemas.openxmlformats.org/officeDocument/2006/relationships/hyperlink" Target="mailto:lsalcedo@minsa.gob.pa" TargetMode="External"/><Relationship Id="rId15" Type="http://schemas.openxmlformats.org/officeDocument/2006/relationships/theme" Target="theme/theme1.xml"/><Relationship Id="rId10" Type="http://schemas.openxmlformats.org/officeDocument/2006/relationships/hyperlink" Target="mailto:internacionales@misalud.go.cr" TargetMode="External"/><Relationship Id="rId4" Type="http://schemas.openxmlformats.org/officeDocument/2006/relationships/hyperlink" Target="mailto:internacionales@misalud.go.cr" TargetMode="External"/><Relationship Id="rId9" Type="http://schemas.openxmlformats.org/officeDocument/2006/relationships/hyperlink" Target="mailto:lsalcedo@minsa.gob.pa"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11</Pages>
  <Words>2078</Words>
  <Characters>12968</Characters>
  <Application>Microsoft Office Word</Application>
  <DocSecurity>0</DocSecurity>
  <Lines>12968</Lines>
  <Paragraphs>885</Paragraphs>
  <ScaleCrop>false</ScaleCrop>
  <Company/>
  <LinksUpToDate>false</LinksUpToDate>
  <CharactersWithSpaces>14161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7</cp:revision>
  <dcterms:created xsi:type="dcterms:W3CDTF">2025-11-11T17:31:00Z</dcterms:created>
  <dcterms:modified xsi:type="dcterms:W3CDTF">2025-11-11T17:59:00Z</dcterms:modified>
</cp:coreProperties>
</file>