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80660" w14:textId="77777777" w:rsidR="003A26FF" w:rsidRPr="00D63D83" w:rsidRDefault="003A26FF" w:rsidP="003A26FF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524952BC" w14:textId="00FFAD1C" w:rsidR="003A26FF" w:rsidRPr="00D63D83" w:rsidRDefault="003A26FF" w:rsidP="003A26FF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Noviembre </w:t>
      </w:r>
      <w:r w:rsidRPr="00D63D83">
        <w:rPr>
          <w:b/>
          <w:bCs/>
          <w:sz w:val="24"/>
          <w:szCs w:val="24"/>
          <w:lang w:val="es-ES_tradnl"/>
        </w:rPr>
        <w:t>2025</w:t>
      </w:r>
    </w:p>
    <w:p w14:paraId="61F7E989" w14:textId="77777777" w:rsidR="003A26FF" w:rsidRPr="00D63D83" w:rsidRDefault="003A26FF" w:rsidP="003A26FF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0"/>
        <w:gridCol w:w="1458"/>
        <w:gridCol w:w="1074"/>
        <w:gridCol w:w="1230"/>
        <w:gridCol w:w="1197"/>
        <w:gridCol w:w="1758"/>
        <w:gridCol w:w="2142"/>
        <w:gridCol w:w="1719"/>
        <w:gridCol w:w="1475"/>
        <w:gridCol w:w="1577"/>
        <w:gridCol w:w="10"/>
      </w:tblGrid>
      <w:tr w:rsidR="002655F4" w:rsidRPr="00D63D83" w14:paraId="6A294CB4" w14:textId="77777777" w:rsidTr="003A26FF">
        <w:trPr>
          <w:gridAfter w:val="1"/>
          <w:wAfter w:w="11" w:type="dxa"/>
          <w:trHeight w:val="697"/>
          <w:tblHeader/>
          <w:jc w:val="center"/>
        </w:trPr>
        <w:tc>
          <w:tcPr>
            <w:tcW w:w="1186" w:type="dxa"/>
            <w:shd w:val="clear" w:color="000000" w:fill="B4C6E7"/>
            <w:vAlign w:val="center"/>
            <w:hideMark/>
          </w:tcPr>
          <w:p w14:paraId="7EC7148B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476" w:type="dxa"/>
            <w:shd w:val="clear" w:color="000000" w:fill="B4C6E7"/>
            <w:vAlign w:val="center"/>
            <w:hideMark/>
          </w:tcPr>
          <w:p w14:paraId="366C084A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907" w:type="dxa"/>
            <w:shd w:val="clear" w:color="000000" w:fill="B4C6E7"/>
            <w:vAlign w:val="center"/>
            <w:hideMark/>
          </w:tcPr>
          <w:p w14:paraId="6986D905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7540825C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97" w:type="dxa"/>
            <w:shd w:val="clear" w:color="000000" w:fill="B4C6E7"/>
            <w:vAlign w:val="center"/>
            <w:hideMark/>
          </w:tcPr>
          <w:p w14:paraId="46D5F2B1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03" w:type="dxa"/>
            <w:shd w:val="clear" w:color="000000" w:fill="B4C6E7"/>
            <w:vAlign w:val="center"/>
            <w:hideMark/>
          </w:tcPr>
          <w:p w14:paraId="18CC401A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142" w:type="dxa"/>
            <w:shd w:val="clear" w:color="000000" w:fill="B4C6E7"/>
            <w:vAlign w:val="center"/>
            <w:hideMark/>
          </w:tcPr>
          <w:p w14:paraId="6EC3EA14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799" w:type="dxa"/>
            <w:shd w:val="clear" w:color="000000" w:fill="B4C6E7"/>
            <w:vAlign w:val="center"/>
            <w:hideMark/>
          </w:tcPr>
          <w:p w14:paraId="6CF7E9CA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82" w:type="dxa"/>
            <w:shd w:val="clear" w:color="000000" w:fill="B4C6E7"/>
            <w:vAlign w:val="center"/>
            <w:hideMark/>
          </w:tcPr>
          <w:p w14:paraId="7DD0D334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7" w:type="dxa"/>
            <w:shd w:val="clear" w:color="000000" w:fill="B4C6E7"/>
            <w:vAlign w:val="center"/>
            <w:hideMark/>
          </w:tcPr>
          <w:p w14:paraId="4F437697" w14:textId="77777777" w:rsidR="003A26FF" w:rsidRPr="00D63D83" w:rsidRDefault="003A26FF" w:rsidP="00B4555A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655F4" w:rsidRPr="00D63D83" w14:paraId="60C7E850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4D708B07" w14:textId="3C8A0EE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Jorge Araya Madrigal</w:t>
            </w:r>
          </w:p>
        </w:tc>
        <w:tc>
          <w:tcPr>
            <w:tcW w:w="1476" w:type="dxa"/>
          </w:tcPr>
          <w:p w14:paraId="71926C1F" w14:textId="176BCB0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División Administrativa</w:t>
            </w:r>
          </w:p>
        </w:tc>
        <w:tc>
          <w:tcPr>
            <w:tcW w:w="907" w:type="dxa"/>
          </w:tcPr>
          <w:p w14:paraId="194AE6A3" w14:textId="69A1483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697EBAFA" w14:textId="1E43F7B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3DD7F8C3" w14:textId="437F075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803" w:type="dxa"/>
          </w:tcPr>
          <w:p w14:paraId="216F38EB" w14:textId="7B4946A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52° Seminario Internacional de Presupuesto Público</w:t>
            </w:r>
          </w:p>
        </w:tc>
        <w:tc>
          <w:tcPr>
            <w:tcW w:w="2142" w:type="dxa"/>
          </w:tcPr>
          <w:p w14:paraId="42E74E50" w14:textId="452881C2" w:rsidR="003A26FF" w:rsidRPr="00D63D83" w:rsidRDefault="003A26FF" w:rsidP="003A26FF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3EB41CB8" w14:textId="3E06CA8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2" w:type="dxa"/>
          </w:tcPr>
          <w:p w14:paraId="1EBE8787" w14:textId="2593F808" w:rsidR="003A26FF" w:rsidRPr="00D63D83" w:rsidRDefault="003A26FF" w:rsidP="002655F4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891 782,95 </w:t>
            </w:r>
          </w:p>
        </w:tc>
        <w:tc>
          <w:tcPr>
            <w:tcW w:w="1577" w:type="dxa"/>
          </w:tcPr>
          <w:p w14:paraId="0E6200DD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40A515A1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70283095" w14:textId="389F08B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Chris Fonseca Vargas</w:t>
            </w:r>
          </w:p>
        </w:tc>
        <w:tc>
          <w:tcPr>
            <w:tcW w:w="1476" w:type="dxa"/>
          </w:tcPr>
          <w:p w14:paraId="50DCB711" w14:textId="481E756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División Administrativa</w:t>
            </w:r>
          </w:p>
        </w:tc>
        <w:tc>
          <w:tcPr>
            <w:tcW w:w="907" w:type="dxa"/>
          </w:tcPr>
          <w:p w14:paraId="3E67F997" w14:textId="48253DF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35DEFDB5" w14:textId="65543F5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46B7D927" w14:textId="126F83A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República Dominicana </w:t>
            </w:r>
          </w:p>
        </w:tc>
        <w:tc>
          <w:tcPr>
            <w:tcW w:w="1803" w:type="dxa"/>
          </w:tcPr>
          <w:p w14:paraId="16128330" w14:textId="5B197ED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52° Seminario Internacional de Presupuesto Público</w:t>
            </w:r>
          </w:p>
        </w:tc>
        <w:tc>
          <w:tcPr>
            <w:tcW w:w="2142" w:type="dxa"/>
          </w:tcPr>
          <w:p w14:paraId="5F3F8FFE" w14:textId="7C23152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2483EF06" w14:textId="68EE80D5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2" w:type="dxa"/>
          </w:tcPr>
          <w:p w14:paraId="7475744C" w14:textId="20D1504F" w:rsidR="003A26FF" w:rsidRPr="00D63D83" w:rsidRDefault="003A26FF" w:rsidP="002655F4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891 782,95 </w:t>
            </w:r>
          </w:p>
        </w:tc>
        <w:tc>
          <w:tcPr>
            <w:tcW w:w="1577" w:type="dxa"/>
          </w:tcPr>
          <w:p w14:paraId="58FB6D83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1CE92654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183B8F91" w14:textId="1902B3E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Juan Carlos Oreamuno Hernández</w:t>
            </w:r>
          </w:p>
        </w:tc>
        <w:tc>
          <w:tcPr>
            <w:tcW w:w="1476" w:type="dxa"/>
          </w:tcPr>
          <w:p w14:paraId="3FFF6B7E" w14:textId="17BB75A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07" w:type="dxa"/>
          </w:tcPr>
          <w:p w14:paraId="44CB94FE" w14:textId="7ED4026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511FB468" w14:textId="22081BF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14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4858D558" w14:textId="0D1CD80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03" w:type="dxa"/>
          </w:tcPr>
          <w:p w14:paraId="12FD6976" w14:textId="269761B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Regional sobre el Fortalecimiento de la Infraestructura Regulatoria y las Capacidades Técnicas Nacionales para la Protección Radiológica del Público y del Ambiente </w:t>
            </w:r>
          </w:p>
        </w:tc>
        <w:tc>
          <w:tcPr>
            <w:tcW w:w="2142" w:type="dxa"/>
          </w:tcPr>
          <w:p w14:paraId="1EC39B34" w14:textId="188CDB5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5125CA5E" w14:textId="6EC83A8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82" w:type="dxa"/>
          </w:tcPr>
          <w:p w14:paraId="31D165FF" w14:textId="4342BA25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4942A60D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37C9C92E" w14:textId="77777777" w:rsidTr="002655F4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377023AE" w14:textId="388E3BC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Andrea Garita Castro</w:t>
            </w:r>
          </w:p>
        </w:tc>
        <w:tc>
          <w:tcPr>
            <w:tcW w:w="1476" w:type="dxa"/>
          </w:tcPr>
          <w:p w14:paraId="6415A8C5" w14:textId="4398C91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907" w:type="dxa"/>
          </w:tcPr>
          <w:p w14:paraId="2DF87040" w14:textId="11DA383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2EF70332" w14:textId="72C3DAF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12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554254A1" w14:textId="5C8DCA1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03" w:type="dxa"/>
          </w:tcPr>
          <w:p w14:paraId="6CB5788E" w14:textId="468E9A4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Taller de Validación del Plan de Salud de Centroamérica y República Dominicana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PSCARD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 2026-2030</w:t>
            </w:r>
          </w:p>
        </w:tc>
        <w:tc>
          <w:tcPr>
            <w:tcW w:w="2142" w:type="dxa"/>
            <w:vAlign w:val="center"/>
          </w:tcPr>
          <w:p w14:paraId="08DED826" w14:textId="506D9CBB" w:rsidR="003A26FF" w:rsidRPr="002655F4" w:rsidRDefault="002655F4" w:rsidP="002655F4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799" w:type="dxa"/>
          </w:tcPr>
          <w:p w14:paraId="6816E752" w14:textId="6E9A3536" w:rsidR="003A26FF" w:rsidRPr="00D63D83" w:rsidRDefault="003A26FF" w:rsidP="003A26FF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Secretaría Ejecutiva del Consejo de Ministros de Salud de Centroamérica y República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Dominicana (SE-COMISCA)</w:t>
            </w:r>
          </w:p>
        </w:tc>
        <w:tc>
          <w:tcPr>
            <w:tcW w:w="1482" w:type="dxa"/>
          </w:tcPr>
          <w:p w14:paraId="51B5137F" w14:textId="01E53494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giran viáticos institucionales. </w:t>
            </w:r>
          </w:p>
        </w:tc>
        <w:tc>
          <w:tcPr>
            <w:tcW w:w="1577" w:type="dxa"/>
          </w:tcPr>
          <w:p w14:paraId="2AB9DFC1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75434E70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5337A9EC" w14:textId="4F06DB8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María José Lafuente González</w:t>
            </w:r>
          </w:p>
        </w:tc>
        <w:tc>
          <w:tcPr>
            <w:tcW w:w="1476" w:type="dxa"/>
          </w:tcPr>
          <w:p w14:paraId="197EB620" w14:textId="55202BE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07" w:type="dxa"/>
          </w:tcPr>
          <w:p w14:paraId="2D1DB8FA" w14:textId="5443973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684E1001" w14:textId="6B176B8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15C8F79E" w14:textId="0ADD6A6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03" w:type="dxa"/>
          </w:tcPr>
          <w:p w14:paraId="59D02889" w14:textId="6B47227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Programa de Visitantes Internacionales</w:t>
            </w:r>
          </w:p>
        </w:tc>
        <w:tc>
          <w:tcPr>
            <w:tcW w:w="2142" w:type="dxa"/>
          </w:tcPr>
          <w:p w14:paraId="21AFFC31" w14:textId="2301380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799" w:type="dxa"/>
          </w:tcPr>
          <w:p w14:paraId="776AB745" w14:textId="00CEF21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Gobierno de Estados Unidos de América </w:t>
            </w:r>
          </w:p>
        </w:tc>
        <w:tc>
          <w:tcPr>
            <w:tcW w:w="1482" w:type="dxa"/>
          </w:tcPr>
          <w:p w14:paraId="5405B93E" w14:textId="22C14160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7AA05E01" w14:textId="6AB7CD1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CARTA-MS-DM-6214-2025 y el Acuerdo Ministerial de Viaje MS-DM-FP-6300-2025.</w:t>
            </w:r>
          </w:p>
        </w:tc>
      </w:tr>
      <w:tr w:rsidR="002655F4" w:rsidRPr="00D63D83" w14:paraId="37EC5785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3225051E" w14:textId="3761FE3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Sinaí Valverde Ceciliano</w:t>
            </w:r>
          </w:p>
        </w:tc>
        <w:tc>
          <w:tcPr>
            <w:tcW w:w="1476" w:type="dxa"/>
          </w:tcPr>
          <w:p w14:paraId="51420F10" w14:textId="45634F8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Secretaría Técnica de Salud Mental</w:t>
            </w:r>
          </w:p>
        </w:tc>
        <w:tc>
          <w:tcPr>
            <w:tcW w:w="907" w:type="dxa"/>
          </w:tcPr>
          <w:p w14:paraId="6E48B75F" w14:textId="17052ED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13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76AF9A30" w14:textId="39B43D8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14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49BB2C2E" w14:textId="4625CED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Puerto Rico</w:t>
            </w:r>
          </w:p>
        </w:tc>
        <w:tc>
          <w:tcPr>
            <w:tcW w:w="1803" w:type="dxa"/>
          </w:tcPr>
          <w:p w14:paraId="2C9ACD95" w14:textId="337C618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Primera capacitación en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Posvención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dirigida a líderes comunitarios, personal del sector educativo y profesionales de la salud en Puerto Rico</w:t>
            </w:r>
          </w:p>
        </w:tc>
        <w:tc>
          <w:tcPr>
            <w:tcW w:w="2142" w:type="dxa"/>
          </w:tcPr>
          <w:p w14:paraId="49CDA40C" w14:textId="45B6289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Una reunión virtual adicional para exposición de insumos adicionales con los que se cuentan en Costa Rica para el abordaje integral del comportamiento suicida. Invitados a las sesiones virtuales que desarrollará el Ministerio de Salud de Costa Rica, en febrero 2026, sobre elaboración de protocolos de abordaje de suicidio y la de identificación de señales de alerta y mitos y estereotipos. Envío de materiales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audiovisuales y contenido psicoeducativo elaborado en Costa Rica.</w:t>
            </w:r>
          </w:p>
        </w:tc>
        <w:tc>
          <w:tcPr>
            <w:tcW w:w="1799" w:type="dxa"/>
          </w:tcPr>
          <w:p w14:paraId="711B2ECE" w14:textId="7840440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Life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Assisting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Fellowship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Corporation</w:t>
            </w:r>
            <w:proofErr w:type="spellEnd"/>
          </w:p>
        </w:tc>
        <w:tc>
          <w:tcPr>
            <w:tcW w:w="1482" w:type="dxa"/>
          </w:tcPr>
          <w:p w14:paraId="3ADF9BDB" w14:textId="70EB1E79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2F6B06B0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0B124A5C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00E64B08" w14:textId="0AAA4BE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Yorleny Molina Retana</w:t>
            </w:r>
          </w:p>
        </w:tc>
        <w:tc>
          <w:tcPr>
            <w:tcW w:w="1476" w:type="dxa"/>
          </w:tcPr>
          <w:p w14:paraId="1DD930D9" w14:textId="422E8A8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Huetar Caribe</w:t>
            </w:r>
          </w:p>
        </w:tc>
        <w:tc>
          <w:tcPr>
            <w:tcW w:w="907" w:type="dxa"/>
          </w:tcPr>
          <w:p w14:paraId="3033BE7D" w14:textId="53E2C78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13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4C1F9597" w14:textId="1D6CE918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15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72BAB1AF" w14:textId="3FE385C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03" w:type="dxa"/>
          </w:tcPr>
          <w:p w14:paraId="7F3F776A" w14:textId="168F356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Encuentro regional de la Alianza Global de Ataque Cerebrovascular y Congreso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br/>
              <w:t>Iberoamericano de la Alianza Global de Ataque Cerebrovascular</w:t>
            </w:r>
          </w:p>
        </w:tc>
        <w:tc>
          <w:tcPr>
            <w:tcW w:w="2142" w:type="dxa"/>
          </w:tcPr>
          <w:p w14:paraId="40D50CA0" w14:textId="0EFF6BCF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48523E5A" w14:textId="77D7A60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Global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Stroke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Alliance</w:t>
            </w:r>
          </w:p>
        </w:tc>
        <w:tc>
          <w:tcPr>
            <w:tcW w:w="1482" w:type="dxa"/>
          </w:tcPr>
          <w:p w14:paraId="162ECF93" w14:textId="48494B93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1CDDFBD1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499B99FE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57BB5F32" w14:textId="58F7C7D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Pablo Montoya Calvo</w:t>
            </w:r>
          </w:p>
        </w:tc>
        <w:tc>
          <w:tcPr>
            <w:tcW w:w="1476" w:type="dxa"/>
          </w:tcPr>
          <w:p w14:paraId="4A3FEEB5" w14:textId="34BB40A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907" w:type="dxa"/>
          </w:tcPr>
          <w:p w14:paraId="11B58507" w14:textId="356B15D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7BBD06E6" w14:textId="67FDEC8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19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1DBEAFF3" w14:textId="10D0348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Perú</w:t>
            </w:r>
          </w:p>
        </w:tc>
        <w:tc>
          <w:tcPr>
            <w:tcW w:w="1803" w:type="dxa"/>
          </w:tcPr>
          <w:p w14:paraId="3770C3A3" w14:textId="1E7C38B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2° Simposio del Fondo Educacional de la Sociedad Internacional de Sida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br/>
              <w:t>2° Reunión del Grupo de Trabajo sobre Enfermedad Avanzada del VIH (Reunión anual del Grupo de Cooperación Técnica Horizontal)</w:t>
            </w:r>
          </w:p>
        </w:tc>
        <w:tc>
          <w:tcPr>
            <w:tcW w:w="2142" w:type="dxa"/>
          </w:tcPr>
          <w:p w14:paraId="7C0E0D31" w14:textId="1E98D997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remitirá el acta de la Asamblea General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GCTH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revisión de los miembros y realización de observaciones. Se remitirá la Declaración de Sociedad Civil para la incidencia política en enfermedad avanzada, mortalidad e integración de los servicios.</w:t>
            </w:r>
          </w:p>
        </w:tc>
        <w:tc>
          <w:tcPr>
            <w:tcW w:w="1799" w:type="dxa"/>
          </w:tcPr>
          <w:p w14:paraId="421D0DDB" w14:textId="68E03B2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2" w:type="dxa"/>
          </w:tcPr>
          <w:p w14:paraId="6FA96A8A" w14:textId="75D45944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5169241F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11C18319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716F9237" w14:textId="60657B25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Ariana Angulo Alvarado</w:t>
            </w:r>
          </w:p>
        </w:tc>
        <w:tc>
          <w:tcPr>
            <w:tcW w:w="1476" w:type="dxa"/>
          </w:tcPr>
          <w:p w14:paraId="60494C3A" w14:textId="3032237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907" w:type="dxa"/>
          </w:tcPr>
          <w:p w14:paraId="76FE3DD6" w14:textId="0EE8153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129722BF" w14:textId="712EDE5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4B1CB15C" w14:textId="1BDB7A2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03" w:type="dxa"/>
          </w:tcPr>
          <w:p w14:paraId="21158B09" w14:textId="77777777" w:rsidR="002655F4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11° Reunión de la Conferencia de las Partes del Convenio Marco de la OMS para el Control del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) </w:t>
            </w:r>
          </w:p>
          <w:p w14:paraId="26CCE433" w14:textId="5283A1E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Cuarto periodo de sesiones de la Reunión de las Partes del Protocolo para la Eliminación del Comercio Ilícito de Productos de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2142" w:type="dxa"/>
          </w:tcPr>
          <w:p w14:paraId="1D5B40D6" w14:textId="3CA4A9AB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799" w:type="dxa"/>
          </w:tcPr>
          <w:p w14:paraId="50D31015" w14:textId="140DE2A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2" w:type="dxa"/>
          </w:tcPr>
          <w:p w14:paraId="4C1CD443" w14:textId="73BC2EB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-- </w:t>
            </w:r>
          </w:p>
        </w:tc>
        <w:tc>
          <w:tcPr>
            <w:tcW w:w="1577" w:type="dxa"/>
          </w:tcPr>
          <w:p w14:paraId="0907F7FE" w14:textId="15587EAB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CARTA-MS-DM-4919-2025 y CARTA-MS-DM-4920-2025.</w:t>
            </w:r>
          </w:p>
        </w:tc>
      </w:tr>
      <w:tr w:rsidR="002655F4" w:rsidRPr="00D63D83" w14:paraId="16C0AB5A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47CF15EC" w14:textId="7F00207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Freddy Orozco Ledezma</w:t>
            </w:r>
          </w:p>
        </w:tc>
        <w:tc>
          <w:tcPr>
            <w:tcW w:w="1476" w:type="dxa"/>
          </w:tcPr>
          <w:p w14:paraId="6E88CF48" w14:textId="42EB485B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907" w:type="dxa"/>
          </w:tcPr>
          <w:p w14:paraId="1184E11D" w14:textId="7B30AB9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31BCD500" w14:textId="669EF72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34443512" w14:textId="6FAFFD5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03" w:type="dxa"/>
          </w:tcPr>
          <w:p w14:paraId="5B773834" w14:textId="77777777" w:rsidR="002655F4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11° Reunión de la Conferencia de las Partes del Convenio Marco de la OMS para el Control del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) </w:t>
            </w:r>
          </w:p>
          <w:p w14:paraId="37B4C5BC" w14:textId="7ED20E3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Cuarto periodo de sesiones de la Reunión de las Partes del Protocolo para la Eliminación del Comercio Ilícito de Productos de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2142" w:type="dxa"/>
          </w:tcPr>
          <w:p w14:paraId="2A95EA5A" w14:textId="77777777" w:rsidR="002655F4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: Los acuerdos corresponden según las votaciones del orden del día, sobre los proyectos de decisión presentados, los cuales quedan como propositivos no vinculantes. </w:t>
            </w:r>
            <w:r w:rsidRPr="003A26FF">
              <w:rPr>
                <w:rFonts w:eastAsia="Times New Roman"/>
                <w:sz w:val="20"/>
                <w:szCs w:val="20"/>
                <w:u w:val="single"/>
                <w:lang w:val="es-CR" w:eastAsia="es-CR"/>
              </w:rPr>
              <w:t xml:space="preserve">Decisiones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(1) Aprobación del orden del día.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(2) Solicitudes para obtener la condición de observador ante la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Conferencia de las Partes.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(3) Elección de las Mesas de las Comisiones A y B.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(4) Credenciales de los participantes.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(5) Medidas prospectivas de control del tabaco (en relación con el artículo 2.1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OMS).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(6) Aplicación del artículo 19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 sobre responsabilidad.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(7) Contribuciones señaladas.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(8) Examen de la acreditación de organizaciones no gubernamentales con condición de observadoras ante la Conferencia de las Partes.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(9) Naciones Unidas sin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humo ni aerosoles.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(10) Aplicación del artículo 18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(11) Plan de trabajo y presupuesto para el ejercicio 2026-2027.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(12) Movilización por las Partes de recursos sostenibles para el control del tabaco.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(13) Fecha y lugar de la 12.ª reunión de la Conferencia de las Partes.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(14) Elección de Presidente y Vicepresidentes de la Conferencia de las Partes. </w:t>
            </w:r>
          </w:p>
          <w:p w14:paraId="3A700B9E" w14:textId="77777777" w:rsidR="002655F4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u w:val="single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u w:val="single"/>
                <w:lang w:val="es-CR" w:eastAsia="es-CR"/>
              </w:rPr>
              <w:t>Resumen de los temas y decisiones tratados</w:t>
            </w:r>
          </w:p>
          <w:p w14:paraId="2D12A11A" w14:textId="29BD22D4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adoptaron decisiones fundamentales sobre el control del tabaco y el medio ambiente; el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incremento de los recursos, de forma sostenible, para el control del tabaco; medidas prospectivas de control del tabaco; y cuestiones relativas a la responsabilidad de la industria tabacalera por los daños que causa.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A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vances en la protección del medio ambiente y la salud humana frente a los daños causados por el tabaco, que incluyen medidas para prevenir y gestionar los residuos debidos a los productos de tabaco y nicotina y los dispositivos electrónicos conexos. Cada año, el medio ambiente se ve contaminado por billones de colillas que contienen filtros de plástico y lixivian sustancias químicas nocivas.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adoptó una decisión en la que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se invita a las Partes a considerar opciones normativas exhaustivas en relación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NA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Ministerio de Salud e Instituciones correspondientes con los componentes de los productos de tabaco y nicotina, así como los componentes externos conexos que incrementan los daños ambientales, teniendo en cuenta sus efectos en la salud pública.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S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e reafirmó que la movilización de recursos internos es una estrategia básica para lograr fondos sostenibles y previsibles a largo plazo para los programas nacionales de control del tabaco.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Responsabilidad en virtud del artículo 19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OMS, en el que se insta a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las Partes a considerar la adopción de medidas legislativas concernientes a la responsabilidad penal y civil en materia de control del tabaco, y se aprobó una decisión clave en la que se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invita a las Partes a considerar el fortalecimiento de la aplicación de este artículo del Convenio mediante el aumento de la cooperación entre ellas, al tiempo que se reafirma que las cuestiones relativas a la responsabilidad son un aspecto importante del control integral del tabaco.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examinaron enfoques nuevos e innovadores al respecto, tales como los contemplados en virtud del artículo 2.1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OMS, en el que se alienta a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las Partes a aplicar medidas que vayan más allá de las estipuladas en el Convenio Marco para el Control de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Tabaco.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adoptó una decisión en la que se insta a establecer una prohibición completa del consumo y la venta de productos de tabaco, incluidos los productos de tabaco calentado, y de productos de nicotina novedosos y emergentes, como los SEAN, los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SESN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y otros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productos de nicotina (incluidas las bolsas de nicotina y los SEAN desechables), en todos los locales interiores e instalaciones exteriores, incluidas las sedes y las oficinas regionales y nacionales del sistema de las Naciones Unidas en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todo el mundo.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Se examinó el punto 4.5 del orden del día, que aborda la obligación de las Partes de aplicar medidas para prevenir y reducir la adicción a la nicotina y la protección de dichas medidas frente a la interferencia de la industria tabacalera, en particular la comercialización de productos nuevos y emergentes mediante la promoción de reclamos sanitarios no demostrados.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Abordó la necesidad de reforzar la aplicación del artículo 5.3 mediante la protección de la lucha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antitabáquica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frente a los intereses comerciales y otros intereses creados de la industria tabacalera, protegiendo así de manera eficaz el tratado de los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esfuerzos realizados por la industria para obstaculizar el progreso en el control del tabaco.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 recibió un número sin precedentes de inscripciones para la COP, la cual contó con más de 1 600 delegados. Entre los participantes se encontraban las Partes y representantes de ONG y los jóvenes, que también participaron como observadores en la reunión y organizaron eventos paralelos sobre cuestiones relacionadas con el Convenio. Asimismo, se anunció que la 12.ª reunión de la Conferencia de las Partes en 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CMCT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 OMS y el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quinto periodo de sesiones de la Reunión de las Partes en el Protocolo para la Eliminación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del Comercio Ilícito de Productos de Tabaco se celebrarán en Ereván (Armenia) en 2027.</w:t>
            </w:r>
          </w:p>
        </w:tc>
        <w:tc>
          <w:tcPr>
            <w:tcW w:w="1799" w:type="dxa"/>
          </w:tcPr>
          <w:p w14:paraId="3EBB3A30" w14:textId="24C728B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Costa Rica</w:t>
            </w:r>
          </w:p>
        </w:tc>
        <w:tc>
          <w:tcPr>
            <w:tcW w:w="1482" w:type="dxa"/>
          </w:tcPr>
          <w:p w14:paraId="2FB411D0" w14:textId="07710B5C" w:rsidR="003A26FF" w:rsidRPr="00DF6AF9" w:rsidRDefault="003A26FF" w:rsidP="00DF6AF9">
            <w:pPr>
              <w:spacing w:line="240" w:lineRule="auto"/>
              <w:jc w:val="right"/>
              <w:rPr>
                <w:rFonts w:eastAsia="Times New Roman"/>
                <w:sz w:val="18"/>
                <w:szCs w:val="18"/>
                <w:lang w:val="es-CR" w:eastAsia="es-CR"/>
              </w:rPr>
            </w:pPr>
            <w:r w:rsidRPr="003A26FF">
              <w:rPr>
                <w:rFonts w:eastAsia="Times New Roman"/>
                <w:sz w:val="18"/>
                <w:szCs w:val="18"/>
                <w:lang w:val="es-CR" w:eastAsia="es-CR"/>
              </w:rPr>
              <w:t xml:space="preserve"> ₡</w:t>
            </w:r>
            <w:r w:rsidRPr="00DF6AF9">
              <w:rPr>
                <w:rFonts w:eastAsia="Times New Roman"/>
                <w:sz w:val="18"/>
                <w:szCs w:val="18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18"/>
                <w:szCs w:val="18"/>
                <w:lang w:val="es-CR" w:eastAsia="es-CR"/>
              </w:rPr>
              <w:t xml:space="preserve">2 398 789,01 </w:t>
            </w:r>
          </w:p>
        </w:tc>
        <w:tc>
          <w:tcPr>
            <w:tcW w:w="1577" w:type="dxa"/>
          </w:tcPr>
          <w:p w14:paraId="2A1C3241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69D3FC6D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787A56F6" w14:textId="7771F08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Katherine Araya Rojas</w:t>
            </w:r>
          </w:p>
        </w:tc>
        <w:tc>
          <w:tcPr>
            <w:tcW w:w="1476" w:type="dxa"/>
          </w:tcPr>
          <w:p w14:paraId="08670F36" w14:textId="6926574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General de Salud </w:t>
            </w:r>
          </w:p>
        </w:tc>
        <w:tc>
          <w:tcPr>
            <w:tcW w:w="907" w:type="dxa"/>
          </w:tcPr>
          <w:p w14:paraId="74BF3732" w14:textId="747F1D1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66B57C49" w14:textId="34DF180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5B6DF7ED" w14:textId="7BE7D46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Suiza</w:t>
            </w:r>
          </w:p>
        </w:tc>
        <w:tc>
          <w:tcPr>
            <w:tcW w:w="1803" w:type="dxa"/>
          </w:tcPr>
          <w:p w14:paraId="6C3CDD38" w14:textId="77777777" w:rsidR="00DF6AF9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11° Reunión de la Conferencia de las Partes del Convenio Marco de la OMS para el Control del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  <w:p w14:paraId="24CD1F28" w14:textId="6A41E1B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Cuarto periodo de sesiones de la Reunión de las Partes del Protocolo para la Eliminación del Comercio Ilícito de Productos de Tabaco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2142" w:type="dxa"/>
          </w:tcPr>
          <w:p w14:paraId="6C31161F" w14:textId="0F04B6FD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Las Partes tomarán nota y podrán aplicar nuevas medidas prospectivas de control del tabaco propuestas por el Grupo de Expertos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(5)). La Secretaría difundirá estas medidas, facilitará intercambio de experiencias y publicará información relacionada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(6)). Se fortalecen acciones de responsabilidad (Artículo 19), incluyendo herramienta de autoevaluación y opciones para recuperación de costos a la industria tabacalera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(7)). Se aplican medidas a países con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contribuciones atrasadas hasta que regularicen pagos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(8)). Se mantiene acreditación de 29 ONG observadoras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(9)). Se insta a prohibir completamente el consumo y venta de Bianual Estados Parte tabaco y nicotina en instalaciones de Naciones Unidas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(10)). Se promueve reforzar acciones por daños ambientales del tabaco y estudios basados en evidencia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(11)). Se aprueba el plan de trabajo y presupuesto 2026–2027 y se autoriza movilización de recursos adicionales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(12)). Armenia será sede de la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COP12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y se elige nueva Mesa Directiva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(13) y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COP11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(14)). La Secretaría apoyará a las Partes en la aplicación del sistema de licencias (Artículo 6)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(5)). Se continúa trabajo técnico mediante modalidades virtuales, con posibilidad de una reunión presencial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(6)). Se aplican medidas a Partes con atrasos en contribuciones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(7)). Se adopta el procedimiento de acreditación de ONG observadoras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(8) y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(9)). Se aprueba el plan de trabajo y presupuesto 2026–2027</w:t>
            </w:r>
            <w:r w:rsidR="00DF6AF9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(USD 4,999,719)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(10)). Se fortalecerá el intercambio de información sobre incautaciones en coordinación con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OMA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y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UNODC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(11)). Armenia será sede de la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MOP5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FCTC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/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MOP4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(12).</w:t>
            </w:r>
          </w:p>
        </w:tc>
        <w:tc>
          <w:tcPr>
            <w:tcW w:w="1799" w:type="dxa"/>
          </w:tcPr>
          <w:p w14:paraId="322AA63D" w14:textId="05191A9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Costa Rica</w:t>
            </w:r>
          </w:p>
        </w:tc>
        <w:tc>
          <w:tcPr>
            <w:tcW w:w="1482" w:type="dxa"/>
          </w:tcPr>
          <w:p w14:paraId="2938391E" w14:textId="57EDF1A9" w:rsidR="003A26FF" w:rsidRPr="00DF6AF9" w:rsidRDefault="003A26FF" w:rsidP="002655F4">
            <w:pPr>
              <w:spacing w:line="240" w:lineRule="auto"/>
              <w:jc w:val="right"/>
              <w:rPr>
                <w:rFonts w:eastAsia="Times New Roman"/>
                <w:sz w:val="18"/>
                <w:szCs w:val="18"/>
                <w:lang w:val="es-CR" w:eastAsia="es-CR"/>
              </w:rPr>
            </w:pPr>
            <w:r w:rsidRPr="003A26FF">
              <w:rPr>
                <w:rFonts w:eastAsia="Times New Roman"/>
                <w:sz w:val="18"/>
                <w:szCs w:val="18"/>
                <w:lang w:val="es-CR" w:eastAsia="es-CR"/>
              </w:rPr>
              <w:t>₡</w:t>
            </w:r>
            <w:r w:rsidRPr="00DF6AF9">
              <w:rPr>
                <w:rFonts w:eastAsia="Times New Roman"/>
                <w:sz w:val="18"/>
                <w:szCs w:val="18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18"/>
                <w:szCs w:val="18"/>
                <w:lang w:val="es-CR" w:eastAsia="es-CR"/>
              </w:rPr>
              <w:t xml:space="preserve">2 398 457,38 </w:t>
            </w:r>
          </w:p>
        </w:tc>
        <w:tc>
          <w:tcPr>
            <w:tcW w:w="1577" w:type="dxa"/>
          </w:tcPr>
          <w:p w14:paraId="6CF40E42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1832E687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0487C495" w14:textId="5607F44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Ericka Masís Cordero</w:t>
            </w:r>
          </w:p>
        </w:tc>
        <w:tc>
          <w:tcPr>
            <w:tcW w:w="1476" w:type="dxa"/>
          </w:tcPr>
          <w:p w14:paraId="678D3994" w14:textId="0A332E7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Investigación y Tecnologías en Salud </w:t>
            </w:r>
          </w:p>
        </w:tc>
        <w:tc>
          <w:tcPr>
            <w:tcW w:w="907" w:type="dxa"/>
          </w:tcPr>
          <w:p w14:paraId="2FE6DE79" w14:textId="26B0F0C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46F19D86" w14:textId="3F705B0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3E350827" w14:textId="7FF3066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03" w:type="dxa"/>
          </w:tcPr>
          <w:p w14:paraId="13869E48" w14:textId="294ACE0F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Reunión de alto nivel sobre la enfermedad renal crónica y el trasplante renal en Centroamérica y la República Dominicana</w:t>
            </w:r>
          </w:p>
        </w:tc>
        <w:tc>
          <w:tcPr>
            <w:tcW w:w="2142" w:type="dxa"/>
          </w:tcPr>
          <w:p w14:paraId="2E72E907" w14:textId="35CFD810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Que Costa Rica participe en la implementación de la Estrategia y Plan de Acción para lo cual deberá disponer de su sistema de monitoreo y evaluación informando de los avances al COMISCA de forma semestral.</w:t>
            </w:r>
          </w:p>
        </w:tc>
        <w:tc>
          <w:tcPr>
            <w:tcW w:w="1799" w:type="dxa"/>
          </w:tcPr>
          <w:p w14:paraId="09628637" w14:textId="01A0A3A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br/>
              <w:t>Organización Nacional de Trasplante de España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ONT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2" w:type="dxa"/>
          </w:tcPr>
          <w:p w14:paraId="23C3A933" w14:textId="114B0823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243ECC5E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76D2E948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73C27B3E" w14:textId="09C3993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Roselyn Serrano Vargas</w:t>
            </w:r>
          </w:p>
        </w:tc>
        <w:tc>
          <w:tcPr>
            <w:tcW w:w="1476" w:type="dxa"/>
          </w:tcPr>
          <w:p w14:paraId="06FEEE31" w14:textId="2FD8AF3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07" w:type="dxa"/>
          </w:tcPr>
          <w:p w14:paraId="7D047A3B" w14:textId="32DE761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2FD21E9F" w14:textId="0AB0325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2AED96E6" w14:textId="431D557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03" w:type="dxa"/>
          </w:tcPr>
          <w:p w14:paraId="77C2C6EC" w14:textId="57638FB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Reunión de alto nivel sobre la enfermedad renal crónica y el trasplante renal en Centroamérica y la República Dominicana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br/>
              <w:t>XXV reunión de la Red-Consejo Iberoamericano de Donación y Trasplante</w:t>
            </w:r>
          </w:p>
        </w:tc>
        <w:tc>
          <w:tcPr>
            <w:tcW w:w="2142" w:type="dxa"/>
          </w:tcPr>
          <w:p w14:paraId="065655FB" w14:textId="218E2EA3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799" w:type="dxa"/>
          </w:tcPr>
          <w:p w14:paraId="118F779A" w14:textId="77777777" w:rsidR="00DF6AF9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  <w:p w14:paraId="392D369B" w14:textId="47EC0A5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Nacional de Trasplante de España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ONT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2" w:type="dxa"/>
          </w:tcPr>
          <w:p w14:paraId="1694A989" w14:textId="0F332EFD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60389C59" w14:textId="1747221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Queda sin efecto por medio del oficio CARTA-MS-DM-5526-2025 y CARTA-MS-DM-5527-2025. </w:t>
            </w:r>
          </w:p>
        </w:tc>
      </w:tr>
      <w:tr w:rsidR="002655F4" w:rsidRPr="00D63D83" w14:paraId="62734CB5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144C5F07" w14:textId="4B5D3DE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Luis Diego Ramos Castro</w:t>
            </w:r>
          </w:p>
        </w:tc>
        <w:tc>
          <w:tcPr>
            <w:tcW w:w="1476" w:type="dxa"/>
          </w:tcPr>
          <w:p w14:paraId="50E64A5C" w14:textId="531D57E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Salud Ambiental </w:t>
            </w:r>
          </w:p>
        </w:tc>
        <w:tc>
          <w:tcPr>
            <w:tcW w:w="907" w:type="dxa"/>
          </w:tcPr>
          <w:p w14:paraId="2DBF9BD1" w14:textId="6AF26750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18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2AC96616" w14:textId="6AFDC52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0B5E2693" w14:textId="67C79EF3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03" w:type="dxa"/>
          </w:tcPr>
          <w:p w14:paraId="35FA7AF1" w14:textId="7029B4E7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n-US" w:eastAsia="es-CR"/>
              </w:rPr>
              <w:t xml:space="preserve">22°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n-US" w:eastAsia="es-CR"/>
              </w:rPr>
              <w:t>reunión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n-US" w:eastAsia="es-CR"/>
              </w:rPr>
              <w:t xml:space="preserve"> del Working Party on Resource </w:t>
            </w:r>
            <w:r w:rsidRPr="003A26FF">
              <w:rPr>
                <w:rFonts w:eastAsia="Times New Roman"/>
                <w:sz w:val="20"/>
                <w:szCs w:val="20"/>
                <w:lang w:val="en-US" w:eastAsia="es-CR"/>
              </w:rPr>
              <w:lastRenderedPageBreak/>
              <w:t>Productivity and Waste</w:t>
            </w:r>
          </w:p>
        </w:tc>
        <w:tc>
          <w:tcPr>
            <w:tcW w:w="2142" w:type="dxa"/>
          </w:tcPr>
          <w:p w14:paraId="654B4976" w14:textId="0B0DFFF3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Continuar apoyando a la Organización para la Cooperación y Desarrollo Económico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en los futuros proyectos que se originen de las distintas reuniones de los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Working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Party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on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Resource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Productivity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and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Waste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WPRPW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). </w:t>
            </w:r>
          </w:p>
        </w:tc>
        <w:tc>
          <w:tcPr>
            <w:tcW w:w="1799" w:type="dxa"/>
          </w:tcPr>
          <w:p w14:paraId="144E32E0" w14:textId="3320D4D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Ministerio de Salud de Costa Rica</w:t>
            </w:r>
          </w:p>
        </w:tc>
        <w:tc>
          <w:tcPr>
            <w:tcW w:w="1482" w:type="dxa"/>
          </w:tcPr>
          <w:p w14:paraId="17026A48" w14:textId="0D91DB21" w:rsidR="003A26FF" w:rsidRPr="00D63D83" w:rsidRDefault="003A26FF" w:rsidP="00DF6AF9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958 248,93 </w:t>
            </w:r>
          </w:p>
        </w:tc>
        <w:tc>
          <w:tcPr>
            <w:tcW w:w="1577" w:type="dxa"/>
          </w:tcPr>
          <w:p w14:paraId="52B41AC1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5FECADF7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7C52997C" w14:textId="2F903C1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Karol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Masís Araya</w:t>
            </w:r>
          </w:p>
        </w:tc>
        <w:tc>
          <w:tcPr>
            <w:tcW w:w="1476" w:type="dxa"/>
          </w:tcPr>
          <w:p w14:paraId="07D7332B" w14:textId="4B5EBDB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907" w:type="dxa"/>
          </w:tcPr>
          <w:p w14:paraId="65D2BBAE" w14:textId="1EDD72B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19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6076F1DA" w14:textId="30E955E6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21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4E292AC3" w14:textId="10A0D47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Países Bajos</w:t>
            </w:r>
          </w:p>
        </w:tc>
        <w:tc>
          <w:tcPr>
            <w:tcW w:w="1803" w:type="dxa"/>
          </w:tcPr>
          <w:p w14:paraId="1C5A4A44" w14:textId="050493A2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n-US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n-US" w:eastAsia="es-CR"/>
              </w:rPr>
              <w:t>27th Annual Meeting of National Authorities</w:t>
            </w:r>
          </w:p>
        </w:tc>
        <w:tc>
          <w:tcPr>
            <w:tcW w:w="2142" w:type="dxa"/>
          </w:tcPr>
          <w:p w14:paraId="4EDFDADC" w14:textId="1BA067A0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7CDC00AF" w14:textId="73B41A52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para la Prohibición de las Armas Químicas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OPAQ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2" w:type="dxa"/>
          </w:tcPr>
          <w:p w14:paraId="1F1346D1" w14:textId="0A258C50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4190828A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5D0437C7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15DAC1A9" w14:textId="699F135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Jennifer Jones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Villiers</w:t>
            </w:r>
            <w:proofErr w:type="spellEnd"/>
          </w:p>
        </w:tc>
        <w:tc>
          <w:tcPr>
            <w:tcW w:w="1476" w:type="dxa"/>
          </w:tcPr>
          <w:p w14:paraId="04443D93" w14:textId="16B61B25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907" w:type="dxa"/>
          </w:tcPr>
          <w:p w14:paraId="48FAE753" w14:textId="13CEE65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5C893A76" w14:textId="1C8467EC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17949C82" w14:textId="61E6AA34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03" w:type="dxa"/>
          </w:tcPr>
          <w:p w14:paraId="3B44E053" w14:textId="691C842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II Asamblea Ordinaria de la Comisión Binacional de la Cuenca del Río Sixaola</w:t>
            </w:r>
          </w:p>
        </w:tc>
        <w:tc>
          <w:tcPr>
            <w:tcW w:w="2142" w:type="dxa"/>
          </w:tcPr>
          <w:p w14:paraId="5C5E935D" w14:textId="060792C9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799" w:type="dxa"/>
          </w:tcPr>
          <w:p w14:paraId="33482E01" w14:textId="6B96D3BA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Comisión Binacional de la Cuenca del Río Sixaola (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CBCRS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2" w:type="dxa"/>
          </w:tcPr>
          <w:p w14:paraId="7319A052" w14:textId="4160D82F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39286054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655F4" w:rsidRPr="00D63D83" w14:paraId="236F5171" w14:textId="77777777" w:rsidTr="003A26FF">
        <w:trPr>
          <w:gridAfter w:val="1"/>
          <w:wAfter w:w="11" w:type="dxa"/>
          <w:trHeight w:val="50"/>
          <w:jc w:val="center"/>
        </w:trPr>
        <w:tc>
          <w:tcPr>
            <w:tcW w:w="1186" w:type="dxa"/>
          </w:tcPr>
          <w:p w14:paraId="05DCAF27" w14:textId="47A40A75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Jennyffer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González Luna</w:t>
            </w:r>
          </w:p>
        </w:tc>
        <w:tc>
          <w:tcPr>
            <w:tcW w:w="1476" w:type="dxa"/>
          </w:tcPr>
          <w:p w14:paraId="7E38272F" w14:textId="7B31FA39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07" w:type="dxa"/>
          </w:tcPr>
          <w:p w14:paraId="4B4422DF" w14:textId="1F7202DB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230" w:type="dxa"/>
          </w:tcPr>
          <w:p w14:paraId="0FFA94F7" w14:textId="16DD07BD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27</w:t>
            </w:r>
            <w:r w:rsidR="002655F4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noviembre de 2025</w:t>
            </w:r>
          </w:p>
        </w:tc>
        <w:tc>
          <w:tcPr>
            <w:tcW w:w="1197" w:type="dxa"/>
          </w:tcPr>
          <w:p w14:paraId="1B3173F1" w14:textId="48D8A5D1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Marruecos</w:t>
            </w:r>
          </w:p>
        </w:tc>
        <w:tc>
          <w:tcPr>
            <w:tcW w:w="1803" w:type="dxa"/>
          </w:tcPr>
          <w:p w14:paraId="53399E78" w14:textId="3A5E199E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Sexta Reunión de la Red Global del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</w:p>
        </w:tc>
        <w:tc>
          <w:tcPr>
            <w:tcW w:w="2142" w:type="dxa"/>
          </w:tcPr>
          <w:p w14:paraId="64814B17" w14:textId="4709A24E" w:rsidR="003A26FF" w:rsidRPr="003A26FF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Continuar con la iniciativa de hermanamiento con el </w:t>
            </w:r>
            <w:proofErr w:type="spellStart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 xml:space="preserve"> Bolivia. Incentivar el uso de la plataforma </w:t>
            </w:r>
            <w:r w:rsidRPr="003A26FF">
              <w:rPr>
                <w:rFonts w:eastAsia="Times New Roman"/>
                <w:color w:val="0070C0"/>
                <w:sz w:val="20"/>
                <w:szCs w:val="20"/>
                <w:u w:val="single"/>
                <w:lang w:val="es-CR" w:eastAsia="es-CR"/>
              </w:rPr>
              <w:t xml:space="preserve">https://rna.paho.org/es </w:t>
            </w:r>
          </w:p>
        </w:tc>
        <w:tc>
          <w:tcPr>
            <w:tcW w:w="1799" w:type="dxa"/>
          </w:tcPr>
          <w:p w14:paraId="4F2AA7F7" w14:textId="57A4775B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3A26FF">
              <w:rPr>
                <w:rFonts w:eastAsia="Times New Roman"/>
                <w:sz w:val="20"/>
                <w:szCs w:val="20"/>
                <w:lang w:val="es-CR" w:eastAsia="es-CR"/>
              </w:rPr>
              <w:t>Organización Mundial de la Salud (OMS)</w:t>
            </w:r>
          </w:p>
        </w:tc>
        <w:tc>
          <w:tcPr>
            <w:tcW w:w="1482" w:type="dxa"/>
          </w:tcPr>
          <w:p w14:paraId="327A9D2D" w14:textId="61A68FF9" w:rsidR="003A26FF" w:rsidRPr="00D63D83" w:rsidRDefault="002655F4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</w:t>
            </w:r>
          </w:p>
        </w:tc>
        <w:tc>
          <w:tcPr>
            <w:tcW w:w="1577" w:type="dxa"/>
          </w:tcPr>
          <w:p w14:paraId="24EC9726" w14:textId="77777777" w:rsidR="003A26FF" w:rsidRPr="00D63D83" w:rsidRDefault="003A26FF" w:rsidP="003A26FF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3A26FF" w:rsidRPr="00D63D83" w14:paraId="02EB1983" w14:textId="77777777" w:rsidTr="00B4555A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68F7BBC3" w14:textId="77777777" w:rsidR="003A26FF" w:rsidRPr="00D63D83" w:rsidRDefault="003A26FF" w:rsidP="003A26FF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103E58C3" w14:textId="77777777" w:rsidR="003A26FF" w:rsidRPr="00D63D83" w:rsidRDefault="003A26FF" w:rsidP="003A26FF">
      <w:pPr>
        <w:spacing w:line="240" w:lineRule="auto"/>
        <w:rPr>
          <w:sz w:val="20"/>
          <w:szCs w:val="20"/>
          <w:lang w:val="es-ES_tradnl"/>
        </w:rPr>
      </w:pPr>
    </w:p>
    <w:p w14:paraId="42DFDDB9" w14:textId="77777777" w:rsidR="003A26FF" w:rsidRDefault="003A26FF" w:rsidP="003A26FF">
      <w:pPr>
        <w:spacing w:line="240" w:lineRule="auto"/>
        <w:rPr>
          <w:sz w:val="20"/>
          <w:szCs w:val="20"/>
          <w:lang w:val="es-ES_tradnl"/>
        </w:rPr>
      </w:pPr>
      <w:r w:rsidRPr="00D63D83">
        <w:rPr>
          <w:sz w:val="20"/>
          <w:szCs w:val="20"/>
          <w:lang w:val="es-ES_tradnl"/>
        </w:rPr>
        <w:t>Actualizado: 1</w:t>
      </w:r>
      <w:r>
        <w:rPr>
          <w:sz w:val="20"/>
          <w:szCs w:val="20"/>
          <w:lang w:val="es-ES_tradnl"/>
        </w:rPr>
        <w:t>9 de diciembre de 2025</w:t>
      </w:r>
      <w:r w:rsidRPr="00D63D83">
        <w:rPr>
          <w:sz w:val="20"/>
          <w:szCs w:val="20"/>
          <w:lang w:val="es-ES_tradnl"/>
        </w:rPr>
        <w:t>.</w:t>
      </w:r>
    </w:p>
    <w:p w14:paraId="4C2313A3" w14:textId="77777777" w:rsidR="003A26FF" w:rsidRPr="00D63D83" w:rsidRDefault="003A26FF" w:rsidP="003A26FF">
      <w:pPr>
        <w:spacing w:line="240" w:lineRule="auto"/>
      </w:pPr>
    </w:p>
    <w:sectPr w:rsidR="003A26FF" w:rsidRPr="00D63D83" w:rsidSect="003A26FF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C3E58" w14:textId="77777777" w:rsidR="003A26FF" w:rsidRDefault="003A26FF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3D107462" w14:textId="77777777" w:rsidR="003A26FF" w:rsidRPr="00976BED" w:rsidRDefault="003A26FF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B4DB934" w14:textId="77777777" w:rsidR="003A26FF" w:rsidRPr="00976BED" w:rsidRDefault="003A26FF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2FC6E56B" w14:textId="77777777" w:rsidR="003A26FF" w:rsidRDefault="003A26FF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7C5C186D" w14:textId="77777777" w:rsidR="003A26FF" w:rsidRDefault="003A26FF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7B850DB1" wp14:editId="3A6B4652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0759DEB" wp14:editId="7B3809F3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FE944" w14:textId="77777777" w:rsidR="003A26FF" w:rsidRPr="00C617CA" w:rsidRDefault="003A26FF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A2C6AE0" wp14:editId="250CEA4B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6FF"/>
    <w:rsid w:val="001351F6"/>
    <w:rsid w:val="001B1204"/>
    <w:rsid w:val="002655F4"/>
    <w:rsid w:val="003A26FF"/>
    <w:rsid w:val="0065321F"/>
    <w:rsid w:val="00A9784E"/>
    <w:rsid w:val="00DF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D499B"/>
  <w15:chartTrackingRefBased/>
  <w15:docId w15:val="{4BA7092D-507E-4E91-AD64-9EDCDAC35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26FF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A26F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A26F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A26FF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A26FF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A26FF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A26FF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A26FF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A26FF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A26FF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A26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A26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A26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A26F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A26F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A26F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A26F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A26F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A26F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A26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3A26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A26FF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3A26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A26FF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3A26F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A26F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3A26F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A26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A26F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A26FF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A26FF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A26FF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3A26FF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1993</Words>
  <Characters>12597</Characters>
  <Application>Microsoft Office Word</Application>
  <DocSecurity>0</DocSecurity>
  <Lines>12597</Lines>
  <Paragraphs>858</Paragraphs>
  <ScaleCrop>false</ScaleCrop>
  <Company/>
  <LinksUpToDate>false</LinksUpToDate>
  <CharactersWithSpaces>13732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3</cp:revision>
  <dcterms:created xsi:type="dcterms:W3CDTF">2025-12-19T14:06:00Z</dcterms:created>
  <dcterms:modified xsi:type="dcterms:W3CDTF">2025-12-19T14:15:00Z</dcterms:modified>
</cp:coreProperties>
</file>