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3D46B6" w14:textId="77777777" w:rsidR="008E76F5" w:rsidRPr="00D63D83" w:rsidRDefault="008E76F5" w:rsidP="008E76F5">
      <w:pPr>
        <w:spacing w:line="240" w:lineRule="auto"/>
        <w:jc w:val="center"/>
        <w:rPr>
          <w:b/>
          <w:bCs/>
          <w:sz w:val="24"/>
          <w:szCs w:val="24"/>
          <w:lang w:val="es-ES_tradnl"/>
        </w:rPr>
      </w:pPr>
      <w:r w:rsidRPr="00D63D83">
        <w:rPr>
          <w:b/>
          <w:bCs/>
          <w:sz w:val="24"/>
          <w:szCs w:val="24"/>
          <w:lang w:val="es-ES_tradnl"/>
        </w:rPr>
        <w:t>Participación de funcionarios del Ministerio de Salud en actividades fuera del país</w:t>
      </w:r>
    </w:p>
    <w:p w14:paraId="29CEA3D6" w14:textId="09667053" w:rsidR="008E76F5" w:rsidRPr="00D63D83" w:rsidRDefault="008E76F5" w:rsidP="008E76F5">
      <w:pPr>
        <w:spacing w:line="240" w:lineRule="auto"/>
        <w:jc w:val="center"/>
        <w:rPr>
          <w:b/>
          <w:bCs/>
          <w:sz w:val="24"/>
          <w:szCs w:val="24"/>
          <w:lang w:val="es-ES_tradnl"/>
        </w:rPr>
      </w:pPr>
      <w:r>
        <w:rPr>
          <w:b/>
          <w:bCs/>
          <w:sz w:val="24"/>
          <w:szCs w:val="24"/>
          <w:lang w:val="es-ES_tradnl"/>
        </w:rPr>
        <w:t xml:space="preserve">Octubre </w:t>
      </w:r>
      <w:r w:rsidRPr="00D63D83">
        <w:rPr>
          <w:b/>
          <w:bCs/>
          <w:sz w:val="24"/>
          <w:szCs w:val="24"/>
          <w:lang w:val="es-ES_tradnl"/>
        </w:rPr>
        <w:t>2025</w:t>
      </w:r>
    </w:p>
    <w:p w14:paraId="77701BE9" w14:textId="77777777" w:rsidR="008E76F5" w:rsidRPr="00D63D83" w:rsidRDefault="008E76F5" w:rsidP="008E76F5">
      <w:pPr>
        <w:spacing w:line="240" w:lineRule="auto"/>
        <w:jc w:val="center"/>
        <w:rPr>
          <w:b/>
          <w:bCs/>
          <w:sz w:val="20"/>
          <w:szCs w:val="20"/>
          <w:lang w:val="es-ES_tradnl"/>
        </w:rPr>
      </w:pPr>
    </w:p>
    <w:tbl>
      <w:tblPr>
        <w:tblW w:w="148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52"/>
        <w:gridCol w:w="1530"/>
        <w:gridCol w:w="938"/>
        <w:gridCol w:w="1230"/>
        <w:gridCol w:w="1119"/>
        <w:gridCol w:w="1830"/>
        <w:gridCol w:w="1957"/>
        <w:gridCol w:w="1876"/>
        <w:gridCol w:w="1488"/>
        <w:gridCol w:w="1578"/>
        <w:gridCol w:w="12"/>
      </w:tblGrid>
      <w:tr w:rsidR="008E76F5" w:rsidRPr="00D63D83" w14:paraId="6EF3364E" w14:textId="77777777" w:rsidTr="008E76F5">
        <w:trPr>
          <w:gridAfter w:val="1"/>
          <w:wAfter w:w="12" w:type="dxa"/>
          <w:trHeight w:val="697"/>
          <w:tblHeader/>
          <w:jc w:val="center"/>
        </w:trPr>
        <w:tc>
          <w:tcPr>
            <w:tcW w:w="1252" w:type="dxa"/>
            <w:shd w:val="clear" w:color="000000" w:fill="B4C6E7"/>
            <w:vAlign w:val="center"/>
            <w:hideMark/>
          </w:tcPr>
          <w:p w14:paraId="22EBAB50" w14:textId="77777777" w:rsidR="008E76F5" w:rsidRPr="00D63D83" w:rsidRDefault="008E76F5" w:rsidP="0003086B">
            <w:pPr>
              <w:spacing w:line="240" w:lineRule="auto"/>
              <w:jc w:val="center"/>
              <w:rPr>
                <w:rFonts w:eastAsia="Times New Roman"/>
                <w:b/>
                <w:bCs/>
                <w:sz w:val="20"/>
                <w:szCs w:val="20"/>
                <w:lang w:val="es-ES_tradnl" w:eastAsia="es-CR"/>
              </w:rPr>
            </w:pPr>
            <w:r w:rsidRPr="00D63D83">
              <w:rPr>
                <w:rFonts w:eastAsia="Times New Roman"/>
                <w:b/>
                <w:bCs/>
                <w:sz w:val="20"/>
                <w:szCs w:val="20"/>
                <w:lang w:val="es-ES_tradnl" w:eastAsia="es-CR"/>
              </w:rPr>
              <w:t>Nombre</w:t>
            </w:r>
          </w:p>
        </w:tc>
        <w:tc>
          <w:tcPr>
            <w:tcW w:w="1530" w:type="dxa"/>
            <w:shd w:val="clear" w:color="000000" w:fill="B4C6E7"/>
            <w:vAlign w:val="center"/>
            <w:hideMark/>
          </w:tcPr>
          <w:p w14:paraId="4617E4AB" w14:textId="77777777" w:rsidR="008E76F5" w:rsidRPr="00D63D83" w:rsidRDefault="008E76F5" w:rsidP="0003086B">
            <w:pPr>
              <w:spacing w:line="240" w:lineRule="auto"/>
              <w:jc w:val="center"/>
              <w:rPr>
                <w:rFonts w:eastAsia="Times New Roman"/>
                <w:b/>
                <w:bCs/>
                <w:sz w:val="20"/>
                <w:szCs w:val="20"/>
                <w:lang w:val="es-ES_tradnl" w:eastAsia="es-CR"/>
              </w:rPr>
            </w:pPr>
            <w:r w:rsidRPr="00D63D83">
              <w:rPr>
                <w:rFonts w:eastAsia="Times New Roman"/>
                <w:b/>
                <w:bCs/>
                <w:sz w:val="20"/>
                <w:szCs w:val="20"/>
                <w:lang w:val="es-ES_tradnl" w:eastAsia="es-CR"/>
              </w:rPr>
              <w:t>Dirección</w:t>
            </w:r>
          </w:p>
        </w:tc>
        <w:tc>
          <w:tcPr>
            <w:tcW w:w="938" w:type="dxa"/>
            <w:shd w:val="clear" w:color="000000" w:fill="B4C6E7"/>
            <w:vAlign w:val="center"/>
            <w:hideMark/>
          </w:tcPr>
          <w:p w14:paraId="1DAC4E56" w14:textId="77777777" w:rsidR="008E76F5" w:rsidRPr="00D63D83" w:rsidRDefault="008E76F5" w:rsidP="0003086B">
            <w:pPr>
              <w:spacing w:line="240" w:lineRule="auto"/>
              <w:jc w:val="center"/>
              <w:rPr>
                <w:rFonts w:eastAsia="Times New Roman"/>
                <w:b/>
                <w:bCs/>
                <w:sz w:val="20"/>
                <w:szCs w:val="20"/>
                <w:lang w:val="es-ES_tradnl" w:eastAsia="es-CR"/>
              </w:rPr>
            </w:pPr>
            <w:r w:rsidRPr="00D63D83">
              <w:rPr>
                <w:rFonts w:eastAsia="Times New Roman"/>
                <w:b/>
                <w:bCs/>
                <w:sz w:val="20"/>
                <w:szCs w:val="20"/>
                <w:lang w:val="es-ES_tradnl" w:eastAsia="es-CR"/>
              </w:rPr>
              <w:t>Fecha de inicio</w:t>
            </w:r>
          </w:p>
        </w:tc>
        <w:tc>
          <w:tcPr>
            <w:tcW w:w="1230" w:type="dxa"/>
            <w:shd w:val="clear" w:color="000000" w:fill="B4C6E7"/>
            <w:vAlign w:val="center"/>
            <w:hideMark/>
          </w:tcPr>
          <w:p w14:paraId="76460764" w14:textId="77777777" w:rsidR="008E76F5" w:rsidRPr="00D63D83" w:rsidRDefault="008E76F5" w:rsidP="0003086B">
            <w:pPr>
              <w:spacing w:line="240" w:lineRule="auto"/>
              <w:jc w:val="center"/>
              <w:rPr>
                <w:rFonts w:eastAsia="Times New Roman"/>
                <w:b/>
                <w:bCs/>
                <w:sz w:val="20"/>
                <w:szCs w:val="20"/>
                <w:lang w:val="es-ES_tradnl" w:eastAsia="es-CR"/>
              </w:rPr>
            </w:pPr>
            <w:r w:rsidRPr="00D63D83">
              <w:rPr>
                <w:rFonts w:eastAsia="Times New Roman"/>
                <w:b/>
                <w:bCs/>
                <w:sz w:val="20"/>
                <w:szCs w:val="20"/>
                <w:lang w:val="es-ES_tradnl" w:eastAsia="es-CR"/>
              </w:rPr>
              <w:t>Fecha de finalización</w:t>
            </w:r>
          </w:p>
        </w:tc>
        <w:tc>
          <w:tcPr>
            <w:tcW w:w="1119" w:type="dxa"/>
            <w:shd w:val="clear" w:color="000000" w:fill="B4C6E7"/>
            <w:vAlign w:val="center"/>
            <w:hideMark/>
          </w:tcPr>
          <w:p w14:paraId="77967279" w14:textId="77777777" w:rsidR="008E76F5" w:rsidRPr="00D63D83" w:rsidRDefault="008E76F5" w:rsidP="0003086B">
            <w:pPr>
              <w:spacing w:line="240" w:lineRule="auto"/>
              <w:jc w:val="center"/>
              <w:rPr>
                <w:rFonts w:eastAsia="Times New Roman"/>
                <w:b/>
                <w:bCs/>
                <w:sz w:val="20"/>
                <w:szCs w:val="20"/>
                <w:lang w:val="es-ES_tradnl" w:eastAsia="es-CR"/>
              </w:rPr>
            </w:pPr>
            <w:r w:rsidRPr="00D63D83">
              <w:rPr>
                <w:rFonts w:eastAsia="Times New Roman"/>
                <w:b/>
                <w:bCs/>
                <w:sz w:val="20"/>
                <w:szCs w:val="20"/>
                <w:lang w:val="es-ES_tradnl" w:eastAsia="es-CR"/>
              </w:rPr>
              <w:t>Lugar</w:t>
            </w:r>
          </w:p>
        </w:tc>
        <w:tc>
          <w:tcPr>
            <w:tcW w:w="1830" w:type="dxa"/>
            <w:shd w:val="clear" w:color="000000" w:fill="B4C6E7"/>
            <w:vAlign w:val="center"/>
            <w:hideMark/>
          </w:tcPr>
          <w:p w14:paraId="61B28291" w14:textId="77777777" w:rsidR="008E76F5" w:rsidRPr="00D63D83" w:rsidRDefault="008E76F5" w:rsidP="0003086B">
            <w:pPr>
              <w:spacing w:line="240" w:lineRule="auto"/>
              <w:jc w:val="center"/>
              <w:rPr>
                <w:rFonts w:eastAsia="Times New Roman"/>
                <w:b/>
                <w:bCs/>
                <w:sz w:val="20"/>
                <w:szCs w:val="20"/>
                <w:lang w:val="es-ES_tradnl" w:eastAsia="es-CR"/>
              </w:rPr>
            </w:pPr>
            <w:r w:rsidRPr="00D63D83">
              <w:rPr>
                <w:rFonts w:eastAsia="Times New Roman"/>
                <w:b/>
                <w:bCs/>
                <w:sz w:val="20"/>
                <w:szCs w:val="20"/>
                <w:lang w:val="es-ES_tradnl" w:eastAsia="es-CR"/>
              </w:rPr>
              <w:t>Actividad</w:t>
            </w:r>
          </w:p>
        </w:tc>
        <w:tc>
          <w:tcPr>
            <w:tcW w:w="1957" w:type="dxa"/>
            <w:shd w:val="clear" w:color="000000" w:fill="B4C6E7"/>
            <w:vAlign w:val="center"/>
            <w:hideMark/>
          </w:tcPr>
          <w:p w14:paraId="1847E333" w14:textId="77777777" w:rsidR="008E76F5" w:rsidRPr="00D63D83" w:rsidRDefault="008E76F5" w:rsidP="0003086B">
            <w:pPr>
              <w:spacing w:line="240" w:lineRule="auto"/>
              <w:jc w:val="center"/>
              <w:rPr>
                <w:rFonts w:eastAsia="Times New Roman"/>
                <w:b/>
                <w:bCs/>
                <w:sz w:val="20"/>
                <w:szCs w:val="20"/>
                <w:lang w:val="es-ES_tradnl" w:eastAsia="es-CR"/>
              </w:rPr>
            </w:pPr>
            <w:r w:rsidRPr="00D63D83">
              <w:rPr>
                <w:rFonts w:eastAsia="Times New Roman"/>
                <w:b/>
                <w:bCs/>
                <w:sz w:val="20"/>
                <w:szCs w:val="20"/>
                <w:lang w:val="es-ES_tradnl" w:eastAsia="es-CR"/>
              </w:rPr>
              <w:t>Compromisos</w:t>
            </w:r>
          </w:p>
        </w:tc>
        <w:tc>
          <w:tcPr>
            <w:tcW w:w="1876" w:type="dxa"/>
            <w:shd w:val="clear" w:color="000000" w:fill="B4C6E7"/>
            <w:vAlign w:val="center"/>
            <w:hideMark/>
          </w:tcPr>
          <w:p w14:paraId="18E3CBEF" w14:textId="77777777" w:rsidR="008E76F5" w:rsidRPr="00D63D83" w:rsidRDefault="008E76F5" w:rsidP="0003086B">
            <w:pPr>
              <w:spacing w:line="240" w:lineRule="auto"/>
              <w:jc w:val="center"/>
              <w:rPr>
                <w:rFonts w:eastAsia="Times New Roman"/>
                <w:b/>
                <w:bCs/>
                <w:sz w:val="20"/>
                <w:szCs w:val="20"/>
                <w:lang w:val="es-ES_tradnl" w:eastAsia="es-CR"/>
              </w:rPr>
            </w:pPr>
            <w:r w:rsidRPr="00D63D83">
              <w:rPr>
                <w:rFonts w:eastAsia="Times New Roman"/>
                <w:b/>
                <w:bCs/>
                <w:sz w:val="20"/>
                <w:szCs w:val="20"/>
                <w:lang w:val="es-ES_tradnl" w:eastAsia="es-CR"/>
              </w:rPr>
              <w:t>Financiado por</w:t>
            </w:r>
          </w:p>
        </w:tc>
        <w:tc>
          <w:tcPr>
            <w:tcW w:w="1488" w:type="dxa"/>
            <w:shd w:val="clear" w:color="000000" w:fill="B4C6E7"/>
            <w:vAlign w:val="center"/>
            <w:hideMark/>
          </w:tcPr>
          <w:p w14:paraId="76135056" w14:textId="77777777" w:rsidR="008E76F5" w:rsidRPr="00D63D83" w:rsidRDefault="008E76F5" w:rsidP="0003086B">
            <w:pPr>
              <w:spacing w:line="240" w:lineRule="auto"/>
              <w:jc w:val="center"/>
              <w:rPr>
                <w:rFonts w:eastAsia="Times New Roman"/>
                <w:b/>
                <w:bCs/>
                <w:sz w:val="20"/>
                <w:szCs w:val="20"/>
                <w:lang w:val="es-ES_tradnl" w:eastAsia="es-CR"/>
              </w:rPr>
            </w:pPr>
            <w:r w:rsidRPr="00D63D83">
              <w:rPr>
                <w:rFonts w:eastAsia="Times New Roman"/>
                <w:b/>
                <w:bCs/>
                <w:sz w:val="20"/>
                <w:szCs w:val="20"/>
                <w:lang w:val="es-ES_tradnl" w:eastAsia="es-CR"/>
              </w:rPr>
              <w:t>Viáticos</w:t>
            </w:r>
          </w:p>
        </w:tc>
        <w:tc>
          <w:tcPr>
            <w:tcW w:w="1578" w:type="dxa"/>
            <w:shd w:val="clear" w:color="000000" w:fill="B4C6E7"/>
            <w:vAlign w:val="center"/>
            <w:hideMark/>
          </w:tcPr>
          <w:p w14:paraId="5DFDDC24" w14:textId="77777777" w:rsidR="008E76F5" w:rsidRPr="00D63D83" w:rsidRDefault="008E76F5" w:rsidP="0003086B">
            <w:pPr>
              <w:spacing w:line="240" w:lineRule="auto"/>
              <w:jc w:val="center"/>
              <w:rPr>
                <w:rFonts w:eastAsia="Times New Roman"/>
                <w:b/>
                <w:bCs/>
                <w:sz w:val="20"/>
                <w:szCs w:val="20"/>
                <w:lang w:val="es-ES_tradnl" w:eastAsia="es-CR"/>
              </w:rPr>
            </w:pPr>
            <w:r w:rsidRPr="00D63D83">
              <w:rPr>
                <w:rFonts w:eastAsia="Times New Roman"/>
                <w:b/>
                <w:bCs/>
                <w:sz w:val="20"/>
                <w:szCs w:val="20"/>
                <w:lang w:val="es-ES_tradnl" w:eastAsia="es-CR"/>
              </w:rPr>
              <w:t>Observaciones</w:t>
            </w:r>
          </w:p>
        </w:tc>
      </w:tr>
      <w:tr w:rsidR="008E76F5" w:rsidRPr="00D63D83" w14:paraId="3B50D7E4" w14:textId="77777777" w:rsidTr="008E76F5">
        <w:trPr>
          <w:gridAfter w:val="1"/>
          <w:wAfter w:w="12" w:type="dxa"/>
          <w:trHeight w:val="50"/>
          <w:jc w:val="center"/>
        </w:trPr>
        <w:tc>
          <w:tcPr>
            <w:tcW w:w="1252" w:type="dxa"/>
          </w:tcPr>
          <w:p w14:paraId="03773764" w14:textId="094EA240"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Raquel </w:t>
            </w:r>
            <w:proofErr w:type="spellStart"/>
            <w:r w:rsidRPr="008E76F5">
              <w:rPr>
                <w:rFonts w:eastAsia="Times New Roman"/>
                <w:sz w:val="20"/>
                <w:szCs w:val="20"/>
                <w:lang w:val="es-CR" w:eastAsia="es-CR"/>
              </w:rPr>
              <w:t>Lebell</w:t>
            </w:r>
            <w:proofErr w:type="spellEnd"/>
            <w:r w:rsidRPr="008E76F5">
              <w:rPr>
                <w:rFonts w:eastAsia="Times New Roman"/>
                <w:sz w:val="20"/>
                <w:szCs w:val="20"/>
                <w:lang w:val="es-CR" w:eastAsia="es-CR"/>
              </w:rPr>
              <w:t xml:space="preserve"> Simpson</w:t>
            </w:r>
          </w:p>
        </w:tc>
        <w:tc>
          <w:tcPr>
            <w:tcW w:w="1530" w:type="dxa"/>
          </w:tcPr>
          <w:p w14:paraId="0F949DEB" w14:textId="28B32B65"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Dirección de Protección Radiológica y Salud Ambiental</w:t>
            </w:r>
          </w:p>
        </w:tc>
        <w:tc>
          <w:tcPr>
            <w:tcW w:w="938" w:type="dxa"/>
          </w:tcPr>
          <w:p w14:paraId="537B08C0" w14:textId="567A1E27"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13</w:t>
            </w:r>
            <w:r w:rsidR="005B54AB">
              <w:rPr>
                <w:rFonts w:eastAsia="Times New Roman"/>
                <w:sz w:val="20"/>
                <w:szCs w:val="20"/>
                <w:lang w:val="es-CR" w:eastAsia="es-CR"/>
              </w:rPr>
              <w:t xml:space="preserve"> de octubre de 2025</w:t>
            </w:r>
          </w:p>
        </w:tc>
        <w:tc>
          <w:tcPr>
            <w:tcW w:w="1230" w:type="dxa"/>
          </w:tcPr>
          <w:p w14:paraId="320B996C" w14:textId="44988EE6"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17</w:t>
            </w:r>
            <w:r w:rsidR="005B54AB">
              <w:rPr>
                <w:rFonts w:eastAsia="Times New Roman"/>
                <w:sz w:val="20"/>
                <w:szCs w:val="20"/>
                <w:lang w:val="es-CR" w:eastAsia="es-CR"/>
              </w:rPr>
              <w:t xml:space="preserve"> </w:t>
            </w:r>
            <w:r w:rsidR="005B54AB">
              <w:rPr>
                <w:rFonts w:eastAsia="Times New Roman"/>
                <w:sz w:val="20"/>
                <w:szCs w:val="20"/>
                <w:lang w:val="es-CR" w:eastAsia="es-CR"/>
              </w:rPr>
              <w:t>de octubre de 2025</w:t>
            </w:r>
          </w:p>
        </w:tc>
        <w:tc>
          <w:tcPr>
            <w:tcW w:w="1119" w:type="dxa"/>
          </w:tcPr>
          <w:p w14:paraId="02099EC0" w14:textId="3934256E"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México</w:t>
            </w:r>
          </w:p>
        </w:tc>
        <w:tc>
          <w:tcPr>
            <w:tcW w:w="1830" w:type="dxa"/>
          </w:tcPr>
          <w:p w14:paraId="461BEF69" w14:textId="208CC035"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Curso Interregional de Capacitación sobre Seguridad Tecnológica y Seguridad Física en la Gestión de las Fuentes Radiactivas Selladas en Desuso</w:t>
            </w:r>
          </w:p>
        </w:tc>
        <w:tc>
          <w:tcPr>
            <w:tcW w:w="1957" w:type="dxa"/>
          </w:tcPr>
          <w:p w14:paraId="38BC69D0" w14:textId="52B68386"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No se asumen compromisos. </w:t>
            </w:r>
          </w:p>
        </w:tc>
        <w:tc>
          <w:tcPr>
            <w:tcW w:w="1876" w:type="dxa"/>
          </w:tcPr>
          <w:p w14:paraId="2F3412CD" w14:textId="3EE09674"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Organismo Internacional de Energía Atómica (OIEA)</w:t>
            </w:r>
          </w:p>
        </w:tc>
        <w:tc>
          <w:tcPr>
            <w:tcW w:w="1488" w:type="dxa"/>
          </w:tcPr>
          <w:p w14:paraId="7BC20BD3" w14:textId="0E9AC2D1"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5E4C972F" w14:textId="77777777" w:rsidR="008E76F5" w:rsidRPr="008E76F5" w:rsidRDefault="008E76F5" w:rsidP="008E76F5">
            <w:pPr>
              <w:spacing w:line="240" w:lineRule="auto"/>
              <w:rPr>
                <w:rFonts w:eastAsia="Times New Roman"/>
                <w:sz w:val="20"/>
                <w:szCs w:val="20"/>
                <w:lang w:val="es-CR" w:eastAsia="es-CR"/>
              </w:rPr>
            </w:pPr>
          </w:p>
        </w:tc>
      </w:tr>
      <w:tr w:rsidR="005B54AB" w:rsidRPr="00D63D83" w14:paraId="356B1FB2" w14:textId="77777777" w:rsidTr="008E76F5">
        <w:trPr>
          <w:gridAfter w:val="1"/>
          <w:wAfter w:w="12" w:type="dxa"/>
          <w:trHeight w:val="50"/>
          <w:jc w:val="center"/>
        </w:trPr>
        <w:tc>
          <w:tcPr>
            <w:tcW w:w="1252" w:type="dxa"/>
          </w:tcPr>
          <w:p w14:paraId="27771C4C" w14:textId="52FAD5DB" w:rsidR="005B54AB" w:rsidRPr="00D63D83"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Ana Lucrecia Hernández Campos</w:t>
            </w:r>
          </w:p>
        </w:tc>
        <w:tc>
          <w:tcPr>
            <w:tcW w:w="1530" w:type="dxa"/>
          </w:tcPr>
          <w:p w14:paraId="1F855A9D" w14:textId="7BEB0E7E" w:rsidR="005B54AB" w:rsidRPr="008E76F5"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Dirección Regional de Rectoría de la Salud Central Norte</w:t>
            </w:r>
          </w:p>
        </w:tc>
        <w:tc>
          <w:tcPr>
            <w:tcW w:w="938" w:type="dxa"/>
          </w:tcPr>
          <w:p w14:paraId="59F20C0E" w14:textId="504B9A7F" w:rsidR="005B54AB" w:rsidRPr="008E76F5"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13</w:t>
            </w:r>
            <w:r>
              <w:rPr>
                <w:rFonts w:eastAsia="Times New Roman"/>
                <w:sz w:val="20"/>
                <w:szCs w:val="20"/>
                <w:lang w:val="es-CR" w:eastAsia="es-CR"/>
              </w:rPr>
              <w:t xml:space="preserve"> de octubre de 2025</w:t>
            </w:r>
          </w:p>
        </w:tc>
        <w:tc>
          <w:tcPr>
            <w:tcW w:w="1230" w:type="dxa"/>
          </w:tcPr>
          <w:p w14:paraId="35C558D1" w14:textId="7600EF8C" w:rsidR="005B54AB" w:rsidRPr="008E76F5"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17</w:t>
            </w:r>
            <w:r>
              <w:rPr>
                <w:rFonts w:eastAsia="Times New Roman"/>
                <w:sz w:val="20"/>
                <w:szCs w:val="20"/>
                <w:lang w:val="es-CR" w:eastAsia="es-CR"/>
              </w:rPr>
              <w:t xml:space="preserve"> de octubre de 2025</w:t>
            </w:r>
          </w:p>
        </w:tc>
        <w:tc>
          <w:tcPr>
            <w:tcW w:w="1119" w:type="dxa"/>
          </w:tcPr>
          <w:p w14:paraId="6EED1AB2" w14:textId="3FE4AF03" w:rsidR="005B54AB" w:rsidRPr="008E76F5"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México</w:t>
            </w:r>
          </w:p>
        </w:tc>
        <w:tc>
          <w:tcPr>
            <w:tcW w:w="1830" w:type="dxa"/>
          </w:tcPr>
          <w:p w14:paraId="19261787" w14:textId="431ADA3C" w:rsidR="005B54AB" w:rsidRPr="008E76F5"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Curso Interregional de Capacitación sobre Seguridad Tecnológica y Seguridad Física en la Gestión de las Fuentes Radiactivas Selladas en Desuso</w:t>
            </w:r>
          </w:p>
        </w:tc>
        <w:tc>
          <w:tcPr>
            <w:tcW w:w="1957" w:type="dxa"/>
          </w:tcPr>
          <w:p w14:paraId="65614911" w14:textId="783308F5" w:rsidR="005B54AB" w:rsidRPr="008E76F5"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 xml:space="preserve">No se asumen compromisos. </w:t>
            </w:r>
          </w:p>
        </w:tc>
        <w:tc>
          <w:tcPr>
            <w:tcW w:w="1876" w:type="dxa"/>
          </w:tcPr>
          <w:p w14:paraId="2012FBF5" w14:textId="58EBA50D" w:rsidR="005B54AB" w:rsidRPr="008E76F5"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Organismo Internacional de Energía Atómica (OIEA)</w:t>
            </w:r>
          </w:p>
        </w:tc>
        <w:tc>
          <w:tcPr>
            <w:tcW w:w="1488" w:type="dxa"/>
          </w:tcPr>
          <w:p w14:paraId="1358B1FC" w14:textId="7C40854F" w:rsidR="005B54AB" w:rsidRPr="008E76F5" w:rsidRDefault="005B54AB" w:rsidP="005B54AB">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4CB0CB11" w14:textId="77777777" w:rsidR="005B54AB" w:rsidRPr="008E76F5" w:rsidRDefault="005B54AB" w:rsidP="005B54AB">
            <w:pPr>
              <w:spacing w:line="240" w:lineRule="auto"/>
              <w:rPr>
                <w:rFonts w:eastAsia="Times New Roman"/>
                <w:sz w:val="20"/>
                <w:szCs w:val="20"/>
                <w:lang w:val="es-CR" w:eastAsia="es-CR"/>
              </w:rPr>
            </w:pPr>
          </w:p>
        </w:tc>
      </w:tr>
      <w:tr w:rsidR="008E76F5" w:rsidRPr="00D63D83" w14:paraId="124571FA" w14:textId="77777777" w:rsidTr="008E76F5">
        <w:trPr>
          <w:gridAfter w:val="1"/>
          <w:wAfter w:w="12" w:type="dxa"/>
          <w:trHeight w:val="50"/>
          <w:jc w:val="center"/>
        </w:trPr>
        <w:tc>
          <w:tcPr>
            <w:tcW w:w="1252" w:type="dxa"/>
          </w:tcPr>
          <w:p w14:paraId="69ABC54E" w14:textId="6FF173F7"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Karen Brenes Madriz</w:t>
            </w:r>
          </w:p>
        </w:tc>
        <w:tc>
          <w:tcPr>
            <w:tcW w:w="1530" w:type="dxa"/>
          </w:tcPr>
          <w:p w14:paraId="7DBD32C6" w14:textId="1CFABA3A"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Servicios de Salud </w:t>
            </w:r>
          </w:p>
        </w:tc>
        <w:tc>
          <w:tcPr>
            <w:tcW w:w="938" w:type="dxa"/>
          </w:tcPr>
          <w:p w14:paraId="5E51D648" w14:textId="01830C62"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14</w:t>
            </w:r>
            <w:r w:rsidR="005B54AB">
              <w:rPr>
                <w:rFonts w:eastAsia="Times New Roman"/>
                <w:sz w:val="20"/>
                <w:szCs w:val="20"/>
                <w:lang w:val="es-CR" w:eastAsia="es-CR"/>
              </w:rPr>
              <w:t xml:space="preserve"> de octubre de 2025</w:t>
            </w:r>
          </w:p>
        </w:tc>
        <w:tc>
          <w:tcPr>
            <w:tcW w:w="1230" w:type="dxa"/>
          </w:tcPr>
          <w:p w14:paraId="049667D8" w14:textId="40A4E320"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15</w:t>
            </w:r>
            <w:r w:rsidR="005B54AB">
              <w:rPr>
                <w:rFonts w:eastAsia="Times New Roman"/>
                <w:sz w:val="20"/>
                <w:szCs w:val="20"/>
                <w:lang w:val="es-CR" w:eastAsia="es-CR"/>
              </w:rPr>
              <w:t xml:space="preserve"> de octubre de 2025</w:t>
            </w:r>
          </w:p>
        </w:tc>
        <w:tc>
          <w:tcPr>
            <w:tcW w:w="1119" w:type="dxa"/>
          </w:tcPr>
          <w:p w14:paraId="191A7B39" w14:textId="6D210D0C"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Panamá</w:t>
            </w:r>
          </w:p>
        </w:tc>
        <w:tc>
          <w:tcPr>
            <w:tcW w:w="1830" w:type="dxa"/>
          </w:tcPr>
          <w:p w14:paraId="27F60490" w14:textId="27FE8989"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Reunión regional para el monitoreo de la política de personal de salud 2030</w:t>
            </w:r>
          </w:p>
        </w:tc>
        <w:tc>
          <w:tcPr>
            <w:tcW w:w="1957" w:type="dxa"/>
          </w:tcPr>
          <w:p w14:paraId="2419CD66" w14:textId="777C751E" w:rsidR="008E76F5" w:rsidRPr="008E76F5" w:rsidRDefault="008E76F5" w:rsidP="005B54AB">
            <w:pPr>
              <w:spacing w:line="240" w:lineRule="auto"/>
              <w:jc w:val="center"/>
              <w:rPr>
                <w:rFonts w:eastAsia="Times New Roman"/>
                <w:sz w:val="20"/>
                <w:szCs w:val="20"/>
                <w:lang w:val="es-CR" w:eastAsia="es-CR"/>
              </w:rPr>
            </w:pPr>
            <w:r w:rsidRPr="008E76F5">
              <w:rPr>
                <w:rFonts w:eastAsia="Times New Roman"/>
                <w:sz w:val="20"/>
                <w:szCs w:val="20"/>
                <w:lang w:val="es-CR" w:eastAsia="es-CR"/>
              </w:rPr>
              <w:t>--</w:t>
            </w:r>
          </w:p>
        </w:tc>
        <w:tc>
          <w:tcPr>
            <w:tcW w:w="1876" w:type="dxa"/>
          </w:tcPr>
          <w:p w14:paraId="760654C7" w14:textId="704AA724"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Organización Panamericana de la Salud (OPS)</w:t>
            </w:r>
          </w:p>
        </w:tc>
        <w:tc>
          <w:tcPr>
            <w:tcW w:w="1488" w:type="dxa"/>
          </w:tcPr>
          <w:p w14:paraId="6BEF5631" w14:textId="0B7FC0F3"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57CA9866" w14:textId="082E9FA3"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Queda sin efecto por medio del oficio CARTA-MS-DM-6422-2025.</w:t>
            </w:r>
          </w:p>
        </w:tc>
      </w:tr>
      <w:tr w:rsidR="008E76F5" w:rsidRPr="00D63D83" w14:paraId="1A733B53" w14:textId="77777777" w:rsidTr="008E76F5">
        <w:trPr>
          <w:gridAfter w:val="1"/>
          <w:wAfter w:w="12" w:type="dxa"/>
          <w:trHeight w:val="50"/>
          <w:jc w:val="center"/>
        </w:trPr>
        <w:tc>
          <w:tcPr>
            <w:tcW w:w="1252" w:type="dxa"/>
          </w:tcPr>
          <w:p w14:paraId="0D322D09" w14:textId="7AC0C41A"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 xml:space="preserve">Adriana Torres Moreno </w:t>
            </w:r>
          </w:p>
        </w:tc>
        <w:tc>
          <w:tcPr>
            <w:tcW w:w="1530" w:type="dxa"/>
          </w:tcPr>
          <w:p w14:paraId="58F661FF" w14:textId="50300C29"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Vigilancia de la Salud </w:t>
            </w:r>
          </w:p>
        </w:tc>
        <w:tc>
          <w:tcPr>
            <w:tcW w:w="938" w:type="dxa"/>
          </w:tcPr>
          <w:p w14:paraId="7F1A6885" w14:textId="6A888216"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14</w:t>
            </w:r>
            <w:r w:rsidR="005B54AB">
              <w:rPr>
                <w:rFonts w:eastAsia="Times New Roman"/>
                <w:sz w:val="20"/>
                <w:szCs w:val="20"/>
                <w:lang w:val="es-CR" w:eastAsia="es-CR"/>
              </w:rPr>
              <w:t xml:space="preserve"> de octubre de 2025</w:t>
            </w:r>
          </w:p>
        </w:tc>
        <w:tc>
          <w:tcPr>
            <w:tcW w:w="1230" w:type="dxa"/>
          </w:tcPr>
          <w:p w14:paraId="3328C44E" w14:textId="46927C49"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16</w:t>
            </w:r>
            <w:r w:rsidR="005B54AB">
              <w:rPr>
                <w:rFonts w:eastAsia="Times New Roman"/>
                <w:sz w:val="20"/>
                <w:szCs w:val="20"/>
                <w:lang w:val="es-CR" w:eastAsia="es-CR"/>
              </w:rPr>
              <w:t xml:space="preserve"> de octubre de 2025</w:t>
            </w:r>
          </w:p>
        </w:tc>
        <w:tc>
          <w:tcPr>
            <w:tcW w:w="1119" w:type="dxa"/>
          </w:tcPr>
          <w:p w14:paraId="3DFFC645" w14:textId="0397713D"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Italia</w:t>
            </w:r>
          </w:p>
        </w:tc>
        <w:tc>
          <w:tcPr>
            <w:tcW w:w="1830" w:type="dxa"/>
          </w:tcPr>
          <w:p w14:paraId="1866080E" w14:textId="63DFEB01"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Curso intensivo sobre inteligencia epidemiológica</w:t>
            </w:r>
          </w:p>
        </w:tc>
        <w:tc>
          <w:tcPr>
            <w:tcW w:w="1957" w:type="dxa"/>
          </w:tcPr>
          <w:p w14:paraId="1D4FC366" w14:textId="752D0E7A"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Revisar con el encargado de </w:t>
            </w:r>
            <w:proofErr w:type="spellStart"/>
            <w:r w:rsidRPr="008E76F5">
              <w:rPr>
                <w:rFonts w:eastAsia="Times New Roman"/>
                <w:sz w:val="20"/>
                <w:szCs w:val="20"/>
                <w:lang w:val="es-CR" w:eastAsia="es-CR"/>
              </w:rPr>
              <w:t>RSI</w:t>
            </w:r>
            <w:proofErr w:type="spellEnd"/>
            <w:r w:rsidRPr="008E76F5">
              <w:rPr>
                <w:rFonts w:eastAsia="Times New Roman"/>
                <w:sz w:val="20"/>
                <w:szCs w:val="20"/>
                <w:lang w:val="es-CR" w:eastAsia="es-CR"/>
              </w:rPr>
              <w:t xml:space="preserve"> lo aprendido. Funcionar como agente multiplicador de los conocimientos.</w:t>
            </w:r>
            <w:r w:rsidR="005B54AB">
              <w:rPr>
                <w:rFonts w:eastAsia="Times New Roman"/>
                <w:sz w:val="20"/>
                <w:szCs w:val="20"/>
                <w:lang w:val="es-CR" w:eastAsia="es-CR"/>
              </w:rPr>
              <w:t xml:space="preserve"> </w:t>
            </w:r>
            <w:r w:rsidRPr="008E76F5">
              <w:rPr>
                <w:rFonts w:eastAsia="Times New Roman"/>
                <w:sz w:val="20"/>
                <w:szCs w:val="20"/>
                <w:lang w:val="es-CR" w:eastAsia="es-CR"/>
              </w:rPr>
              <w:t xml:space="preserve">Formulación del procedimiento para inteligencia epidemiológica. </w:t>
            </w:r>
          </w:p>
        </w:tc>
        <w:tc>
          <w:tcPr>
            <w:tcW w:w="1876" w:type="dxa"/>
          </w:tcPr>
          <w:p w14:paraId="1807F061" w14:textId="6E69908F"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Organización Internacional Ítalo-Latino Americana (</w:t>
            </w:r>
            <w:proofErr w:type="spellStart"/>
            <w:r w:rsidRPr="008E76F5">
              <w:rPr>
                <w:rFonts w:eastAsia="Times New Roman"/>
                <w:sz w:val="20"/>
                <w:szCs w:val="20"/>
                <w:lang w:val="es-CR" w:eastAsia="es-CR"/>
              </w:rPr>
              <w:t>IILA</w:t>
            </w:r>
            <w:proofErr w:type="spellEnd"/>
            <w:r w:rsidRPr="008E76F5">
              <w:rPr>
                <w:rFonts w:eastAsia="Times New Roman"/>
                <w:sz w:val="20"/>
                <w:szCs w:val="20"/>
                <w:lang w:val="es-CR" w:eastAsia="es-CR"/>
              </w:rPr>
              <w:t>)</w:t>
            </w:r>
          </w:p>
        </w:tc>
        <w:tc>
          <w:tcPr>
            <w:tcW w:w="1488" w:type="dxa"/>
          </w:tcPr>
          <w:p w14:paraId="039D884B" w14:textId="5E2C28FB"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4D824A8F" w14:textId="77777777" w:rsidR="008E76F5" w:rsidRPr="008E76F5" w:rsidRDefault="008E76F5" w:rsidP="008E76F5">
            <w:pPr>
              <w:spacing w:line="240" w:lineRule="auto"/>
              <w:rPr>
                <w:rFonts w:eastAsia="Times New Roman"/>
                <w:sz w:val="20"/>
                <w:szCs w:val="20"/>
                <w:lang w:val="es-CR" w:eastAsia="es-CR"/>
              </w:rPr>
            </w:pPr>
          </w:p>
        </w:tc>
      </w:tr>
      <w:tr w:rsidR="008E76F5" w:rsidRPr="00D63D83" w14:paraId="570BEC17" w14:textId="77777777" w:rsidTr="008E76F5">
        <w:trPr>
          <w:gridAfter w:val="1"/>
          <w:wAfter w:w="12" w:type="dxa"/>
          <w:trHeight w:val="50"/>
          <w:jc w:val="center"/>
        </w:trPr>
        <w:tc>
          <w:tcPr>
            <w:tcW w:w="1252" w:type="dxa"/>
          </w:tcPr>
          <w:p w14:paraId="51B79DCB" w14:textId="390BA2B3"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Pamela Domínguez Saavedra</w:t>
            </w:r>
          </w:p>
        </w:tc>
        <w:tc>
          <w:tcPr>
            <w:tcW w:w="1530" w:type="dxa"/>
          </w:tcPr>
          <w:p w14:paraId="0C2D48E5" w14:textId="0E6D8080"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Vigilancia de la Salud </w:t>
            </w:r>
          </w:p>
        </w:tc>
        <w:tc>
          <w:tcPr>
            <w:tcW w:w="938" w:type="dxa"/>
          </w:tcPr>
          <w:p w14:paraId="40522BFE" w14:textId="0B8FAD03"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14</w:t>
            </w:r>
            <w:r w:rsidR="005B54AB">
              <w:rPr>
                <w:rFonts w:eastAsia="Times New Roman"/>
                <w:sz w:val="20"/>
                <w:szCs w:val="20"/>
                <w:lang w:val="es-CR" w:eastAsia="es-CR"/>
              </w:rPr>
              <w:t xml:space="preserve"> de octubre de 2025</w:t>
            </w:r>
          </w:p>
        </w:tc>
        <w:tc>
          <w:tcPr>
            <w:tcW w:w="1230" w:type="dxa"/>
          </w:tcPr>
          <w:p w14:paraId="2B6E8EF5" w14:textId="1F230C2C"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16</w:t>
            </w:r>
            <w:r w:rsidR="005B54AB">
              <w:rPr>
                <w:rFonts w:eastAsia="Times New Roman"/>
                <w:sz w:val="20"/>
                <w:szCs w:val="20"/>
                <w:lang w:val="es-CR" w:eastAsia="es-CR"/>
              </w:rPr>
              <w:t xml:space="preserve"> de octubre de 2025</w:t>
            </w:r>
          </w:p>
        </w:tc>
        <w:tc>
          <w:tcPr>
            <w:tcW w:w="1119" w:type="dxa"/>
          </w:tcPr>
          <w:p w14:paraId="4B6F251F" w14:textId="2851ACB4"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Panamá</w:t>
            </w:r>
          </w:p>
        </w:tc>
        <w:tc>
          <w:tcPr>
            <w:tcW w:w="1830" w:type="dxa"/>
          </w:tcPr>
          <w:p w14:paraId="01EFE11F" w14:textId="605B3993"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Talle de profundización de datos sobre la metodología de los Exámenes Tempranos de la Acción (ETA) utilizando el enfoque 7-1-7, dirigido a cinco países de Suramérica y Centroamérica</w:t>
            </w:r>
          </w:p>
        </w:tc>
        <w:tc>
          <w:tcPr>
            <w:tcW w:w="1957" w:type="dxa"/>
          </w:tcPr>
          <w:p w14:paraId="6A9C00FB" w14:textId="7CA5FFF3"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Identificar un evento real reciente para aplicar la metodología 7-1-7 y validar herramientas de medición. Incorporar el enfoque 7-1-7 al protocolo de brotes y documentos relacionados. Participación en foros virtuales de intercambio de experiencias entre los ocho países participantes para fortalecer los procesos de implementación de ETA en la región de las Américas.</w:t>
            </w:r>
          </w:p>
        </w:tc>
        <w:tc>
          <w:tcPr>
            <w:tcW w:w="1876" w:type="dxa"/>
          </w:tcPr>
          <w:p w14:paraId="7DDE8927" w14:textId="2D8BC6CC"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Organización Panamericana de la Salud (OPS)</w:t>
            </w:r>
          </w:p>
        </w:tc>
        <w:tc>
          <w:tcPr>
            <w:tcW w:w="1488" w:type="dxa"/>
          </w:tcPr>
          <w:p w14:paraId="5D40AA8E" w14:textId="73F0B6F1"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14DC0080" w14:textId="77777777" w:rsidR="008E76F5" w:rsidRPr="008E76F5" w:rsidRDefault="008E76F5" w:rsidP="008E76F5">
            <w:pPr>
              <w:spacing w:line="240" w:lineRule="auto"/>
              <w:rPr>
                <w:rFonts w:eastAsia="Times New Roman"/>
                <w:sz w:val="20"/>
                <w:szCs w:val="20"/>
                <w:lang w:val="es-CR" w:eastAsia="es-CR"/>
              </w:rPr>
            </w:pPr>
          </w:p>
        </w:tc>
      </w:tr>
      <w:tr w:rsidR="008E76F5" w:rsidRPr="00D63D83" w14:paraId="6C840C50" w14:textId="77777777" w:rsidTr="008E76F5">
        <w:trPr>
          <w:gridAfter w:val="1"/>
          <w:wAfter w:w="12" w:type="dxa"/>
          <w:trHeight w:val="50"/>
          <w:jc w:val="center"/>
        </w:trPr>
        <w:tc>
          <w:tcPr>
            <w:tcW w:w="1252" w:type="dxa"/>
          </w:tcPr>
          <w:p w14:paraId="7F6D1408" w14:textId="01EA327D"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Sandra Delgado Jiménez</w:t>
            </w:r>
          </w:p>
        </w:tc>
        <w:tc>
          <w:tcPr>
            <w:tcW w:w="1530" w:type="dxa"/>
          </w:tcPr>
          <w:p w14:paraId="16A66368" w14:textId="109F8F73"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Vigilancia de la Salud </w:t>
            </w:r>
          </w:p>
        </w:tc>
        <w:tc>
          <w:tcPr>
            <w:tcW w:w="938" w:type="dxa"/>
          </w:tcPr>
          <w:p w14:paraId="084040DC" w14:textId="190FB896"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14</w:t>
            </w:r>
            <w:r w:rsidR="005B54AB">
              <w:rPr>
                <w:rFonts w:eastAsia="Times New Roman"/>
                <w:sz w:val="20"/>
                <w:szCs w:val="20"/>
                <w:lang w:val="es-CR" w:eastAsia="es-CR"/>
              </w:rPr>
              <w:t xml:space="preserve"> de octubre de 2025</w:t>
            </w:r>
          </w:p>
        </w:tc>
        <w:tc>
          <w:tcPr>
            <w:tcW w:w="1230" w:type="dxa"/>
          </w:tcPr>
          <w:p w14:paraId="2404F49E" w14:textId="43A820CB"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16</w:t>
            </w:r>
            <w:r w:rsidR="005B54AB">
              <w:rPr>
                <w:rFonts w:eastAsia="Times New Roman"/>
                <w:sz w:val="20"/>
                <w:szCs w:val="20"/>
                <w:lang w:val="es-CR" w:eastAsia="es-CR"/>
              </w:rPr>
              <w:t xml:space="preserve"> de octubre de 2025</w:t>
            </w:r>
          </w:p>
        </w:tc>
        <w:tc>
          <w:tcPr>
            <w:tcW w:w="1119" w:type="dxa"/>
          </w:tcPr>
          <w:p w14:paraId="6D2909D1" w14:textId="63B88EC8"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Panamá</w:t>
            </w:r>
          </w:p>
        </w:tc>
        <w:tc>
          <w:tcPr>
            <w:tcW w:w="1830" w:type="dxa"/>
          </w:tcPr>
          <w:p w14:paraId="5A6A8E83" w14:textId="3A4A710A"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Talle de profundización de datos sobre la metodología de los Exámenes Tempranos de la Acción (ETA) utilizando el enfoque 7-1-7, dirigido a cinco países de Suramérica y Centroamérica</w:t>
            </w:r>
          </w:p>
        </w:tc>
        <w:tc>
          <w:tcPr>
            <w:tcW w:w="1957" w:type="dxa"/>
          </w:tcPr>
          <w:p w14:paraId="44EA0D88" w14:textId="54DF5311"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Identificar un evento real reciente para aplicar la metodología 7-1-7 y validar herramientas de medición. Incorporar el enfoque 7-1-7 al protocolo de brotes y documentos relacionados. Participación en foros virtuales de intercambio de experiencias entre los ocho países participantes para fortalecer los procesos de implementación de ETA en la región de las Américas.</w:t>
            </w:r>
          </w:p>
        </w:tc>
        <w:tc>
          <w:tcPr>
            <w:tcW w:w="1876" w:type="dxa"/>
          </w:tcPr>
          <w:p w14:paraId="6216015B" w14:textId="16828321"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Organización Panamericana de la Salud (OPS)</w:t>
            </w:r>
          </w:p>
        </w:tc>
        <w:tc>
          <w:tcPr>
            <w:tcW w:w="1488" w:type="dxa"/>
          </w:tcPr>
          <w:p w14:paraId="013EEFEE" w14:textId="4C33C950"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66873834" w14:textId="77777777" w:rsidR="008E76F5" w:rsidRPr="008E76F5" w:rsidRDefault="008E76F5" w:rsidP="008E76F5">
            <w:pPr>
              <w:spacing w:line="240" w:lineRule="auto"/>
              <w:rPr>
                <w:rFonts w:eastAsia="Times New Roman"/>
                <w:sz w:val="20"/>
                <w:szCs w:val="20"/>
                <w:lang w:val="es-CR" w:eastAsia="es-CR"/>
              </w:rPr>
            </w:pPr>
          </w:p>
        </w:tc>
      </w:tr>
      <w:tr w:rsidR="008E76F5" w:rsidRPr="00D63D83" w14:paraId="7C1C9BC8" w14:textId="77777777" w:rsidTr="008E76F5">
        <w:trPr>
          <w:gridAfter w:val="1"/>
          <w:wAfter w:w="12" w:type="dxa"/>
          <w:trHeight w:val="50"/>
          <w:jc w:val="center"/>
        </w:trPr>
        <w:tc>
          <w:tcPr>
            <w:tcW w:w="1252" w:type="dxa"/>
          </w:tcPr>
          <w:p w14:paraId="20D9542C" w14:textId="5429C37E"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Roselyn Serrano Vargas</w:t>
            </w:r>
          </w:p>
        </w:tc>
        <w:tc>
          <w:tcPr>
            <w:tcW w:w="1530" w:type="dxa"/>
          </w:tcPr>
          <w:p w14:paraId="4C7EE03E" w14:textId="613D953C"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Secretaría Ejecutiva Técnica de Donación y Trasplante de Órganos y Tejidos Humanos</w:t>
            </w:r>
          </w:p>
        </w:tc>
        <w:tc>
          <w:tcPr>
            <w:tcW w:w="938" w:type="dxa"/>
          </w:tcPr>
          <w:p w14:paraId="3A6D9692" w14:textId="07669E63"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16</w:t>
            </w:r>
            <w:r w:rsidR="005B54AB">
              <w:rPr>
                <w:rFonts w:eastAsia="Times New Roman"/>
                <w:sz w:val="20"/>
                <w:szCs w:val="20"/>
                <w:lang w:val="es-CR" w:eastAsia="es-CR"/>
              </w:rPr>
              <w:t xml:space="preserve"> de octubre de 2025</w:t>
            </w:r>
          </w:p>
        </w:tc>
        <w:tc>
          <w:tcPr>
            <w:tcW w:w="1230" w:type="dxa"/>
          </w:tcPr>
          <w:p w14:paraId="19363609" w14:textId="011977CB"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17</w:t>
            </w:r>
            <w:r w:rsidR="005B54AB">
              <w:rPr>
                <w:rFonts w:eastAsia="Times New Roman"/>
                <w:sz w:val="20"/>
                <w:szCs w:val="20"/>
                <w:lang w:val="es-CR" w:eastAsia="es-CR"/>
              </w:rPr>
              <w:t xml:space="preserve"> de octubre de 2025</w:t>
            </w:r>
          </w:p>
        </w:tc>
        <w:tc>
          <w:tcPr>
            <w:tcW w:w="1119" w:type="dxa"/>
          </w:tcPr>
          <w:p w14:paraId="4FC3A653" w14:textId="7DC1B7C3"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Francia</w:t>
            </w:r>
          </w:p>
        </w:tc>
        <w:tc>
          <w:tcPr>
            <w:tcW w:w="1830" w:type="dxa"/>
          </w:tcPr>
          <w:p w14:paraId="1FD09AB1" w14:textId="0BB39DCB"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Sétima sesión plenaria del Comité del Convenio de Santiago de Compostela sobre tráfico de órganos</w:t>
            </w:r>
          </w:p>
        </w:tc>
        <w:tc>
          <w:tcPr>
            <w:tcW w:w="1957" w:type="dxa"/>
          </w:tcPr>
          <w:p w14:paraId="20CB384B" w14:textId="04B9223B"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 --</w:t>
            </w:r>
          </w:p>
        </w:tc>
        <w:tc>
          <w:tcPr>
            <w:tcW w:w="1876" w:type="dxa"/>
          </w:tcPr>
          <w:p w14:paraId="2F3B4D5E" w14:textId="4D62EEB9"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 Secretariado del Convenio de Santiago de Compostela sobre tráfico de órganos</w:t>
            </w:r>
          </w:p>
        </w:tc>
        <w:tc>
          <w:tcPr>
            <w:tcW w:w="1488" w:type="dxa"/>
          </w:tcPr>
          <w:p w14:paraId="1113EADD" w14:textId="28E78B86"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4425E059" w14:textId="60597C7E"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Queda sin efecto por medio del oficio CARTA-MS-DM-5525-2025.</w:t>
            </w:r>
          </w:p>
        </w:tc>
      </w:tr>
      <w:tr w:rsidR="008E76F5" w:rsidRPr="00D63D83" w14:paraId="0243DC2A" w14:textId="77777777" w:rsidTr="008E76F5">
        <w:trPr>
          <w:gridAfter w:val="1"/>
          <w:wAfter w:w="12" w:type="dxa"/>
          <w:trHeight w:val="50"/>
          <w:jc w:val="center"/>
        </w:trPr>
        <w:tc>
          <w:tcPr>
            <w:tcW w:w="1252" w:type="dxa"/>
          </w:tcPr>
          <w:p w14:paraId="7091459C" w14:textId="04B0D584"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Yoselyn Redondo Artavia</w:t>
            </w:r>
          </w:p>
        </w:tc>
        <w:tc>
          <w:tcPr>
            <w:tcW w:w="1530" w:type="dxa"/>
          </w:tcPr>
          <w:p w14:paraId="1028588D" w14:textId="0EFBE0EE"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Planificación </w:t>
            </w:r>
          </w:p>
        </w:tc>
        <w:tc>
          <w:tcPr>
            <w:tcW w:w="938" w:type="dxa"/>
          </w:tcPr>
          <w:p w14:paraId="76D9DBD5" w14:textId="51F6DC9B"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16</w:t>
            </w:r>
            <w:r w:rsidR="005B54AB">
              <w:rPr>
                <w:rFonts w:eastAsia="Times New Roman"/>
                <w:sz w:val="20"/>
                <w:szCs w:val="20"/>
                <w:lang w:val="es-CR" w:eastAsia="es-CR"/>
              </w:rPr>
              <w:t xml:space="preserve"> de octubre de 2025</w:t>
            </w:r>
          </w:p>
        </w:tc>
        <w:tc>
          <w:tcPr>
            <w:tcW w:w="1230" w:type="dxa"/>
          </w:tcPr>
          <w:p w14:paraId="1ED36694" w14:textId="11FCDCA0"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17</w:t>
            </w:r>
            <w:r w:rsidR="005B54AB">
              <w:rPr>
                <w:rFonts w:eastAsia="Times New Roman"/>
                <w:sz w:val="20"/>
                <w:szCs w:val="20"/>
                <w:lang w:val="es-CR" w:eastAsia="es-CR"/>
              </w:rPr>
              <w:t xml:space="preserve"> de octubre de 2025</w:t>
            </w:r>
          </w:p>
        </w:tc>
        <w:tc>
          <w:tcPr>
            <w:tcW w:w="1119" w:type="dxa"/>
          </w:tcPr>
          <w:p w14:paraId="2F12FA55" w14:textId="01DB45FE"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Perú</w:t>
            </w:r>
          </w:p>
        </w:tc>
        <w:tc>
          <w:tcPr>
            <w:tcW w:w="1830" w:type="dxa"/>
          </w:tcPr>
          <w:p w14:paraId="061A5C0F" w14:textId="5418E096"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Equidad en salud: datos sobre etnicidad y género </w:t>
            </w:r>
            <w:r w:rsidRPr="008E76F5">
              <w:rPr>
                <w:rFonts w:eastAsia="Times New Roman"/>
                <w:sz w:val="20"/>
                <w:szCs w:val="20"/>
                <w:lang w:val="es-CR" w:eastAsia="es-CR"/>
              </w:rPr>
              <w:lastRenderedPageBreak/>
              <w:t>para la equidad en salud.</w:t>
            </w:r>
          </w:p>
        </w:tc>
        <w:tc>
          <w:tcPr>
            <w:tcW w:w="1957" w:type="dxa"/>
          </w:tcPr>
          <w:p w14:paraId="3C4A625F" w14:textId="596CC6FD"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 xml:space="preserve">No se asumen compromisos. </w:t>
            </w:r>
          </w:p>
        </w:tc>
        <w:tc>
          <w:tcPr>
            <w:tcW w:w="1876" w:type="dxa"/>
          </w:tcPr>
          <w:p w14:paraId="0245DE68" w14:textId="77777777" w:rsidR="005B54AB"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Organización Panamericana de la Salud (OPS)</w:t>
            </w:r>
          </w:p>
          <w:p w14:paraId="39F4A3D0" w14:textId="77777777" w:rsidR="005B54AB" w:rsidRDefault="008E76F5" w:rsidP="008E76F5">
            <w:pPr>
              <w:spacing w:line="240" w:lineRule="auto"/>
              <w:rPr>
                <w:rFonts w:eastAsia="Times New Roman"/>
                <w:sz w:val="20"/>
                <w:szCs w:val="20"/>
                <w:lang w:val="es-CR" w:eastAsia="es-CR"/>
              </w:rPr>
            </w:pPr>
            <w:proofErr w:type="spellStart"/>
            <w:r w:rsidRPr="008E76F5">
              <w:rPr>
                <w:rFonts w:eastAsia="Times New Roman"/>
                <w:sz w:val="20"/>
                <w:szCs w:val="20"/>
                <w:lang w:val="es-CR" w:eastAsia="es-CR"/>
              </w:rPr>
              <w:lastRenderedPageBreak/>
              <w:t>CELAC</w:t>
            </w:r>
            <w:proofErr w:type="spellEnd"/>
          </w:p>
          <w:p w14:paraId="0CACB5D3" w14:textId="3D7C8A81"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Comunidad Andina</w:t>
            </w:r>
          </w:p>
        </w:tc>
        <w:tc>
          <w:tcPr>
            <w:tcW w:w="1488" w:type="dxa"/>
          </w:tcPr>
          <w:p w14:paraId="58C814ED" w14:textId="1C4F6A94"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lastRenderedPageBreak/>
              <w:t xml:space="preserve">No se giran viáticos institucionales. </w:t>
            </w:r>
          </w:p>
        </w:tc>
        <w:tc>
          <w:tcPr>
            <w:tcW w:w="1578" w:type="dxa"/>
          </w:tcPr>
          <w:p w14:paraId="0ED7A78F" w14:textId="0CE1978A" w:rsidR="008E76F5" w:rsidRPr="008E76F5" w:rsidRDefault="008E76F5" w:rsidP="008E76F5">
            <w:pPr>
              <w:spacing w:line="240" w:lineRule="auto"/>
              <w:rPr>
                <w:rFonts w:eastAsia="Times New Roman"/>
                <w:sz w:val="20"/>
                <w:szCs w:val="20"/>
                <w:lang w:val="es-CR" w:eastAsia="es-CR"/>
              </w:rPr>
            </w:pPr>
          </w:p>
        </w:tc>
      </w:tr>
      <w:tr w:rsidR="008E76F5" w:rsidRPr="00D63D83" w14:paraId="5FE9294B" w14:textId="77777777" w:rsidTr="008E76F5">
        <w:trPr>
          <w:gridAfter w:val="1"/>
          <w:wAfter w:w="12" w:type="dxa"/>
          <w:trHeight w:val="50"/>
          <w:jc w:val="center"/>
        </w:trPr>
        <w:tc>
          <w:tcPr>
            <w:tcW w:w="1252" w:type="dxa"/>
          </w:tcPr>
          <w:p w14:paraId="0061E81E" w14:textId="13E92830"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Pamela Monestel Zúñiga</w:t>
            </w:r>
          </w:p>
        </w:tc>
        <w:tc>
          <w:tcPr>
            <w:tcW w:w="1530" w:type="dxa"/>
          </w:tcPr>
          <w:p w14:paraId="4712647F" w14:textId="72B76438"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Vigilancia de la Salud </w:t>
            </w:r>
          </w:p>
        </w:tc>
        <w:tc>
          <w:tcPr>
            <w:tcW w:w="938" w:type="dxa"/>
          </w:tcPr>
          <w:p w14:paraId="27A6434F" w14:textId="5CCB8716"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16</w:t>
            </w:r>
            <w:r w:rsidR="005B54AB">
              <w:rPr>
                <w:rFonts w:eastAsia="Times New Roman"/>
                <w:sz w:val="20"/>
                <w:szCs w:val="20"/>
                <w:lang w:val="es-CR" w:eastAsia="es-CR"/>
              </w:rPr>
              <w:t xml:space="preserve"> de octubre de 2025</w:t>
            </w:r>
          </w:p>
        </w:tc>
        <w:tc>
          <w:tcPr>
            <w:tcW w:w="1230" w:type="dxa"/>
          </w:tcPr>
          <w:p w14:paraId="3070FBDA" w14:textId="3169DA3A"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17</w:t>
            </w:r>
            <w:r w:rsidR="005B54AB">
              <w:rPr>
                <w:rFonts w:eastAsia="Times New Roman"/>
                <w:sz w:val="20"/>
                <w:szCs w:val="20"/>
                <w:lang w:val="es-CR" w:eastAsia="es-CR"/>
              </w:rPr>
              <w:t xml:space="preserve"> de octubre de 2025</w:t>
            </w:r>
          </w:p>
        </w:tc>
        <w:tc>
          <w:tcPr>
            <w:tcW w:w="1119" w:type="dxa"/>
          </w:tcPr>
          <w:p w14:paraId="797A9EFA" w14:textId="1F289465"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Perú</w:t>
            </w:r>
          </w:p>
        </w:tc>
        <w:tc>
          <w:tcPr>
            <w:tcW w:w="1830" w:type="dxa"/>
          </w:tcPr>
          <w:p w14:paraId="7031D348" w14:textId="72D1A837"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Equidad en salud: datos sobre etnicidad y género para la equidad en salud.</w:t>
            </w:r>
          </w:p>
        </w:tc>
        <w:tc>
          <w:tcPr>
            <w:tcW w:w="1957" w:type="dxa"/>
          </w:tcPr>
          <w:p w14:paraId="428351BD" w14:textId="702F2D0B"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 --</w:t>
            </w:r>
          </w:p>
        </w:tc>
        <w:tc>
          <w:tcPr>
            <w:tcW w:w="1876" w:type="dxa"/>
          </w:tcPr>
          <w:p w14:paraId="6A70E568" w14:textId="77777777" w:rsidR="005B54AB"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Organización Panamericana de la Salud (OPS)</w:t>
            </w:r>
          </w:p>
          <w:p w14:paraId="3C03AC14" w14:textId="77777777" w:rsidR="005B54AB" w:rsidRDefault="005B54AB" w:rsidP="008E76F5">
            <w:pPr>
              <w:spacing w:line="240" w:lineRule="auto"/>
              <w:rPr>
                <w:rFonts w:eastAsia="Times New Roman"/>
                <w:sz w:val="20"/>
                <w:szCs w:val="20"/>
                <w:lang w:val="es-CR" w:eastAsia="es-CR"/>
              </w:rPr>
            </w:pPr>
            <w:proofErr w:type="spellStart"/>
            <w:r>
              <w:rPr>
                <w:rFonts w:eastAsia="Times New Roman"/>
                <w:sz w:val="20"/>
                <w:szCs w:val="20"/>
                <w:lang w:val="es-CR" w:eastAsia="es-CR"/>
              </w:rPr>
              <w:t>C</w:t>
            </w:r>
            <w:r w:rsidR="008E76F5" w:rsidRPr="008E76F5">
              <w:rPr>
                <w:rFonts w:eastAsia="Times New Roman"/>
                <w:sz w:val="20"/>
                <w:szCs w:val="20"/>
                <w:lang w:val="es-CR" w:eastAsia="es-CR"/>
              </w:rPr>
              <w:t>ELAC</w:t>
            </w:r>
            <w:proofErr w:type="spellEnd"/>
          </w:p>
          <w:p w14:paraId="42E39EBF" w14:textId="6F71664F"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Comunidad Andina</w:t>
            </w:r>
          </w:p>
        </w:tc>
        <w:tc>
          <w:tcPr>
            <w:tcW w:w="1488" w:type="dxa"/>
          </w:tcPr>
          <w:p w14:paraId="314DCC1F" w14:textId="1933ABA0"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109C86B9" w14:textId="274E4B4F"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Queda sin efecto por medio del oficio CARTA-MS-DM-5456-2025 y CARTA-MS-DM-5457-2025.</w:t>
            </w:r>
          </w:p>
        </w:tc>
      </w:tr>
      <w:tr w:rsidR="005B54AB" w:rsidRPr="00D63D83" w14:paraId="3B2C3A89" w14:textId="77777777" w:rsidTr="008E76F5">
        <w:trPr>
          <w:gridAfter w:val="1"/>
          <w:wAfter w:w="12" w:type="dxa"/>
          <w:trHeight w:val="50"/>
          <w:jc w:val="center"/>
        </w:trPr>
        <w:tc>
          <w:tcPr>
            <w:tcW w:w="1252" w:type="dxa"/>
          </w:tcPr>
          <w:p w14:paraId="0EE20408" w14:textId="6E420E1F" w:rsidR="005B54AB" w:rsidRPr="00D63D83"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Gloriela Brenes Murillo</w:t>
            </w:r>
          </w:p>
        </w:tc>
        <w:tc>
          <w:tcPr>
            <w:tcW w:w="1530" w:type="dxa"/>
          </w:tcPr>
          <w:p w14:paraId="0FC15BF5" w14:textId="7724BAA3" w:rsidR="005B54AB" w:rsidRPr="008E76F5"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Vigilancia de la Salud </w:t>
            </w:r>
          </w:p>
        </w:tc>
        <w:tc>
          <w:tcPr>
            <w:tcW w:w="938" w:type="dxa"/>
          </w:tcPr>
          <w:p w14:paraId="07F19090" w14:textId="3B3CB773" w:rsidR="005B54AB" w:rsidRPr="008E76F5"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16</w:t>
            </w:r>
            <w:r>
              <w:rPr>
                <w:rFonts w:eastAsia="Times New Roman"/>
                <w:sz w:val="20"/>
                <w:szCs w:val="20"/>
                <w:lang w:val="es-CR" w:eastAsia="es-CR"/>
              </w:rPr>
              <w:t xml:space="preserve"> de octubre de 2025</w:t>
            </w:r>
          </w:p>
        </w:tc>
        <w:tc>
          <w:tcPr>
            <w:tcW w:w="1230" w:type="dxa"/>
          </w:tcPr>
          <w:p w14:paraId="59438D86" w14:textId="486A4C6D" w:rsidR="005B54AB" w:rsidRPr="008E76F5"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17</w:t>
            </w:r>
            <w:r>
              <w:rPr>
                <w:rFonts w:eastAsia="Times New Roman"/>
                <w:sz w:val="20"/>
                <w:szCs w:val="20"/>
                <w:lang w:val="es-CR" w:eastAsia="es-CR"/>
              </w:rPr>
              <w:t xml:space="preserve"> de octubre de 2025</w:t>
            </w:r>
          </w:p>
        </w:tc>
        <w:tc>
          <w:tcPr>
            <w:tcW w:w="1119" w:type="dxa"/>
          </w:tcPr>
          <w:p w14:paraId="0F9923C7" w14:textId="4F2A4A90" w:rsidR="005B54AB" w:rsidRPr="008E76F5"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Perú</w:t>
            </w:r>
          </w:p>
        </w:tc>
        <w:tc>
          <w:tcPr>
            <w:tcW w:w="1830" w:type="dxa"/>
          </w:tcPr>
          <w:p w14:paraId="00FE3175" w14:textId="247B64D5" w:rsidR="005B54AB" w:rsidRPr="008E76F5"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Equidad en salud: datos sobre etnicidad y género para la equidad en salud.</w:t>
            </w:r>
          </w:p>
        </w:tc>
        <w:tc>
          <w:tcPr>
            <w:tcW w:w="1957" w:type="dxa"/>
          </w:tcPr>
          <w:p w14:paraId="32BC16C5" w14:textId="2CD81626" w:rsidR="005B54AB" w:rsidRPr="008E76F5"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 xml:space="preserve">No se asumen compromisos. </w:t>
            </w:r>
          </w:p>
        </w:tc>
        <w:tc>
          <w:tcPr>
            <w:tcW w:w="1876" w:type="dxa"/>
          </w:tcPr>
          <w:p w14:paraId="1C516797" w14:textId="77777777" w:rsidR="005B54AB"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Organización Panamericana de la Salud (OPS)</w:t>
            </w:r>
          </w:p>
          <w:p w14:paraId="79FFCD1D" w14:textId="77777777" w:rsidR="005B54AB" w:rsidRDefault="005B54AB" w:rsidP="005B54AB">
            <w:pPr>
              <w:spacing w:line="240" w:lineRule="auto"/>
              <w:rPr>
                <w:rFonts w:eastAsia="Times New Roman"/>
                <w:sz w:val="20"/>
                <w:szCs w:val="20"/>
                <w:lang w:val="es-CR" w:eastAsia="es-CR"/>
              </w:rPr>
            </w:pPr>
            <w:proofErr w:type="spellStart"/>
            <w:r>
              <w:rPr>
                <w:rFonts w:eastAsia="Times New Roman"/>
                <w:sz w:val="20"/>
                <w:szCs w:val="20"/>
                <w:lang w:val="es-CR" w:eastAsia="es-CR"/>
              </w:rPr>
              <w:t>C</w:t>
            </w:r>
            <w:r w:rsidRPr="008E76F5">
              <w:rPr>
                <w:rFonts w:eastAsia="Times New Roman"/>
                <w:sz w:val="20"/>
                <w:szCs w:val="20"/>
                <w:lang w:val="es-CR" w:eastAsia="es-CR"/>
              </w:rPr>
              <w:t>ELAC</w:t>
            </w:r>
            <w:proofErr w:type="spellEnd"/>
          </w:p>
          <w:p w14:paraId="74C23F0F" w14:textId="656CD9C1" w:rsidR="005B54AB" w:rsidRPr="008E76F5" w:rsidRDefault="005B54AB" w:rsidP="005B54AB">
            <w:pPr>
              <w:spacing w:line="240" w:lineRule="auto"/>
              <w:rPr>
                <w:rFonts w:eastAsia="Times New Roman"/>
                <w:sz w:val="20"/>
                <w:szCs w:val="20"/>
                <w:lang w:val="es-CR" w:eastAsia="es-CR"/>
              </w:rPr>
            </w:pPr>
            <w:r w:rsidRPr="008E76F5">
              <w:rPr>
                <w:rFonts w:eastAsia="Times New Roman"/>
                <w:sz w:val="20"/>
                <w:szCs w:val="20"/>
                <w:lang w:val="es-CR" w:eastAsia="es-CR"/>
              </w:rPr>
              <w:t>Comunidad Andina</w:t>
            </w:r>
          </w:p>
        </w:tc>
        <w:tc>
          <w:tcPr>
            <w:tcW w:w="1488" w:type="dxa"/>
          </w:tcPr>
          <w:p w14:paraId="5AFA1055" w14:textId="6DA179DB" w:rsidR="005B54AB" w:rsidRPr="008E76F5" w:rsidRDefault="005B54AB" w:rsidP="005B54AB">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46516213" w14:textId="77777777" w:rsidR="005B54AB" w:rsidRPr="008E76F5" w:rsidRDefault="005B54AB" w:rsidP="005B54AB">
            <w:pPr>
              <w:spacing w:line="240" w:lineRule="auto"/>
              <w:rPr>
                <w:rFonts w:eastAsia="Times New Roman"/>
                <w:sz w:val="20"/>
                <w:szCs w:val="20"/>
                <w:lang w:val="es-CR" w:eastAsia="es-CR"/>
              </w:rPr>
            </w:pPr>
          </w:p>
        </w:tc>
      </w:tr>
      <w:tr w:rsidR="008E76F5" w:rsidRPr="00D63D83" w14:paraId="7B9334DD" w14:textId="77777777" w:rsidTr="008E76F5">
        <w:trPr>
          <w:gridAfter w:val="1"/>
          <w:wAfter w:w="12" w:type="dxa"/>
          <w:trHeight w:val="50"/>
          <w:jc w:val="center"/>
        </w:trPr>
        <w:tc>
          <w:tcPr>
            <w:tcW w:w="1252" w:type="dxa"/>
          </w:tcPr>
          <w:p w14:paraId="2ACE6620" w14:textId="6C08A161"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Mónica Fuentes Mendoza</w:t>
            </w:r>
          </w:p>
        </w:tc>
        <w:tc>
          <w:tcPr>
            <w:tcW w:w="1530" w:type="dxa"/>
          </w:tcPr>
          <w:p w14:paraId="4B30909F" w14:textId="2223EF4A"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Despacho Ministerial </w:t>
            </w:r>
          </w:p>
        </w:tc>
        <w:tc>
          <w:tcPr>
            <w:tcW w:w="938" w:type="dxa"/>
          </w:tcPr>
          <w:p w14:paraId="21290A0B" w14:textId="556860A8"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21</w:t>
            </w:r>
            <w:r w:rsidR="005B54AB">
              <w:rPr>
                <w:rFonts w:eastAsia="Times New Roman"/>
                <w:sz w:val="20"/>
                <w:szCs w:val="20"/>
                <w:lang w:val="es-CR" w:eastAsia="es-CR"/>
              </w:rPr>
              <w:t xml:space="preserve"> de octubre de 2025</w:t>
            </w:r>
          </w:p>
        </w:tc>
        <w:tc>
          <w:tcPr>
            <w:tcW w:w="1230" w:type="dxa"/>
          </w:tcPr>
          <w:p w14:paraId="3E72F926" w14:textId="5D6A8B84"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22</w:t>
            </w:r>
            <w:r w:rsidR="005B54AB">
              <w:rPr>
                <w:rFonts w:eastAsia="Times New Roman"/>
                <w:sz w:val="20"/>
                <w:szCs w:val="20"/>
                <w:lang w:val="es-CR" w:eastAsia="es-CR"/>
              </w:rPr>
              <w:t xml:space="preserve"> de octubre de 2025</w:t>
            </w:r>
          </w:p>
        </w:tc>
        <w:tc>
          <w:tcPr>
            <w:tcW w:w="1119" w:type="dxa"/>
          </w:tcPr>
          <w:p w14:paraId="5BCD06A3" w14:textId="227CA8F0"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Perú</w:t>
            </w:r>
          </w:p>
        </w:tc>
        <w:tc>
          <w:tcPr>
            <w:tcW w:w="1830" w:type="dxa"/>
          </w:tcPr>
          <w:p w14:paraId="63848144" w14:textId="2369B357"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Sexto Encuentro de Cooperación Regulatoria de América Latina sobre Sustancias Químicas Industriales</w:t>
            </w:r>
          </w:p>
        </w:tc>
        <w:tc>
          <w:tcPr>
            <w:tcW w:w="1957" w:type="dxa"/>
          </w:tcPr>
          <w:p w14:paraId="6D5FF6AD" w14:textId="2911D444"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No se asumen compromisos. </w:t>
            </w:r>
          </w:p>
        </w:tc>
        <w:tc>
          <w:tcPr>
            <w:tcW w:w="1876" w:type="dxa"/>
          </w:tcPr>
          <w:p w14:paraId="0EC184F8" w14:textId="77777777" w:rsidR="005B54AB"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Sociedad Nacional de Industrias (</w:t>
            </w:r>
            <w:proofErr w:type="spellStart"/>
            <w:r w:rsidRPr="008E76F5">
              <w:rPr>
                <w:rFonts w:eastAsia="Times New Roman"/>
                <w:sz w:val="20"/>
                <w:szCs w:val="20"/>
                <w:lang w:val="es-CR" w:eastAsia="es-CR"/>
              </w:rPr>
              <w:t>SNI</w:t>
            </w:r>
            <w:proofErr w:type="spellEnd"/>
            <w:r w:rsidRPr="008E76F5">
              <w:rPr>
                <w:rFonts w:eastAsia="Times New Roman"/>
                <w:sz w:val="20"/>
                <w:szCs w:val="20"/>
                <w:lang w:val="es-CR" w:eastAsia="es-CR"/>
              </w:rPr>
              <w:t>) de Perú</w:t>
            </w:r>
          </w:p>
          <w:p w14:paraId="463E0A19" w14:textId="77777777" w:rsidR="005B54AB"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Programa de las Naciones Unidas para el Medio Ambiente (</w:t>
            </w:r>
            <w:proofErr w:type="spellStart"/>
            <w:r w:rsidRPr="008E76F5">
              <w:rPr>
                <w:rFonts w:eastAsia="Times New Roman"/>
                <w:sz w:val="20"/>
                <w:szCs w:val="20"/>
                <w:lang w:val="es-CR" w:eastAsia="es-CR"/>
              </w:rPr>
              <w:t>PNUMA</w:t>
            </w:r>
            <w:proofErr w:type="spellEnd"/>
            <w:r w:rsidRPr="008E76F5">
              <w:rPr>
                <w:rFonts w:eastAsia="Times New Roman"/>
                <w:sz w:val="20"/>
                <w:szCs w:val="20"/>
                <w:lang w:val="es-CR" w:eastAsia="es-CR"/>
              </w:rPr>
              <w:t>)</w:t>
            </w:r>
          </w:p>
          <w:p w14:paraId="1A477D17" w14:textId="77777777" w:rsidR="005B54AB"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Consejo Internacional de Asociaciones Químicas (</w:t>
            </w:r>
            <w:proofErr w:type="spellStart"/>
            <w:r w:rsidRPr="008E76F5">
              <w:rPr>
                <w:rFonts w:eastAsia="Times New Roman"/>
                <w:sz w:val="20"/>
                <w:szCs w:val="20"/>
                <w:lang w:val="es-CR" w:eastAsia="es-CR"/>
              </w:rPr>
              <w:t>ICCA</w:t>
            </w:r>
            <w:proofErr w:type="spellEnd"/>
            <w:r w:rsidRPr="008E76F5">
              <w:rPr>
                <w:rFonts w:eastAsia="Times New Roman"/>
                <w:sz w:val="20"/>
                <w:szCs w:val="20"/>
                <w:lang w:val="es-CR" w:eastAsia="es-CR"/>
              </w:rPr>
              <w:t>)</w:t>
            </w:r>
          </w:p>
          <w:p w14:paraId="1587370C" w14:textId="01FDD28A"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Foro Latinoamericano de Cooperación Regulatoria (</w:t>
            </w:r>
            <w:proofErr w:type="spellStart"/>
            <w:r w:rsidRPr="008E76F5">
              <w:rPr>
                <w:rFonts w:eastAsia="Times New Roman"/>
                <w:sz w:val="20"/>
                <w:szCs w:val="20"/>
                <w:lang w:val="es-CR" w:eastAsia="es-CR"/>
              </w:rPr>
              <w:t>LARCF</w:t>
            </w:r>
            <w:proofErr w:type="spellEnd"/>
            <w:r w:rsidRPr="008E76F5">
              <w:rPr>
                <w:rFonts w:eastAsia="Times New Roman"/>
                <w:sz w:val="20"/>
                <w:szCs w:val="20"/>
                <w:lang w:val="es-CR" w:eastAsia="es-CR"/>
              </w:rPr>
              <w:t>)</w:t>
            </w:r>
          </w:p>
        </w:tc>
        <w:tc>
          <w:tcPr>
            <w:tcW w:w="1488" w:type="dxa"/>
          </w:tcPr>
          <w:p w14:paraId="7F5785EC" w14:textId="01829AAE"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No se giran viáticos institucionales.</w:t>
            </w:r>
            <w:r w:rsidR="005B54AB">
              <w:rPr>
                <w:rFonts w:eastAsia="Times New Roman"/>
                <w:sz w:val="20"/>
                <w:szCs w:val="20"/>
                <w:lang w:val="es-CR" w:eastAsia="es-CR"/>
              </w:rPr>
              <w:t xml:space="preserve"> </w:t>
            </w:r>
          </w:p>
        </w:tc>
        <w:tc>
          <w:tcPr>
            <w:tcW w:w="1578" w:type="dxa"/>
          </w:tcPr>
          <w:p w14:paraId="5BB9A246" w14:textId="77777777" w:rsidR="008E76F5" w:rsidRPr="008E76F5" w:rsidRDefault="008E76F5" w:rsidP="008E76F5">
            <w:pPr>
              <w:spacing w:line="240" w:lineRule="auto"/>
              <w:rPr>
                <w:rFonts w:eastAsia="Times New Roman"/>
                <w:sz w:val="20"/>
                <w:szCs w:val="20"/>
                <w:lang w:val="es-CR" w:eastAsia="es-CR"/>
              </w:rPr>
            </w:pPr>
          </w:p>
        </w:tc>
      </w:tr>
      <w:tr w:rsidR="008E76F5" w:rsidRPr="00D63D83" w14:paraId="0D3270E0" w14:textId="77777777" w:rsidTr="005B54AB">
        <w:trPr>
          <w:gridAfter w:val="1"/>
          <w:wAfter w:w="12" w:type="dxa"/>
          <w:trHeight w:val="50"/>
          <w:jc w:val="center"/>
        </w:trPr>
        <w:tc>
          <w:tcPr>
            <w:tcW w:w="1252" w:type="dxa"/>
          </w:tcPr>
          <w:p w14:paraId="595FEF88" w14:textId="05158555"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Andrea Garita Castro</w:t>
            </w:r>
          </w:p>
        </w:tc>
        <w:tc>
          <w:tcPr>
            <w:tcW w:w="1530" w:type="dxa"/>
          </w:tcPr>
          <w:p w14:paraId="507507F3" w14:textId="25A8CC85"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Planificación </w:t>
            </w:r>
          </w:p>
        </w:tc>
        <w:tc>
          <w:tcPr>
            <w:tcW w:w="938" w:type="dxa"/>
          </w:tcPr>
          <w:p w14:paraId="34BEE36C" w14:textId="04C476D4"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21</w:t>
            </w:r>
            <w:r w:rsidR="005B54AB">
              <w:rPr>
                <w:rFonts w:eastAsia="Times New Roman"/>
                <w:sz w:val="20"/>
                <w:szCs w:val="20"/>
                <w:lang w:val="es-CR" w:eastAsia="es-CR"/>
              </w:rPr>
              <w:t xml:space="preserve"> de octubre de 2025</w:t>
            </w:r>
          </w:p>
        </w:tc>
        <w:tc>
          <w:tcPr>
            <w:tcW w:w="1230" w:type="dxa"/>
          </w:tcPr>
          <w:p w14:paraId="1A278087" w14:textId="64A471E7"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22</w:t>
            </w:r>
            <w:r w:rsidR="005B54AB">
              <w:rPr>
                <w:rFonts w:eastAsia="Times New Roman"/>
                <w:sz w:val="20"/>
                <w:szCs w:val="20"/>
                <w:lang w:val="es-CR" w:eastAsia="es-CR"/>
              </w:rPr>
              <w:t xml:space="preserve"> de octubre de 2025</w:t>
            </w:r>
          </w:p>
        </w:tc>
        <w:tc>
          <w:tcPr>
            <w:tcW w:w="1119" w:type="dxa"/>
          </w:tcPr>
          <w:p w14:paraId="787A69CC" w14:textId="76F3C896"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Panamá</w:t>
            </w:r>
          </w:p>
        </w:tc>
        <w:tc>
          <w:tcPr>
            <w:tcW w:w="1830" w:type="dxa"/>
          </w:tcPr>
          <w:p w14:paraId="0B399E24" w14:textId="016320FA"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VII Foro Intersectorial Regional para la Salud de Centroamérica y República Dominicana</w:t>
            </w:r>
          </w:p>
        </w:tc>
        <w:tc>
          <w:tcPr>
            <w:tcW w:w="1957" w:type="dxa"/>
            <w:vAlign w:val="center"/>
          </w:tcPr>
          <w:p w14:paraId="3C747543" w14:textId="6BBF1CDF" w:rsidR="008E76F5" w:rsidRPr="005B54AB" w:rsidRDefault="005B54AB" w:rsidP="005B54AB">
            <w:pPr>
              <w:spacing w:line="240" w:lineRule="auto"/>
              <w:jc w:val="center"/>
              <w:rPr>
                <w:rFonts w:eastAsia="Times New Roman"/>
                <w:i/>
                <w:iCs/>
                <w:sz w:val="20"/>
                <w:szCs w:val="20"/>
                <w:lang w:val="es-CR" w:eastAsia="es-CR"/>
              </w:rPr>
            </w:pPr>
            <w:r>
              <w:rPr>
                <w:rFonts w:eastAsia="Times New Roman"/>
                <w:i/>
                <w:iCs/>
                <w:sz w:val="20"/>
                <w:szCs w:val="20"/>
                <w:lang w:val="es-CR" w:eastAsia="es-CR"/>
              </w:rPr>
              <w:t>Informe pendiente</w:t>
            </w:r>
          </w:p>
        </w:tc>
        <w:tc>
          <w:tcPr>
            <w:tcW w:w="1876" w:type="dxa"/>
          </w:tcPr>
          <w:p w14:paraId="6F73BA01" w14:textId="77777777" w:rsidR="005B54AB"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Secretaría Ejecutiva del Consejo de Ministros de Salud de Centroamérica y República Dominicana (SE-COMISCA)</w:t>
            </w:r>
          </w:p>
          <w:p w14:paraId="5AC36F4B" w14:textId="45B3A7B5"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Ministerio de Salud de Panamá </w:t>
            </w:r>
          </w:p>
        </w:tc>
        <w:tc>
          <w:tcPr>
            <w:tcW w:w="1488" w:type="dxa"/>
          </w:tcPr>
          <w:p w14:paraId="169175ED" w14:textId="76EB5387"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6565CB3B" w14:textId="53821107" w:rsidR="008E76F5" w:rsidRPr="008E76F5" w:rsidRDefault="008E76F5" w:rsidP="008E76F5">
            <w:pPr>
              <w:spacing w:line="240" w:lineRule="auto"/>
              <w:rPr>
                <w:rFonts w:eastAsia="Times New Roman"/>
                <w:sz w:val="20"/>
                <w:szCs w:val="20"/>
                <w:lang w:val="es-CR" w:eastAsia="es-CR"/>
              </w:rPr>
            </w:pPr>
          </w:p>
        </w:tc>
      </w:tr>
      <w:tr w:rsidR="008E76F5" w:rsidRPr="00D63D83" w14:paraId="6304D8E6" w14:textId="77777777" w:rsidTr="008E76F5">
        <w:trPr>
          <w:gridAfter w:val="1"/>
          <w:wAfter w:w="12" w:type="dxa"/>
          <w:trHeight w:val="50"/>
          <w:jc w:val="center"/>
        </w:trPr>
        <w:tc>
          <w:tcPr>
            <w:tcW w:w="1252" w:type="dxa"/>
          </w:tcPr>
          <w:p w14:paraId="6320FE11" w14:textId="7A299D0B"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María José Lafuente González</w:t>
            </w:r>
          </w:p>
        </w:tc>
        <w:tc>
          <w:tcPr>
            <w:tcW w:w="1530" w:type="dxa"/>
          </w:tcPr>
          <w:p w14:paraId="03BFB0F7" w14:textId="297AA48F"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Vigilancia de la Salud </w:t>
            </w:r>
          </w:p>
        </w:tc>
        <w:tc>
          <w:tcPr>
            <w:tcW w:w="938" w:type="dxa"/>
          </w:tcPr>
          <w:p w14:paraId="6BF49E96" w14:textId="4813C6CE"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21</w:t>
            </w:r>
            <w:r w:rsidR="005B54AB">
              <w:rPr>
                <w:rFonts w:eastAsia="Times New Roman"/>
                <w:sz w:val="20"/>
                <w:szCs w:val="20"/>
                <w:lang w:val="es-CR" w:eastAsia="es-CR"/>
              </w:rPr>
              <w:t xml:space="preserve"> de octubre de 2025</w:t>
            </w:r>
          </w:p>
        </w:tc>
        <w:tc>
          <w:tcPr>
            <w:tcW w:w="1230" w:type="dxa"/>
          </w:tcPr>
          <w:p w14:paraId="2274DCCD" w14:textId="60833E3C"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22</w:t>
            </w:r>
            <w:r w:rsidR="005B54AB">
              <w:rPr>
                <w:rFonts w:eastAsia="Times New Roman"/>
                <w:sz w:val="20"/>
                <w:szCs w:val="20"/>
                <w:lang w:val="es-CR" w:eastAsia="es-CR"/>
              </w:rPr>
              <w:t xml:space="preserve"> de octubre de 2025</w:t>
            </w:r>
          </w:p>
        </w:tc>
        <w:tc>
          <w:tcPr>
            <w:tcW w:w="1119" w:type="dxa"/>
          </w:tcPr>
          <w:p w14:paraId="78476522" w14:textId="636D6CB1"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Panamá</w:t>
            </w:r>
          </w:p>
        </w:tc>
        <w:tc>
          <w:tcPr>
            <w:tcW w:w="1830" w:type="dxa"/>
          </w:tcPr>
          <w:p w14:paraId="65FFC030" w14:textId="77EFB623"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VII Foro Intersectorial Regional para la Salud de Centroamérica y República Dominicana</w:t>
            </w:r>
          </w:p>
        </w:tc>
        <w:tc>
          <w:tcPr>
            <w:tcW w:w="1957" w:type="dxa"/>
          </w:tcPr>
          <w:p w14:paraId="1F7CCE93" w14:textId="7D2BAA74"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Estas propuestas técnicas se elevarán a los Consejos de Ministros del SICA, acompañadas de la justificación técnica que respalda su inclusión y una propuesta de resolución. Se utilizará, además, como insumo para la Presidencia </w:t>
            </w:r>
            <w:proofErr w:type="gramStart"/>
            <w:r w:rsidRPr="008E76F5">
              <w:rPr>
                <w:rFonts w:eastAsia="Times New Roman"/>
                <w:sz w:val="20"/>
                <w:szCs w:val="20"/>
                <w:lang w:val="es-CR" w:eastAsia="es-CR"/>
              </w:rPr>
              <w:t>Pro Témpore</w:t>
            </w:r>
            <w:proofErr w:type="gramEnd"/>
            <w:r w:rsidRPr="008E76F5">
              <w:rPr>
                <w:rFonts w:eastAsia="Times New Roman"/>
                <w:sz w:val="20"/>
                <w:szCs w:val="20"/>
                <w:lang w:val="es-CR" w:eastAsia="es-CR"/>
              </w:rPr>
              <w:t xml:space="preserve"> del COMISCA, para la preparación de agenda respectiva de la reunión del Consejo. El seguimiento a los productos y recomendaciones </w:t>
            </w:r>
            <w:r w:rsidRPr="008E76F5">
              <w:rPr>
                <w:rFonts w:eastAsia="Times New Roman"/>
                <w:sz w:val="20"/>
                <w:szCs w:val="20"/>
                <w:lang w:val="es-CR" w:eastAsia="es-CR"/>
              </w:rPr>
              <w:lastRenderedPageBreak/>
              <w:t xml:space="preserve">del VII Foro Intersectorial Regional para la Salud estará a cargo de la Presidencia </w:t>
            </w:r>
            <w:proofErr w:type="gramStart"/>
            <w:r w:rsidRPr="008E76F5">
              <w:rPr>
                <w:rFonts w:eastAsia="Times New Roman"/>
                <w:sz w:val="20"/>
                <w:szCs w:val="20"/>
                <w:lang w:val="es-CR" w:eastAsia="es-CR"/>
              </w:rPr>
              <w:t>Pro Témpore</w:t>
            </w:r>
            <w:proofErr w:type="gramEnd"/>
            <w:r w:rsidRPr="008E76F5">
              <w:rPr>
                <w:rFonts w:eastAsia="Times New Roman"/>
                <w:sz w:val="20"/>
                <w:szCs w:val="20"/>
                <w:lang w:val="es-CR" w:eastAsia="es-CR"/>
              </w:rPr>
              <w:t xml:space="preserve">, el CEIP, las Instancias Técnicas Operativas y la SE-COMISCA, quienes, además, identificarán y pondrán en práctica instrumentos ágiles, para dar seguimiento a la implementación de las resoluciones del COMISCA en aquellos temas que emanen del VII Foro Intersectorial Regional para la Salud. La SE-COMISCA identificará los mecanismos para el seguimiento de los compromisos que asuman los otros sectores que participan en la </w:t>
            </w:r>
            <w:r w:rsidRPr="008E76F5">
              <w:rPr>
                <w:rFonts w:eastAsia="Times New Roman"/>
                <w:sz w:val="20"/>
                <w:szCs w:val="20"/>
                <w:lang w:val="es-CR" w:eastAsia="es-CR"/>
              </w:rPr>
              <w:lastRenderedPageBreak/>
              <w:t>discusión y decisión de los temas estratégicos. Los documentos que se generen en el proceso y espacio propio del VII Foro Intersectorial Regional para la Salud de Centroamérica y República Dominicana estarán disponibles para el conocimiento general, mediante su publicación en los medios virtuales de los que la SE</w:t>
            </w:r>
            <w:r w:rsidR="005B54AB">
              <w:rPr>
                <w:rFonts w:eastAsia="Times New Roman"/>
                <w:sz w:val="20"/>
                <w:szCs w:val="20"/>
                <w:lang w:val="es-CR" w:eastAsia="es-CR"/>
              </w:rPr>
              <w:t>-</w:t>
            </w:r>
            <w:r w:rsidRPr="008E76F5">
              <w:rPr>
                <w:rFonts w:eastAsia="Times New Roman"/>
                <w:sz w:val="20"/>
                <w:szCs w:val="20"/>
                <w:lang w:val="es-CR" w:eastAsia="es-CR"/>
              </w:rPr>
              <w:t>COMISCA dispone, creando, además, el mecanismo para el informe técnico del Foro Intersectorial Regional.</w:t>
            </w:r>
          </w:p>
        </w:tc>
        <w:tc>
          <w:tcPr>
            <w:tcW w:w="1876" w:type="dxa"/>
          </w:tcPr>
          <w:p w14:paraId="5C853210" w14:textId="77777777" w:rsidR="005B54AB"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Secretaría Ejecutiva del Consejo de Ministros de Salud de Centroamérica y República Dominicana (SE-COMISCA)</w:t>
            </w:r>
          </w:p>
          <w:p w14:paraId="120DAEC7" w14:textId="7CDE7496"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Ministerio de Salud de Panamá </w:t>
            </w:r>
          </w:p>
        </w:tc>
        <w:tc>
          <w:tcPr>
            <w:tcW w:w="1488" w:type="dxa"/>
          </w:tcPr>
          <w:p w14:paraId="31F6C5CF" w14:textId="6DB953D6"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630F74E8" w14:textId="37BD69DF" w:rsidR="008E76F5" w:rsidRPr="008E76F5" w:rsidRDefault="008E76F5" w:rsidP="008E76F5">
            <w:pPr>
              <w:spacing w:line="240" w:lineRule="auto"/>
              <w:rPr>
                <w:rFonts w:eastAsia="Times New Roman"/>
                <w:sz w:val="20"/>
                <w:szCs w:val="20"/>
                <w:lang w:val="es-CR" w:eastAsia="es-CR"/>
              </w:rPr>
            </w:pPr>
          </w:p>
        </w:tc>
      </w:tr>
      <w:tr w:rsidR="008E76F5" w:rsidRPr="00D63D83" w14:paraId="0F80F581" w14:textId="77777777" w:rsidTr="008E76F5">
        <w:trPr>
          <w:gridAfter w:val="1"/>
          <w:wAfter w:w="12" w:type="dxa"/>
          <w:trHeight w:val="50"/>
          <w:jc w:val="center"/>
        </w:trPr>
        <w:tc>
          <w:tcPr>
            <w:tcW w:w="1252" w:type="dxa"/>
          </w:tcPr>
          <w:p w14:paraId="4C01C99E" w14:textId="040DC1C6" w:rsidR="008E76F5" w:rsidRPr="00D63D83" w:rsidRDefault="008E76F5" w:rsidP="008E76F5">
            <w:pPr>
              <w:spacing w:line="240" w:lineRule="auto"/>
              <w:rPr>
                <w:rFonts w:eastAsia="Times New Roman"/>
                <w:sz w:val="20"/>
                <w:szCs w:val="20"/>
                <w:lang w:val="es-CR" w:eastAsia="es-CR"/>
              </w:rPr>
            </w:pPr>
            <w:proofErr w:type="spellStart"/>
            <w:r w:rsidRPr="008E76F5">
              <w:rPr>
                <w:rFonts w:eastAsia="Times New Roman"/>
                <w:sz w:val="20"/>
                <w:szCs w:val="20"/>
                <w:lang w:val="es-CR" w:eastAsia="es-CR"/>
              </w:rPr>
              <w:lastRenderedPageBreak/>
              <w:t>Jennyffer</w:t>
            </w:r>
            <w:proofErr w:type="spellEnd"/>
            <w:r w:rsidRPr="008E76F5">
              <w:rPr>
                <w:rFonts w:eastAsia="Times New Roman"/>
                <w:sz w:val="20"/>
                <w:szCs w:val="20"/>
                <w:lang w:val="es-CR" w:eastAsia="es-CR"/>
              </w:rPr>
              <w:t xml:space="preserve"> González Luna</w:t>
            </w:r>
          </w:p>
        </w:tc>
        <w:tc>
          <w:tcPr>
            <w:tcW w:w="1530" w:type="dxa"/>
          </w:tcPr>
          <w:p w14:paraId="7BA098F9" w14:textId="1ECF6867"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Vigilancia de la Salud </w:t>
            </w:r>
          </w:p>
        </w:tc>
        <w:tc>
          <w:tcPr>
            <w:tcW w:w="938" w:type="dxa"/>
          </w:tcPr>
          <w:p w14:paraId="5B197BD8" w14:textId="21DDB934"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21</w:t>
            </w:r>
            <w:r w:rsidR="005B54AB">
              <w:rPr>
                <w:rFonts w:eastAsia="Times New Roman"/>
                <w:sz w:val="20"/>
                <w:szCs w:val="20"/>
                <w:lang w:val="es-CR" w:eastAsia="es-CR"/>
              </w:rPr>
              <w:t xml:space="preserve"> de octubre de 2025</w:t>
            </w:r>
          </w:p>
        </w:tc>
        <w:tc>
          <w:tcPr>
            <w:tcW w:w="1230" w:type="dxa"/>
          </w:tcPr>
          <w:p w14:paraId="7BB1032E" w14:textId="4D1F80FB"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22</w:t>
            </w:r>
            <w:r w:rsidR="005B54AB">
              <w:rPr>
                <w:rFonts w:eastAsia="Times New Roman"/>
                <w:sz w:val="20"/>
                <w:szCs w:val="20"/>
                <w:lang w:val="es-CR" w:eastAsia="es-CR"/>
              </w:rPr>
              <w:t xml:space="preserve"> de octubre de 2025</w:t>
            </w:r>
          </w:p>
        </w:tc>
        <w:tc>
          <w:tcPr>
            <w:tcW w:w="1119" w:type="dxa"/>
          </w:tcPr>
          <w:p w14:paraId="50D3E343" w14:textId="028C437F"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Panamá</w:t>
            </w:r>
          </w:p>
        </w:tc>
        <w:tc>
          <w:tcPr>
            <w:tcW w:w="1830" w:type="dxa"/>
          </w:tcPr>
          <w:p w14:paraId="6BC25C60" w14:textId="5A061815"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VII Foro Intersectorial Regional para la Salud de Centroamérica y República Dominicana</w:t>
            </w:r>
          </w:p>
        </w:tc>
        <w:tc>
          <w:tcPr>
            <w:tcW w:w="1957" w:type="dxa"/>
          </w:tcPr>
          <w:p w14:paraId="1A5EC351" w14:textId="36D6B945"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 --</w:t>
            </w:r>
          </w:p>
        </w:tc>
        <w:tc>
          <w:tcPr>
            <w:tcW w:w="1876" w:type="dxa"/>
          </w:tcPr>
          <w:p w14:paraId="4077B864" w14:textId="668E5C2A"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Secretaría Ejecutiva del Consejo de Ministros de Salud de Centroamérica y República Dominicana (SE-COMISCA)</w:t>
            </w:r>
            <w:r w:rsidRPr="008E76F5">
              <w:rPr>
                <w:rFonts w:eastAsia="Times New Roman"/>
                <w:sz w:val="20"/>
                <w:szCs w:val="20"/>
                <w:lang w:val="es-CR" w:eastAsia="es-CR"/>
              </w:rPr>
              <w:br/>
            </w:r>
            <w:r w:rsidRPr="008E76F5">
              <w:rPr>
                <w:rFonts w:eastAsia="Times New Roman"/>
                <w:sz w:val="20"/>
                <w:szCs w:val="20"/>
                <w:lang w:val="es-CR" w:eastAsia="es-CR"/>
              </w:rPr>
              <w:lastRenderedPageBreak/>
              <w:t xml:space="preserve">Ministerio de Salud de Panamá </w:t>
            </w:r>
          </w:p>
        </w:tc>
        <w:tc>
          <w:tcPr>
            <w:tcW w:w="1488" w:type="dxa"/>
          </w:tcPr>
          <w:p w14:paraId="4BE9B67C" w14:textId="101916AA"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lastRenderedPageBreak/>
              <w:t xml:space="preserve">No se giran viáticos institucionales. </w:t>
            </w:r>
          </w:p>
        </w:tc>
        <w:tc>
          <w:tcPr>
            <w:tcW w:w="1578" w:type="dxa"/>
          </w:tcPr>
          <w:p w14:paraId="600A8AF0" w14:textId="0D35123F"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Queda sin efecto por medio del oficio CARTA-MS-DM-5719-2025.</w:t>
            </w:r>
          </w:p>
        </w:tc>
      </w:tr>
      <w:tr w:rsidR="008E76F5" w:rsidRPr="00D63D83" w14:paraId="0C00086F" w14:textId="77777777" w:rsidTr="008E76F5">
        <w:trPr>
          <w:gridAfter w:val="1"/>
          <w:wAfter w:w="12" w:type="dxa"/>
          <w:trHeight w:val="50"/>
          <w:jc w:val="center"/>
        </w:trPr>
        <w:tc>
          <w:tcPr>
            <w:tcW w:w="1252" w:type="dxa"/>
          </w:tcPr>
          <w:p w14:paraId="615700F2" w14:textId="4809BED9"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Pedro </w:t>
            </w:r>
            <w:proofErr w:type="spellStart"/>
            <w:r w:rsidRPr="008E76F5">
              <w:rPr>
                <w:rFonts w:eastAsia="Times New Roman"/>
                <w:sz w:val="20"/>
                <w:szCs w:val="20"/>
                <w:lang w:val="es-CR" w:eastAsia="es-CR"/>
              </w:rPr>
              <w:t>Meckbel</w:t>
            </w:r>
            <w:proofErr w:type="spellEnd"/>
            <w:r w:rsidRPr="008E76F5">
              <w:rPr>
                <w:rFonts w:eastAsia="Times New Roman"/>
                <w:sz w:val="20"/>
                <w:szCs w:val="20"/>
                <w:lang w:val="es-CR" w:eastAsia="es-CR"/>
              </w:rPr>
              <w:t xml:space="preserve"> Guillén</w:t>
            </w:r>
          </w:p>
        </w:tc>
        <w:tc>
          <w:tcPr>
            <w:tcW w:w="1530" w:type="dxa"/>
          </w:tcPr>
          <w:p w14:paraId="61CC2EC3" w14:textId="38EB5B02"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Dirección de Transformación y Salud Digital</w:t>
            </w:r>
          </w:p>
        </w:tc>
        <w:tc>
          <w:tcPr>
            <w:tcW w:w="938" w:type="dxa"/>
          </w:tcPr>
          <w:p w14:paraId="712AC96D" w14:textId="4C1FB222"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21</w:t>
            </w:r>
            <w:r w:rsidR="005B54AB">
              <w:rPr>
                <w:rFonts w:eastAsia="Times New Roman"/>
                <w:sz w:val="20"/>
                <w:szCs w:val="20"/>
                <w:lang w:val="es-CR" w:eastAsia="es-CR"/>
              </w:rPr>
              <w:t xml:space="preserve"> de octubre de 2025</w:t>
            </w:r>
          </w:p>
        </w:tc>
        <w:tc>
          <w:tcPr>
            <w:tcW w:w="1230" w:type="dxa"/>
          </w:tcPr>
          <w:p w14:paraId="117E4B98" w14:textId="12BB0205"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22</w:t>
            </w:r>
            <w:r w:rsidR="005B54AB">
              <w:rPr>
                <w:rFonts w:eastAsia="Times New Roman"/>
                <w:sz w:val="20"/>
                <w:szCs w:val="20"/>
                <w:lang w:val="es-CR" w:eastAsia="es-CR"/>
              </w:rPr>
              <w:t xml:space="preserve"> de octubre de 2025</w:t>
            </w:r>
          </w:p>
        </w:tc>
        <w:tc>
          <w:tcPr>
            <w:tcW w:w="1119" w:type="dxa"/>
          </w:tcPr>
          <w:p w14:paraId="3526B666" w14:textId="39BC28CE"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Panamá</w:t>
            </w:r>
          </w:p>
        </w:tc>
        <w:tc>
          <w:tcPr>
            <w:tcW w:w="1830" w:type="dxa"/>
          </w:tcPr>
          <w:p w14:paraId="29303907" w14:textId="02762C86"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VII Foro Intersectorial Regional para la Salud de Centroamérica y República Dominicana</w:t>
            </w:r>
          </w:p>
        </w:tc>
        <w:tc>
          <w:tcPr>
            <w:tcW w:w="1957" w:type="dxa"/>
          </w:tcPr>
          <w:p w14:paraId="3A089071" w14:textId="0A96C150"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Validación de la Estrategia Una Sola Salud del SICA 2026-2030 para su aprobación en los Consejos de Ministros del COMISCA, el CAC y la </w:t>
            </w:r>
            <w:proofErr w:type="spellStart"/>
            <w:r w:rsidRPr="008E76F5">
              <w:rPr>
                <w:rFonts w:eastAsia="Times New Roman"/>
                <w:sz w:val="20"/>
                <w:szCs w:val="20"/>
                <w:lang w:val="es-CR" w:eastAsia="es-CR"/>
              </w:rPr>
              <w:t>CCAD</w:t>
            </w:r>
            <w:proofErr w:type="spellEnd"/>
            <w:r w:rsidRPr="008E76F5">
              <w:rPr>
                <w:rFonts w:eastAsia="Times New Roman"/>
                <w:sz w:val="20"/>
                <w:szCs w:val="20"/>
                <w:lang w:val="es-CR" w:eastAsia="es-CR"/>
              </w:rPr>
              <w:t>. Interoperabilidad de sistemas de información entre sectores bajo el enfoque de Una Sola Salud (Salud Humana, Salud Animal y Salud Ambiental).</w:t>
            </w:r>
          </w:p>
        </w:tc>
        <w:tc>
          <w:tcPr>
            <w:tcW w:w="1876" w:type="dxa"/>
          </w:tcPr>
          <w:p w14:paraId="354382C9" w14:textId="5482C91E"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Secretaría Ejecutiva del Consejo de Ministros de Salud de Centroamérica y República Dominicana (SE-COMISCA)</w:t>
            </w:r>
            <w:r w:rsidRPr="008E76F5">
              <w:rPr>
                <w:rFonts w:eastAsia="Times New Roman"/>
                <w:sz w:val="20"/>
                <w:szCs w:val="20"/>
                <w:lang w:val="es-CR" w:eastAsia="es-CR"/>
              </w:rPr>
              <w:br/>
              <w:t xml:space="preserve">Ministerio de Salud de Panamá </w:t>
            </w:r>
          </w:p>
        </w:tc>
        <w:tc>
          <w:tcPr>
            <w:tcW w:w="1488" w:type="dxa"/>
          </w:tcPr>
          <w:p w14:paraId="79FD16FB" w14:textId="34397DFD"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7D67A3B3" w14:textId="77777777" w:rsidR="008E76F5" w:rsidRPr="008E76F5" w:rsidRDefault="008E76F5" w:rsidP="008E76F5">
            <w:pPr>
              <w:spacing w:line="240" w:lineRule="auto"/>
              <w:rPr>
                <w:rFonts w:eastAsia="Times New Roman"/>
                <w:sz w:val="20"/>
                <w:szCs w:val="20"/>
                <w:lang w:val="es-CR" w:eastAsia="es-CR"/>
              </w:rPr>
            </w:pPr>
          </w:p>
        </w:tc>
      </w:tr>
      <w:tr w:rsidR="008E76F5" w:rsidRPr="00D63D83" w14:paraId="773E5460" w14:textId="77777777" w:rsidTr="008E76F5">
        <w:trPr>
          <w:gridAfter w:val="1"/>
          <w:wAfter w:w="12" w:type="dxa"/>
          <w:trHeight w:val="50"/>
          <w:jc w:val="center"/>
        </w:trPr>
        <w:tc>
          <w:tcPr>
            <w:tcW w:w="1252" w:type="dxa"/>
          </w:tcPr>
          <w:p w14:paraId="78504E48" w14:textId="388E6F69"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Isaac Vargas Roldán</w:t>
            </w:r>
          </w:p>
        </w:tc>
        <w:tc>
          <w:tcPr>
            <w:tcW w:w="1530" w:type="dxa"/>
          </w:tcPr>
          <w:p w14:paraId="3BD816B2" w14:textId="4B54F0B3"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Vigilancia de la Salud </w:t>
            </w:r>
          </w:p>
        </w:tc>
        <w:tc>
          <w:tcPr>
            <w:tcW w:w="938" w:type="dxa"/>
          </w:tcPr>
          <w:p w14:paraId="6BEB6BED" w14:textId="33B70CC3"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21</w:t>
            </w:r>
            <w:r w:rsidR="005B54AB">
              <w:rPr>
                <w:rFonts w:eastAsia="Times New Roman"/>
                <w:sz w:val="20"/>
                <w:szCs w:val="20"/>
                <w:lang w:val="es-CR" w:eastAsia="es-CR"/>
              </w:rPr>
              <w:t xml:space="preserve"> de octubre de 2025</w:t>
            </w:r>
          </w:p>
        </w:tc>
        <w:tc>
          <w:tcPr>
            <w:tcW w:w="1230" w:type="dxa"/>
          </w:tcPr>
          <w:p w14:paraId="419844F4" w14:textId="676880A5"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22</w:t>
            </w:r>
            <w:r w:rsidR="005B54AB">
              <w:rPr>
                <w:rFonts w:eastAsia="Times New Roman"/>
                <w:sz w:val="20"/>
                <w:szCs w:val="20"/>
                <w:lang w:val="es-CR" w:eastAsia="es-CR"/>
              </w:rPr>
              <w:t xml:space="preserve"> de octubre de 2025</w:t>
            </w:r>
          </w:p>
        </w:tc>
        <w:tc>
          <w:tcPr>
            <w:tcW w:w="1119" w:type="dxa"/>
          </w:tcPr>
          <w:p w14:paraId="099A272D" w14:textId="5042ED68"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Panamá</w:t>
            </w:r>
          </w:p>
        </w:tc>
        <w:tc>
          <w:tcPr>
            <w:tcW w:w="1830" w:type="dxa"/>
          </w:tcPr>
          <w:p w14:paraId="79DD975A" w14:textId="329A8F71"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VII Foro Intersectorial Regional para la Salud de Centroamérica y República Dominicana</w:t>
            </w:r>
          </w:p>
        </w:tc>
        <w:tc>
          <w:tcPr>
            <w:tcW w:w="1957" w:type="dxa"/>
          </w:tcPr>
          <w:p w14:paraId="450445C4" w14:textId="6E7DA1AA"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 --</w:t>
            </w:r>
          </w:p>
        </w:tc>
        <w:tc>
          <w:tcPr>
            <w:tcW w:w="1876" w:type="dxa"/>
          </w:tcPr>
          <w:p w14:paraId="4FF54399" w14:textId="64AFD8C3"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Secretaría Ejecutiva del Consejo de Ministros de Salud de Centroamérica y República Dominicana (SE-COMISCA)</w:t>
            </w:r>
            <w:r w:rsidRPr="008E76F5">
              <w:rPr>
                <w:rFonts w:eastAsia="Times New Roman"/>
                <w:sz w:val="20"/>
                <w:szCs w:val="20"/>
                <w:lang w:val="es-CR" w:eastAsia="es-CR"/>
              </w:rPr>
              <w:br/>
              <w:t xml:space="preserve">Ministerio de Salud de Panamá </w:t>
            </w:r>
          </w:p>
        </w:tc>
        <w:tc>
          <w:tcPr>
            <w:tcW w:w="1488" w:type="dxa"/>
          </w:tcPr>
          <w:p w14:paraId="0F2F24CB" w14:textId="3A465B71"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1EA33BEA" w14:textId="44026016"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Queda sin efecto por medio del oficio CARTA-MS-DM-5719-2025.</w:t>
            </w:r>
          </w:p>
        </w:tc>
      </w:tr>
      <w:tr w:rsidR="008E76F5" w:rsidRPr="00D63D83" w14:paraId="52BCD415" w14:textId="77777777" w:rsidTr="008E76F5">
        <w:trPr>
          <w:gridAfter w:val="1"/>
          <w:wAfter w:w="12" w:type="dxa"/>
          <w:trHeight w:val="50"/>
          <w:jc w:val="center"/>
        </w:trPr>
        <w:tc>
          <w:tcPr>
            <w:tcW w:w="1252" w:type="dxa"/>
          </w:tcPr>
          <w:p w14:paraId="2D37D4F2" w14:textId="3D4E091A"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Ileana Ramírez Carranza</w:t>
            </w:r>
          </w:p>
        </w:tc>
        <w:tc>
          <w:tcPr>
            <w:tcW w:w="1530" w:type="dxa"/>
          </w:tcPr>
          <w:p w14:paraId="51F11B4F" w14:textId="75C0070E"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Servicios de Salud </w:t>
            </w:r>
          </w:p>
        </w:tc>
        <w:tc>
          <w:tcPr>
            <w:tcW w:w="938" w:type="dxa"/>
          </w:tcPr>
          <w:p w14:paraId="29B185E9" w14:textId="653AD9CA"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22</w:t>
            </w:r>
            <w:r w:rsidR="005B54AB">
              <w:rPr>
                <w:rFonts w:eastAsia="Times New Roman"/>
                <w:sz w:val="20"/>
                <w:szCs w:val="20"/>
                <w:lang w:val="es-CR" w:eastAsia="es-CR"/>
              </w:rPr>
              <w:t xml:space="preserve"> de octubre de 2025</w:t>
            </w:r>
          </w:p>
        </w:tc>
        <w:tc>
          <w:tcPr>
            <w:tcW w:w="1230" w:type="dxa"/>
          </w:tcPr>
          <w:p w14:paraId="1A6AF7D1" w14:textId="3746E369"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23</w:t>
            </w:r>
            <w:r w:rsidR="005B54AB">
              <w:rPr>
                <w:rFonts w:eastAsia="Times New Roman"/>
                <w:sz w:val="20"/>
                <w:szCs w:val="20"/>
                <w:lang w:val="es-CR" w:eastAsia="es-CR"/>
              </w:rPr>
              <w:t xml:space="preserve"> de octubre de 2025</w:t>
            </w:r>
          </w:p>
        </w:tc>
        <w:tc>
          <w:tcPr>
            <w:tcW w:w="1119" w:type="dxa"/>
          </w:tcPr>
          <w:p w14:paraId="14B1BAEF" w14:textId="147BD067"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México</w:t>
            </w:r>
          </w:p>
        </w:tc>
        <w:tc>
          <w:tcPr>
            <w:tcW w:w="1830" w:type="dxa"/>
          </w:tcPr>
          <w:p w14:paraId="015D2A89" w14:textId="6CF6B7D6"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Taller regional y nacional de mejora de la calidad </w:t>
            </w:r>
            <w:proofErr w:type="spellStart"/>
            <w:r w:rsidRPr="008E76F5">
              <w:rPr>
                <w:rFonts w:eastAsia="Times New Roman"/>
                <w:sz w:val="20"/>
                <w:szCs w:val="20"/>
                <w:lang w:val="es-CR" w:eastAsia="es-CR"/>
              </w:rPr>
              <w:t>HEARTS</w:t>
            </w:r>
            <w:proofErr w:type="spellEnd"/>
          </w:p>
        </w:tc>
        <w:tc>
          <w:tcPr>
            <w:tcW w:w="1957" w:type="dxa"/>
          </w:tcPr>
          <w:p w14:paraId="6E3576B9" w14:textId="4FF78454"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Realizar un taller similar con los actores relacionados, una vez que se logre implementar la estrategia </w:t>
            </w:r>
            <w:proofErr w:type="spellStart"/>
            <w:r w:rsidRPr="008E76F5">
              <w:rPr>
                <w:rFonts w:eastAsia="Times New Roman"/>
                <w:sz w:val="20"/>
                <w:szCs w:val="20"/>
                <w:lang w:val="es-CR" w:eastAsia="es-CR"/>
              </w:rPr>
              <w:t>HEARTS</w:t>
            </w:r>
            <w:proofErr w:type="spellEnd"/>
            <w:r w:rsidRPr="008E76F5">
              <w:rPr>
                <w:rFonts w:eastAsia="Times New Roman"/>
                <w:sz w:val="20"/>
                <w:szCs w:val="20"/>
                <w:lang w:val="es-CR" w:eastAsia="es-CR"/>
              </w:rPr>
              <w:t>.</w:t>
            </w:r>
          </w:p>
        </w:tc>
        <w:tc>
          <w:tcPr>
            <w:tcW w:w="1876" w:type="dxa"/>
          </w:tcPr>
          <w:p w14:paraId="141896D0" w14:textId="659C6075"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Organización Panamericana de la Salud (OPS)</w:t>
            </w:r>
          </w:p>
        </w:tc>
        <w:tc>
          <w:tcPr>
            <w:tcW w:w="1488" w:type="dxa"/>
          </w:tcPr>
          <w:p w14:paraId="0E5E7578" w14:textId="7617AEC7"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58CD3025" w14:textId="77777777" w:rsidR="008E76F5" w:rsidRPr="008E76F5" w:rsidRDefault="008E76F5" w:rsidP="008E76F5">
            <w:pPr>
              <w:spacing w:line="240" w:lineRule="auto"/>
              <w:rPr>
                <w:rFonts w:eastAsia="Times New Roman"/>
                <w:sz w:val="20"/>
                <w:szCs w:val="20"/>
                <w:lang w:val="es-CR" w:eastAsia="es-CR"/>
              </w:rPr>
            </w:pPr>
          </w:p>
        </w:tc>
      </w:tr>
      <w:tr w:rsidR="008E76F5" w:rsidRPr="00D63D83" w14:paraId="549129D6" w14:textId="77777777" w:rsidTr="008E76F5">
        <w:trPr>
          <w:gridAfter w:val="1"/>
          <w:wAfter w:w="12" w:type="dxa"/>
          <w:trHeight w:val="50"/>
          <w:jc w:val="center"/>
        </w:trPr>
        <w:tc>
          <w:tcPr>
            <w:tcW w:w="1252" w:type="dxa"/>
          </w:tcPr>
          <w:p w14:paraId="3120FEE6" w14:textId="544E0502"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José Luis Cambronero Miranda</w:t>
            </w:r>
          </w:p>
        </w:tc>
        <w:tc>
          <w:tcPr>
            <w:tcW w:w="1530" w:type="dxa"/>
          </w:tcPr>
          <w:p w14:paraId="59DF8C27" w14:textId="5022FED5"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Planificación </w:t>
            </w:r>
          </w:p>
        </w:tc>
        <w:tc>
          <w:tcPr>
            <w:tcW w:w="938" w:type="dxa"/>
          </w:tcPr>
          <w:p w14:paraId="7010A2C2" w14:textId="4B84B622"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27</w:t>
            </w:r>
            <w:r w:rsidR="005B54AB">
              <w:rPr>
                <w:rFonts w:eastAsia="Times New Roman"/>
                <w:sz w:val="20"/>
                <w:szCs w:val="20"/>
                <w:lang w:val="es-CR" w:eastAsia="es-CR"/>
              </w:rPr>
              <w:t xml:space="preserve"> de octubre de 2025</w:t>
            </w:r>
          </w:p>
        </w:tc>
        <w:tc>
          <w:tcPr>
            <w:tcW w:w="1230" w:type="dxa"/>
          </w:tcPr>
          <w:p w14:paraId="4940F093" w14:textId="2A7D74D2"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28</w:t>
            </w:r>
            <w:r w:rsidR="005B54AB">
              <w:rPr>
                <w:rFonts w:eastAsia="Times New Roman"/>
                <w:sz w:val="20"/>
                <w:szCs w:val="20"/>
                <w:lang w:val="es-CR" w:eastAsia="es-CR"/>
              </w:rPr>
              <w:t xml:space="preserve"> de octubre de 2025</w:t>
            </w:r>
          </w:p>
        </w:tc>
        <w:tc>
          <w:tcPr>
            <w:tcW w:w="1119" w:type="dxa"/>
          </w:tcPr>
          <w:p w14:paraId="5B5A1A3B" w14:textId="50B2BD1A"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El Salvador</w:t>
            </w:r>
          </w:p>
        </w:tc>
        <w:tc>
          <w:tcPr>
            <w:tcW w:w="1830" w:type="dxa"/>
          </w:tcPr>
          <w:p w14:paraId="2AAD39AE" w14:textId="740D5DDE"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Taller para impulsar la promoción de la salud en la Región del SICA y la</w:t>
            </w:r>
            <w:r w:rsidRPr="008E76F5">
              <w:rPr>
                <w:rFonts w:eastAsia="Times New Roman"/>
                <w:sz w:val="20"/>
                <w:szCs w:val="20"/>
                <w:lang w:val="es-CR" w:eastAsia="es-CR"/>
              </w:rPr>
              <w:br/>
              <w:t>Estrategia de Promoción de la Salud en el contexto de los ODS- 2019-2030</w:t>
            </w:r>
          </w:p>
        </w:tc>
        <w:tc>
          <w:tcPr>
            <w:tcW w:w="1957" w:type="dxa"/>
          </w:tcPr>
          <w:p w14:paraId="528A7F6F" w14:textId="068874C9"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Definición de las líneas de acción (8) que se van a incluir dentro de </w:t>
            </w:r>
            <w:proofErr w:type="spellStart"/>
            <w:r w:rsidRPr="008E76F5">
              <w:rPr>
                <w:rFonts w:eastAsia="Times New Roman"/>
                <w:sz w:val="20"/>
                <w:szCs w:val="20"/>
                <w:lang w:val="es-CR" w:eastAsia="es-CR"/>
              </w:rPr>
              <w:t>PSCARD</w:t>
            </w:r>
            <w:proofErr w:type="spellEnd"/>
            <w:r w:rsidRPr="008E76F5">
              <w:rPr>
                <w:rFonts w:eastAsia="Times New Roman"/>
                <w:sz w:val="20"/>
                <w:szCs w:val="20"/>
                <w:lang w:val="es-CR" w:eastAsia="es-CR"/>
              </w:rPr>
              <w:t xml:space="preserve"> 2026-2030 como parte de las acciones para el fortalecimiento de la promoción de la salud. Definición del Plan Operativo Anual 2026 de Grupo Técnico Especializado en Promoción de la Salud.</w:t>
            </w:r>
            <w:r w:rsidR="005B54AB">
              <w:rPr>
                <w:rFonts w:eastAsia="Times New Roman"/>
                <w:sz w:val="20"/>
                <w:szCs w:val="20"/>
                <w:lang w:val="es-CR" w:eastAsia="es-CR"/>
              </w:rPr>
              <w:t xml:space="preserve"> </w:t>
            </w:r>
            <w:r w:rsidRPr="008E76F5">
              <w:rPr>
                <w:rFonts w:eastAsia="Times New Roman"/>
                <w:sz w:val="20"/>
                <w:szCs w:val="20"/>
                <w:lang w:val="es-CR" w:eastAsia="es-CR"/>
              </w:rPr>
              <w:t xml:space="preserve">Desarrollo de una nota para la resolución de declaración mundial de la promoción de la salud como una efeméride global el 21 de noviembre. Dicha nota se hará llega a la Unidad de Promoción de la </w:t>
            </w:r>
            <w:r w:rsidRPr="008E76F5">
              <w:rPr>
                <w:rFonts w:eastAsia="Times New Roman"/>
                <w:sz w:val="20"/>
                <w:szCs w:val="20"/>
                <w:lang w:val="es-CR" w:eastAsia="es-CR"/>
              </w:rPr>
              <w:lastRenderedPageBreak/>
              <w:t>salud y Determinantes Sociales de la Salud de la OPS en Washington DC.</w:t>
            </w:r>
          </w:p>
        </w:tc>
        <w:tc>
          <w:tcPr>
            <w:tcW w:w="1876" w:type="dxa"/>
          </w:tcPr>
          <w:p w14:paraId="26479A25" w14:textId="3594D477"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Organización Panamericana de la Salud (OPS)</w:t>
            </w:r>
          </w:p>
        </w:tc>
        <w:tc>
          <w:tcPr>
            <w:tcW w:w="1488" w:type="dxa"/>
          </w:tcPr>
          <w:p w14:paraId="23F14899" w14:textId="57052EA1"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7A7AD02C" w14:textId="77777777" w:rsidR="008E76F5" w:rsidRPr="008E76F5" w:rsidRDefault="008E76F5" w:rsidP="008E76F5">
            <w:pPr>
              <w:spacing w:line="240" w:lineRule="auto"/>
              <w:rPr>
                <w:rFonts w:eastAsia="Times New Roman"/>
                <w:sz w:val="20"/>
                <w:szCs w:val="20"/>
                <w:lang w:val="es-CR" w:eastAsia="es-CR"/>
              </w:rPr>
            </w:pPr>
          </w:p>
        </w:tc>
      </w:tr>
      <w:tr w:rsidR="008E76F5" w:rsidRPr="00D63D83" w14:paraId="0E5177AF" w14:textId="77777777" w:rsidTr="008E76F5">
        <w:trPr>
          <w:gridAfter w:val="1"/>
          <w:wAfter w:w="12" w:type="dxa"/>
          <w:trHeight w:val="50"/>
          <w:jc w:val="center"/>
        </w:trPr>
        <w:tc>
          <w:tcPr>
            <w:tcW w:w="1252" w:type="dxa"/>
          </w:tcPr>
          <w:p w14:paraId="5FFEC856" w14:textId="60CA46DF"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Flor Murillo Rodríguez</w:t>
            </w:r>
          </w:p>
        </w:tc>
        <w:tc>
          <w:tcPr>
            <w:tcW w:w="1530" w:type="dxa"/>
          </w:tcPr>
          <w:p w14:paraId="4C588407" w14:textId="4B0DD53E"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Planificación </w:t>
            </w:r>
          </w:p>
        </w:tc>
        <w:tc>
          <w:tcPr>
            <w:tcW w:w="938" w:type="dxa"/>
          </w:tcPr>
          <w:p w14:paraId="7ACDD2E3" w14:textId="106E1BDC"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27</w:t>
            </w:r>
            <w:r w:rsidR="005B54AB">
              <w:rPr>
                <w:rFonts w:eastAsia="Times New Roman"/>
                <w:sz w:val="20"/>
                <w:szCs w:val="20"/>
                <w:lang w:val="es-CR" w:eastAsia="es-CR"/>
              </w:rPr>
              <w:t xml:space="preserve"> de octubre de 2025</w:t>
            </w:r>
          </w:p>
        </w:tc>
        <w:tc>
          <w:tcPr>
            <w:tcW w:w="1230" w:type="dxa"/>
          </w:tcPr>
          <w:p w14:paraId="45204035" w14:textId="195A5701"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29</w:t>
            </w:r>
            <w:r w:rsidR="005B54AB">
              <w:rPr>
                <w:rFonts w:eastAsia="Times New Roman"/>
                <w:sz w:val="20"/>
                <w:szCs w:val="20"/>
                <w:lang w:val="es-CR" w:eastAsia="es-CR"/>
              </w:rPr>
              <w:t xml:space="preserve"> de octubre de 2025</w:t>
            </w:r>
          </w:p>
        </w:tc>
        <w:tc>
          <w:tcPr>
            <w:tcW w:w="1119" w:type="dxa"/>
          </w:tcPr>
          <w:p w14:paraId="014C00E8" w14:textId="0CADD6EE"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Brasil</w:t>
            </w:r>
          </w:p>
        </w:tc>
        <w:tc>
          <w:tcPr>
            <w:tcW w:w="1830" w:type="dxa"/>
          </w:tcPr>
          <w:p w14:paraId="5BCB7AFA" w14:textId="041B2F0C"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 I Conferencia Internacional sobre Ciudades Amigables con las Personas Mayores</w:t>
            </w:r>
          </w:p>
        </w:tc>
        <w:tc>
          <w:tcPr>
            <w:tcW w:w="1957" w:type="dxa"/>
          </w:tcPr>
          <w:p w14:paraId="2839B997" w14:textId="21E896E2"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No se asumen compromisos. </w:t>
            </w:r>
          </w:p>
        </w:tc>
        <w:tc>
          <w:tcPr>
            <w:tcW w:w="1876" w:type="dxa"/>
          </w:tcPr>
          <w:p w14:paraId="4991A2F5" w14:textId="72F1266D"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Organización Panamericana de la Salud (OPS)</w:t>
            </w:r>
          </w:p>
        </w:tc>
        <w:tc>
          <w:tcPr>
            <w:tcW w:w="1488" w:type="dxa"/>
          </w:tcPr>
          <w:p w14:paraId="73256752" w14:textId="6E9CA1D0"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7CF99837" w14:textId="77777777" w:rsidR="008E76F5" w:rsidRPr="008E76F5" w:rsidRDefault="008E76F5" w:rsidP="008E76F5">
            <w:pPr>
              <w:spacing w:line="240" w:lineRule="auto"/>
              <w:rPr>
                <w:rFonts w:eastAsia="Times New Roman"/>
                <w:sz w:val="20"/>
                <w:szCs w:val="20"/>
                <w:lang w:val="es-CR" w:eastAsia="es-CR"/>
              </w:rPr>
            </w:pPr>
          </w:p>
        </w:tc>
      </w:tr>
      <w:tr w:rsidR="008E76F5" w:rsidRPr="00D63D83" w14:paraId="267C75D3" w14:textId="77777777" w:rsidTr="008E76F5">
        <w:trPr>
          <w:gridAfter w:val="1"/>
          <w:wAfter w:w="12" w:type="dxa"/>
          <w:trHeight w:val="50"/>
          <w:jc w:val="center"/>
        </w:trPr>
        <w:tc>
          <w:tcPr>
            <w:tcW w:w="1252" w:type="dxa"/>
          </w:tcPr>
          <w:p w14:paraId="6669383C" w14:textId="72EA34CD" w:rsidR="008E76F5" w:rsidRPr="00D63D83" w:rsidRDefault="008E76F5" w:rsidP="008E76F5">
            <w:pPr>
              <w:spacing w:line="240" w:lineRule="auto"/>
              <w:rPr>
                <w:rFonts w:eastAsia="Times New Roman"/>
                <w:sz w:val="20"/>
                <w:szCs w:val="20"/>
                <w:lang w:val="es-CR" w:eastAsia="es-CR"/>
              </w:rPr>
            </w:pPr>
            <w:proofErr w:type="spellStart"/>
            <w:r w:rsidRPr="008E76F5">
              <w:rPr>
                <w:rFonts w:eastAsia="Times New Roman"/>
                <w:sz w:val="20"/>
                <w:szCs w:val="20"/>
                <w:lang w:val="es-CR" w:eastAsia="es-CR"/>
              </w:rPr>
              <w:t>Deivert</w:t>
            </w:r>
            <w:proofErr w:type="spellEnd"/>
            <w:r w:rsidRPr="008E76F5">
              <w:rPr>
                <w:rFonts w:eastAsia="Times New Roman"/>
                <w:sz w:val="20"/>
                <w:szCs w:val="20"/>
                <w:lang w:val="es-CR" w:eastAsia="es-CR"/>
              </w:rPr>
              <w:t xml:space="preserve"> </w:t>
            </w:r>
            <w:proofErr w:type="spellStart"/>
            <w:r w:rsidRPr="008E76F5">
              <w:rPr>
                <w:rFonts w:eastAsia="Times New Roman"/>
                <w:sz w:val="20"/>
                <w:szCs w:val="20"/>
                <w:lang w:val="es-CR" w:eastAsia="es-CR"/>
              </w:rPr>
              <w:t>Guiltichs</w:t>
            </w:r>
            <w:proofErr w:type="spellEnd"/>
            <w:r w:rsidRPr="008E76F5">
              <w:rPr>
                <w:rFonts w:eastAsia="Times New Roman"/>
                <w:sz w:val="20"/>
                <w:szCs w:val="20"/>
                <w:lang w:val="es-CR" w:eastAsia="es-CR"/>
              </w:rPr>
              <w:t xml:space="preserve"> Cordero</w:t>
            </w:r>
          </w:p>
        </w:tc>
        <w:tc>
          <w:tcPr>
            <w:tcW w:w="1530" w:type="dxa"/>
          </w:tcPr>
          <w:p w14:paraId="6D9F3075" w14:textId="1DF89735"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Dirección de Transformación y Salud Digital</w:t>
            </w:r>
          </w:p>
        </w:tc>
        <w:tc>
          <w:tcPr>
            <w:tcW w:w="938" w:type="dxa"/>
          </w:tcPr>
          <w:p w14:paraId="0F12F078" w14:textId="59E6B166"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27</w:t>
            </w:r>
            <w:r w:rsidR="005B54AB">
              <w:rPr>
                <w:rFonts w:eastAsia="Times New Roman"/>
                <w:sz w:val="20"/>
                <w:szCs w:val="20"/>
                <w:lang w:val="es-CR" w:eastAsia="es-CR"/>
              </w:rPr>
              <w:t xml:space="preserve"> de octubre de 2025</w:t>
            </w:r>
          </w:p>
        </w:tc>
        <w:tc>
          <w:tcPr>
            <w:tcW w:w="1230" w:type="dxa"/>
          </w:tcPr>
          <w:p w14:paraId="649FD7BA" w14:textId="173BB620"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30</w:t>
            </w:r>
            <w:r w:rsidR="005B54AB">
              <w:rPr>
                <w:rFonts w:eastAsia="Times New Roman"/>
                <w:sz w:val="20"/>
                <w:szCs w:val="20"/>
                <w:lang w:val="es-CR" w:eastAsia="es-CR"/>
              </w:rPr>
              <w:t xml:space="preserve"> de octubre de 2025</w:t>
            </w:r>
          </w:p>
        </w:tc>
        <w:tc>
          <w:tcPr>
            <w:tcW w:w="1119" w:type="dxa"/>
          </w:tcPr>
          <w:p w14:paraId="6323D3E2" w14:textId="50D067F5"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El Salvador</w:t>
            </w:r>
          </w:p>
        </w:tc>
        <w:tc>
          <w:tcPr>
            <w:tcW w:w="1830" w:type="dxa"/>
          </w:tcPr>
          <w:p w14:paraId="708472B8" w14:textId="66310967"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Ruta Panamericana de Salud Digital - </w:t>
            </w:r>
            <w:proofErr w:type="spellStart"/>
            <w:r w:rsidRPr="008E76F5">
              <w:rPr>
                <w:rFonts w:eastAsia="Times New Roman"/>
                <w:sz w:val="20"/>
                <w:szCs w:val="20"/>
                <w:lang w:val="es-CR" w:eastAsia="es-CR"/>
              </w:rPr>
              <w:t>4ta</w:t>
            </w:r>
            <w:proofErr w:type="spellEnd"/>
            <w:r w:rsidRPr="008E76F5">
              <w:rPr>
                <w:rFonts w:eastAsia="Times New Roman"/>
                <w:sz w:val="20"/>
                <w:szCs w:val="20"/>
                <w:lang w:val="es-CR" w:eastAsia="es-CR"/>
              </w:rPr>
              <w:t xml:space="preserve"> </w:t>
            </w:r>
            <w:proofErr w:type="spellStart"/>
            <w:r w:rsidRPr="008E76F5">
              <w:rPr>
                <w:rFonts w:eastAsia="Times New Roman"/>
                <w:sz w:val="20"/>
                <w:szCs w:val="20"/>
                <w:lang w:val="es-CR" w:eastAsia="es-CR"/>
              </w:rPr>
              <w:t>Conectatón</w:t>
            </w:r>
            <w:proofErr w:type="spellEnd"/>
          </w:p>
        </w:tc>
        <w:tc>
          <w:tcPr>
            <w:tcW w:w="1957" w:type="dxa"/>
          </w:tcPr>
          <w:p w14:paraId="2431F315" w14:textId="0242A7BD"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El país asume la presidencia de </w:t>
            </w:r>
            <w:proofErr w:type="spellStart"/>
            <w:r w:rsidRPr="008E76F5">
              <w:rPr>
                <w:rFonts w:eastAsia="Times New Roman"/>
                <w:sz w:val="20"/>
                <w:szCs w:val="20"/>
                <w:lang w:val="es-CR" w:eastAsia="es-CR"/>
              </w:rPr>
              <w:t>RACSEL</w:t>
            </w:r>
            <w:proofErr w:type="spellEnd"/>
            <w:r w:rsidRPr="008E76F5">
              <w:rPr>
                <w:rFonts w:eastAsia="Times New Roman"/>
                <w:sz w:val="20"/>
                <w:szCs w:val="20"/>
                <w:lang w:val="es-CR" w:eastAsia="es-CR"/>
              </w:rPr>
              <w:t xml:space="preserve">. El país debe participar en la </w:t>
            </w:r>
            <w:proofErr w:type="spellStart"/>
            <w:r w:rsidRPr="008E76F5">
              <w:rPr>
                <w:rFonts w:eastAsia="Times New Roman"/>
                <w:sz w:val="20"/>
                <w:szCs w:val="20"/>
                <w:lang w:val="es-CR" w:eastAsia="es-CR"/>
              </w:rPr>
              <w:t>Conectatón</w:t>
            </w:r>
            <w:proofErr w:type="spellEnd"/>
            <w:r w:rsidRPr="008E76F5">
              <w:rPr>
                <w:rFonts w:eastAsia="Times New Roman"/>
                <w:sz w:val="20"/>
                <w:szCs w:val="20"/>
                <w:lang w:val="es-CR" w:eastAsia="es-CR"/>
              </w:rPr>
              <w:t xml:space="preserve"> Regional del próximo año en Panamá.</w:t>
            </w:r>
          </w:p>
        </w:tc>
        <w:tc>
          <w:tcPr>
            <w:tcW w:w="1876" w:type="dxa"/>
          </w:tcPr>
          <w:p w14:paraId="2B473862" w14:textId="52299FAD"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Banco Interamericano de Desarrollo (BID)</w:t>
            </w:r>
          </w:p>
        </w:tc>
        <w:tc>
          <w:tcPr>
            <w:tcW w:w="1488" w:type="dxa"/>
          </w:tcPr>
          <w:p w14:paraId="664AD394" w14:textId="20056044"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5FA3B5A5" w14:textId="77777777" w:rsidR="008E76F5" w:rsidRPr="008E76F5" w:rsidRDefault="008E76F5" w:rsidP="008E76F5">
            <w:pPr>
              <w:spacing w:line="240" w:lineRule="auto"/>
              <w:rPr>
                <w:rFonts w:eastAsia="Times New Roman"/>
                <w:sz w:val="20"/>
                <w:szCs w:val="20"/>
                <w:lang w:val="es-CR" w:eastAsia="es-CR"/>
              </w:rPr>
            </w:pPr>
          </w:p>
        </w:tc>
      </w:tr>
      <w:tr w:rsidR="008E76F5" w:rsidRPr="00D63D83" w14:paraId="72E14576" w14:textId="77777777" w:rsidTr="008E76F5">
        <w:trPr>
          <w:gridAfter w:val="1"/>
          <w:wAfter w:w="12" w:type="dxa"/>
          <w:trHeight w:val="50"/>
          <w:jc w:val="center"/>
        </w:trPr>
        <w:tc>
          <w:tcPr>
            <w:tcW w:w="1252" w:type="dxa"/>
          </w:tcPr>
          <w:p w14:paraId="0FC0F54C" w14:textId="1A5E2ED6"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Allan Mora Vargas</w:t>
            </w:r>
          </w:p>
        </w:tc>
        <w:tc>
          <w:tcPr>
            <w:tcW w:w="1530" w:type="dxa"/>
          </w:tcPr>
          <w:p w14:paraId="788F2FAF" w14:textId="2A378256"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Despacho Ministerial </w:t>
            </w:r>
          </w:p>
        </w:tc>
        <w:tc>
          <w:tcPr>
            <w:tcW w:w="938" w:type="dxa"/>
          </w:tcPr>
          <w:p w14:paraId="28254CEE" w14:textId="27B0C9AC"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27</w:t>
            </w:r>
            <w:r w:rsidR="005B54AB">
              <w:rPr>
                <w:rFonts w:eastAsia="Times New Roman"/>
                <w:sz w:val="20"/>
                <w:szCs w:val="20"/>
                <w:lang w:val="es-CR" w:eastAsia="es-CR"/>
              </w:rPr>
              <w:t xml:space="preserve"> de octubre de 2025</w:t>
            </w:r>
          </w:p>
        </w:tc>
        <w:tc>
          <w:tcPr>
            <w:tcW w:w="1230" w:type="dxa"/>
          </w:tcPr>
          <w:p w14:paraId="3A04FFC8" w14:textId="56AA2EA1"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30</w:t>
            </w:r>
            <w:r w:rsidR="005B54AB">
              <w:rPr>
                <w:rFonts w:eastAsia="Times New Roman"/>
                <w:sz w:val="20"/>
                <w:szCs w:val="20"/>
                <w:lang w:val="es-CR" w:eastAsia="es-CR"/>
              </w:rPr>
              <w:t xml:space="preserve"> de octubre de 2025</w:t>
            </w:r>
          </w:p>
        </w:tc>
        <w:tc>
          <w:tcPr>
            <w:tcW w:w="1119" w:type="dxa"/>
          </w:tcPr>
          <w:p w14:paraId="6CD573C5" w14:textId="6A0026F4"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El Salvador</w:t>
            </w:r>
          </w:p>
        </w:tc>
        <w:tc>
          <w:tcPr>
            <w:tcW w:w="1830" w:type="dxa"/>
          </w:tcPr>
          <w:p w14:paraId="53C73DC8" w14:textId="22E35B79"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Ruta Panamericana de Salud Digital - </w:t>
            </w:r>
            <w:proofErr w:type="spellStart"/>
            <w:r w:rsidRPr="008E76F5">
              <w:rPr>
                <w:rFonts w:eastAsia="Times New Roman"/>
                <w:sz w:val="20"/>
                <w:szCs w:val="20"/>
                <w:lang w:val="es-CR" w:eastAsia="es-CR"/>
              </w:rPr>
              <w:t>4ta</w:t>
            </w:r>
            <w:proofErr w:type="spellEnd"/>
            <w:r w:rsidRPr="008E76F5">
              <w:rPr>
                <w:rFonts w:eastAsia="Times New Roman"/>
                <w:sz w:val="20"/>
                <w:szCs w:val="20"/>
                <w:lang w:val="es-CR" w:eastAsia="es-CR"/>
              </w:rPr>
              <w:t xml:space="preserve"> </w:t>
            </w:r>
            <w:proofErr w:type="spellStart"/>
            <w:r w:rsidRPr="008E76F5">
              <w:rPr>
                <w:rFonts w:eastAsia="Times New Roman"/>
                <w:sz w:val="20"/>
                <w:szCs w:val="20"/>
                <w:lang w:val="es-CR" w:eastAsia="es-CR"/>
              </w:rPr>
              <w:t>Conectatón</w:t>
            </w:r>
            <w:proofErr w:type="spellEnd"/>
          </w:p>
        </w:tc>
        <w:tc>
          <w:tcPr>
            <w:tcW w:w="1957" w:type="dxa"/>
          </w:tcPr>
          <w:p w14:paraId="1D9A0D2E" w14:textId="0738FBF7"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El país asume la presidencia de </w:t>
            </w:r>
            <w:proofErr w:type="spellStart"/>
            <w:r w:rsidRPr="008E76F5">
              <w:rPr>
                <w:rFonts w:eastAsia="Times New Roman"/>
                <w:sz w:val="20"/>
                <w:szCs w:val="20"/>
                <w:lang w:val="es-CR" w:eastAsia="es-CR"/>
              </w:rPr>
              <w:t>RACSEL</w:t>
            </w:r>
            <w:proofErr w:type="spellEnd"/>
            <w:r w:rsidRPr="008E76F5">
              <w:rPr>
                <w:rFonts w:eastAsia="Times New Roman"/>
                <w:sz w:val="20"/>
                <w:szCs w:val="20"/>
                <w:lang w:val="es-CR" w:eastAsia="es-CR"/>
              </w:rPr>
              <w:t xml:space="preserve">. El país debe participar en la </w:t>
            </w:r>
            <w:proofErr w:type="spellStart"/>
            <w:r w:rsidRPr="008E76F5">
              <w:rPr>
                <w:rFonts w:eastAsia="Times New Roman"/>
                <w:sz w:val="20"/>
                <w:szCs w:val="20"/>
                <w:lang w:val="es-CR" w:eastAsia="es-CR"/>
              </w:rPr>
              <w:t>Conectatón</w:t>
            </w:r>
            <w:proofErr w:type="spellEnd"/>
            <w:r w:rsidRPr="008E76F5">
              <w:rPr>
                <w:rFonts w:eastAsia="Times New Roman"/>
                <w:sz w:val="20"/>
                <w:szCs w:val="20"/>
                <w:lang w:val="es-CR" w:eastAsia="es-CR"/>
              </w:rPr>
              <w:t xml:space="preserve"> Regional del próximo año en Panamá.</w:t>
            </w:r>
          </w:p>
        </w:tc>
        <w:tc>
          <w:tcPr>
            <w:tcW w:w="1876" w:type="dxa"/>
          </w:tcPr>
          <w:p w14:paraId="39F86A4A" w14:textId="3026DF64"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Banco Interamericano de Desarrollo (BID)</w:t>
            </w:r>
          </w:p>
        </w:tc>
        <w:tc>
          <w:tcPr>
            <w:tcW w:w="1488" w:type="dxa"/>
          </w:tcPr>
          <w:p w14:paraId="0A1264CA" w14:textId="1914D3AE" w:rsidR="008E76F5" w:rsidRPr="008E76F5" w:rsidRDefault="005B54AB" w:rsidP="008E76F5">
            <w:pPr>
              <w:spacing w:line="240" w:lineRule="auto"/>
              <w:rPr>
                <w:rFonts w:eastAsia="Times New Roman"/>
                <w:sz w:val="20"/>
                <w:szCs w:val="20"/>
                <w:lang w:val="es-CR" w:eastAsia="es-CR"/>
              </w:rPr>
            </w:pPr>
            <w:r>
              <w:rPr>
                <w:rFonts w:eastAsia="Times New Roman"/>
                <w:sz w:val="20"/>
                <w:szCs w:val="20"/>
                <w:lang w:val="es-CR" w:eastAsia="es-CR"/>
              </w:rPr>
              <w:t xml:space="preserve">No se giran viáticos institucionales. </w:t>
            </w:r>
          </w:p>
        </w:tc>
        <w:tc>
          <w:tcPr>
            <w:tcW w:w="1578" w:type="dxa"/>
          </w:tcPr>
          <w:p w14:paraId="7EB14CEE" w14:textId="77777777" w:rsidR="008E76F5" w:rsidRPr="008E76F5" w:rsidRDefault="008E76F5" w:rsidP="008E76F5">
            <w:pPr>
              <w:spacing w:line="240" w:lineRule="auto"/>
              <w:rPr>
                <w:rFonts w:eastAsia="Times New Roman"/>
                <w:sz w:val="20"/>
                <w:szCs w:val="20"/>
                <w:lang w:val="es-CR" w:eastAsia="es-CR"/>
              </w:rPr>
            </w:pPr>
          </w:p>
        </w:tc>
      </w:tr>
      <w:tr w:rsidR="008E76F5" w:rsidRPr="00D63D83" w14:paraId="19ED8217" w14:textId="77777777" w:rsidTr="008E76F5">
        <w:trPr>
          <w:gridAfter w:val="1"/>
          <w:wAfter w:w="12" w:type="dxa"/>
          <w:trHeight w:val="50"/>
          <w:jc w:val="center"/>
        </w:trPr>
        <w:tc>
          <w:tcPr>
            <w:tcW w:w="1252" w:type="dxa"/>
          </w:tcPr>
          <w:p w14:paraId="4732BB93" w14:textId="1C72C224"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Keylor Castro Chacón</w:t>
            </w:r>
          </w:p>
        </w:tc>
        <w:tc>
          <w:tcPr>
            <w:tcW w:w="1530" w:type="dxa"/>
          </w:tcPr>
          <w:p w14:paraId="0052CC0D" w14:textId="798EA62F"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General de Salud </w:t>
            </w:r>
          </w:p>
        </w:tc>
        <w:tc>
          <w:tcPr>
            <w:tcW w:w="938" w:type="dxa"/>
          </w:tcPr>
          <w:p w14:paraId="036AB371" w14:textId="76B3F2A0"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27</w:t>
            </w:r>
            <w:r w:rsidR="005B54AB">
              <w:rPr>
                <w:rFonts w:eastAsia="Times New Roman"/>
                <w:sz w:val="20"/>
                <w:szCs w:val="20"/>
                <w:lang w:val="es-CR" w:eastAsia="es-CR"/>
              </w:rPr>
              <w:t xml:space="preserve"> de octubre de 2025</w:t>
            </w:r>
          </w:p>
        </w:tc>
        <w:tc>
          <w:tcPr>
            <w:tcW w:w="1230" w:type="dxa"/>
          </w:tcPr>
          <w:p w14:paraId="2F72A9AE" w14:textId="0BF6C5F7"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31</w:t>
            </w:r>
            <w:r w:rsidR="005B54AB">
              <w:rPr>
                <w:rFonts w:eastAsia="Times New Roman"/>
                <w:sz w:val="20"/>
                <w:szCs w:val="20"/>
                <w:lang w:val="es-CR" w:eastAsia="es-CR"/>
              </w:rPr>
              <w:t xml:space="preserve"> de octubre de 2025</w:t>
            </w:r>
          </w:p>
        </w:tc>
        <w:tc>
          <w:tcPr>
            <w:tcW w:w="1119" w:type="dxa"/>
          </w:tcPr>
          <w:p w14:paraId="5CE43FD4" w14:textId="6B991D92"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Perú</w:t>
            </w:r>
          </w:p>
        </w:tc>
        <w:tc>
          <w:tcPr>
            <w:tcW w:w="1830" w:type="dxa"/>
          </w:tcPr>
          <w:p w14:paraId="3B7183D7" w14:textId="6C10612D"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Pasantía en Perú del Equipo Técnico de Gestión del Riesgo en Salud de Costa Rica para conocer </w:t>
            </w:r>
            <w:r w:rsidRPr="008E76F5">
              <w:rPr>
                <w:rFonts w:eastAsia="Times New Roman"/>
                <w:sz w:val="20"/>
                <w:szCs w:val="20"/>
                <w:lang w:val="es-CR" w:eastAsia="es-CR"/>
              </w:rPr>
              <w:lastRenderedPageBreak/>
              <w:t>la experiencia de gestión ante emergencias y desastres, primera respuesta en salud a través de la infraestructura móvil y lecciones aprendidas en asistencia humanitaria de Perú</w:t>
            </w:r>
          </w:p>
        </w:tc>
        <w:tc>
          <w:tcPr>
            <w:tcW w:w="1957" w:type="dxa"/>
          </w:tcPr>
          <w:p w14:paraId="0CDBACC5" w14:textId="4B6CE4EC"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 xml:space="preserve">Propuesta de actualización del cronograma de trabajo del proyecto para incorporar dos nuevas actividades </w:t>
            </w:r>
            <w:r w:rsidRPr="008E76F5">
              <w:rPr>
                <w:rFonts w:eastAsia="Times New Roman"/>
                <w:sz w:val="20"/>
                <w:szCs w:val="20"/>
                <w:lang w:val="es-CR" w:eastAsia="es-CR"/>
              </w:rPr>
              <w:lastRenderedPageBreak/>
              <w:t>dentro del Resultado 2 (</w:t>
            </w:r>
            <w:proofErr w:type="spellStart"/>
            <w:r w:rsidRPr="008E76F5">
              <w:rPr>
                <w:rFonts w:eastAsia="Times New Roman"/>
                <w:sz w:val="20"/>
                <w:szCs w:val="20"/>
                <w:lang w:val="es-CR" w:eastAsia="es-CR"/>
              </w:rPr>
              <w:t>R.2</w:t>
            </w:r>
            <w:proofErr w:type="spellEnd"/>
            <w:r w:rsidRPr="008E76F5">
              <w:rPr>
                <w:rFonts w:eastAsia="Times New Roman"/>
                <w:sz w:val="20"/>
                <w:szCs w:val="20"/>
                <w:lang w:val="es-CR" w:eastAsia="es-CR"/>
              </w:rPr>
              <w:t xml:space="preserve">): fortalecimiento de la </w:t>
            </w:r>
            <w:proofErr w:type="spellStart"/>
            <w:r w:rsidRPr="008E76F5">
              <w:rPr>
                <w:rFonts w:eastAsia="Times New Roman"/>
                <w:sz w:val="20"/>
                <w:szCs w:val="20"/>
                <w:lang w:val="es-CR" w:eastAsia="es-CR"/>
              </w:rPr>
              <w:t>DIGERD</w:t>
            </w:r>
            <w:proofErr w:type="spellEnd"/>
            <w:r w:rsidRPr="008E76F5">
              <w:rPr>
                <w:rFonts w:eastAsia="Times New Roman"/>
                <w:sz w:val="20"/>
                <w:szCs w:val="20"/>
                <w:lang w:val="es-CR" w:eastAsia="es-CR"/>
              </w:rPr>
              <w:t xml:space="preserve"> en la implementación del COE del Sector Salud y de los </w:t>
            </w:r>
            <w:proofErr w:type="spellStart"/>
            <w:r w:rsidRPr="008E76F5">
              <w:rPr>
                <w:rFonts w:eastAsia="Times New Roman"/>
                <w:sz w:val="20"/>
                <w:szCs w:val="20"/>
                <w:lang w:val="es-CR" w:eastAsia="es-CR"/>
              </w:rPr>
              <w:t>ERR</w:t>
            </w:r>
            <w:proofErr w:type="spellEnd"/>
            <w:r w:rsidRPr="008E76F5">
              <w:rPr>
                <w:rFonts w:eastAsia="Times New Roman"/>
                <w:sz w:val="20"/>
                <w:szCs w:val="20"/>
                <w:lang w:val="es-CR" w:eastAsia="es-CR"/>
              </w:rPr>
              <w:t xml:space="preserve"> de Costa Rica. Coordinación técnica para el desarrollo de una actividad virtual de intercambio de experiencias sobre proyectos de mejora en gestión del riesgo, basados en las iniciativas presentadas por el MINSA. Organización de una capacitación presencial en Costa Rica para 30-40 funcionarios de Áreas Rectoras, impartida por especialistas peruanos en los cuatro pilares de la gestión de riesgo. Solicitud formal a </w:t>
            </w:r>
            <w:proofErr w:type="spellStart"/>
            <w:r w:rsidRPr="008E76F5">
              <w:rPr>
                <w:rFonts w:eastAsia="Times New Roman"/>
                <w:sz w:val="20"/>
                <w:szCs w:val="20"/>
                <w:lang w:val="es-CR" w:eastAsia="es-CR"/>
              </w:rPr>
              <w:t>APCI</w:t>
            </w:r>
            <w:proofErr w:type="spellEnd"/>
            <w:r w:rsidRPr="008E76F5">
              <w:rPr>
                <w:rFonts w:eastAsia="Times New Roman"/>
                <w:sz w:val="20"/>
                <w:szCs w:val="20"/>
                <w:lang w:val="es-CR" w:eastAsia="es-CR"/>
              </w:rPr>
              <w:t xml:space="preserve"> para confirmar </w:t>
            </w:r>
            <w:r w:rsidRPr="008E76F5">
              <w:rPr>
                <w:rFonts w:eastAsia="Times New Roman"/>
                <w:sz w:val="20"/>
                <w:szCs w:val="20"/>
                <w:lang w:val="es-CR" w:eastAsia="es-CR"/>
              </w:rPr>
              <w:lastRenderedPageBreak/>
              <w:t>disponibilidad presupuestaria y mecanismos de cooperación técnica para ejecutar las actividades hasta octubre de 2026.</w:t>
            </w:r>
          </w:p>
        </w:tc>
        <w:tc>
          <w:tcPr>
            <w:tcW w:w="1876" w:type="dxa"/>
          </w:tcPr>
          <w:p w14:paraId="627FB6FD" w14:textId="2B970907"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Agencia Peruana de Cooperación Internacional (</w:t>
            </w:r>
            <w:proofErr w:type="spellStart"/>
            <w:r w:rsidRPr="008E76F5">
              <w:rPr>
                <w:rFonts w:eastAsia="Times New Roman"/>
                <w:sz w:val="20"/>
                <w:szCs w:val="20"/>
                <w:lang w:val="es-CR" w:eastAsia="es-CR"/>
              </w:rPr>
              <w:t>APCI</w:t>
            </w:r>
            <w:proofErr w:type="spellEnd"/>
            <w:r w:rsidRPr="008E76F5">
              <w:rPr>
                <w:rFonts w:eastAsia="Times New Roman"/>
                <w:sz w:val="20"/>
                <w:szCs w:val="20"/>
                <w:lang w:val="es-CR" w:eastAsia="es-CR"/>
              </w:rPr>
              <w:t>)</w:t>
            </w:r>
          </w:p>
        </w:tc>
        <w:tc>
          <w:tcPr>
            <w:tcW w:w="1488" w:type="dxa"/>
          </w:tcPr>
          <w:p w14:paraId="589BF54E" w14:textId="3AE98645" w:rsidR="008E76F5" w:rsidRPr="00BB1BAA" w:rsidRDefault="005B54AB" w:rsidP="008E76F5">
            <w:pPr>
              <w:spacing w:line="240" w:lineRule="auto"/>
              <w:rPr>
                <w:rFonts w:eastAsia="Times New Roman"/>
                <w:sz w:val="19"/>
                <w:szCs w:val="19"/>
                <w:lang w:val="es-CR" w:eastAsia="es-CR"/>
              </w:rPr>
            </w:pPr>
            <w:r>
              <w:rPr>
                <w:rFonts w:eastAsia="Times New Roman"/>
                <w:sz w:val="20"/>
                <w:szCs w:val="20"/>
                <w:lang w:val="es-CR" w:eastAsia="es-CR"/>
              </w:rPr>
              <w:t xml:space="preserve">No se giran viáticos institucionales. </w:t>
            </w:r>
          </w:p>
        </w:tc>
        <w:tc>
          <w:tcPr>
            <w:tcW w:w="1578" w:type="dxa"/>
          </w:tcPr>
          <w:p w14:paraId="721E92AA" w14:textId="0108790F" w:rsidR="008E76F5" w:rsidRPr="00D63D83" w:rsidRDefault="008E76F5" w:rsidP="008E76F5">
            <w:pPr>
              <w:spacing w:line="240" w:lineRule="auto"/>
              <w:rPr>
                <w:rFonts w:eastAsia="Times New Roman"/>
                <w:sz w:val="20"/>
                <w:szCs w:val="20"/>
                <w:lang w:val="es-CR" w:eastAsia="es-CR"/>
              </w:rPr>
            </w:pPr>
          </w:p>
        </w:tc>
      </w:tr>
      <w:tr w:rsidR="008E76F5" w:rsidRPr="00D63D83" w14:paraId="2FFE3213" w14:textId="77777777" w:rsidTr="008E76F5">
        <w:trPr>
          <w:gridAfter w:val="1"/>
          <w:wAfter w:w="12" w:type="dxa"/>
          <w:trHeight w:val="50"/>
          <w:jc w:val="center"/>
        </w:trPr>
        <w:tc>
          <w:tcPr>
            <w:tcW w:w="1252" w:type="dxa"/>
          </w:tcPr>
          <w:p w14:paraId="00402307" w14:textId="7FE00EE6"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Xiomara Vega Cruz</w:t>
            </w:r>
          </w:p>
        </w:tc>
        <w:tc>
          <w:tcPr>
            <w:tcW w:w="1530" w:type="dxa"/>
          </w:tcPr>
          <w:p w14:paraId="378C71C6" w14:textId="51A89AB8"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Regulación de Productos de Interés Sanitario </w:t>
            </w:r>
          </w:p>
        </w:tc>
        <w:tc>
          <w:tcPr>
            <w:tcW w:w="938" w:type="dxa"/>
          </w:tcPr>
          <w:p w14:paraId="21F5958B" w14:textId="6AB3FF9E"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27</w:t>
            </w:r>
            <w:r w:rsidR="005B54AB">
              <w:rPr>
                <w:rFonts w:eastAsia="Times New Roman"/>
                <w:sz w:val="20"/>
                <w:szCs w:val="20"/>
                <w:lang w:val="es-CR" w:eastAsia="es-CR"/>
              </w:rPr>
              <w:t xml:space="preserve"> de octubre de 2025</w:t>
            </w:r>
          </w:p>
        </w:tc>
        <w:tc>
          <w:tcPr>
            <w:tcW w:w="1230" w:type="dxa"/>
          </w:tcPr>
          <w:p w14:paraId="6576CAD6" w14:textId="4FFDEC31"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29</w:t>
            </w:r>
            <w:r w:rsidR="005B54AB">
              <w:rPr>
                <w:rFonts w:eastAsia="Times New Roman"/>
                <w:sz w:val="20"/>
                <w:szCs w:val="20"/>
                <w:lang w:val="es-CR" w:eastAsia="es-CR"/>
              </w:rPr>
              <w:t xml:space="preserve"> de octubre de 2025</w:t>
            </w:r>
          </w:p>
        </w:tc>
        <w:tc>
          <w:tcPr>
            <w:tcW w:w="1119" w:type="dxa"/>
          </w:tcPr>
          <w:p w14:paraId="19506FAD" w14:textId="46AFC378"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El Salvador</w:t>
            </w:r>
          </w:p>
        </w:tc>
        <w:tc>
          <w:tcPr>
            <w:tcW w:w="1830" w:type="dxa"/>
          </w:tcPr>
          <w:p w14:paraId="3DD903F5" w14:textId="5FEAA2FD"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Taller Regional para la validación de la propuesta de nuevo Marco Normativo de la Negociación Conjunta COMISCA</w:t>
            </w:r>
          </w:p>
        </w:tc>
        <w:tc>
          <w:tcPr>
            <w:tcW w:w="1957" w:type="dxa"/>
          </w:tcPr>
          <w:p w14:paraId="4979AC1D" w14:textId="4047F04F"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Se valida la propuesta del nuevo modelo de</w:t>
            </w:r>
            <w:r w:rsidR="005B54AB">
              <w:rPr>
                <w:rFonts w:eastAsia="Times New Roman"/>
                <w:sz w:val="20"/>
                <w:szCs w:val="20"/>
                <w:lang w:val="es-CR" w:eastAsia="es-CR"/>
              </w:rPr>
              <w:t xml:space="preserve"> </w:t>
            </w:r>
            <w:r w:rsidRPr="008E76F5">
              <w:rPr>
                <w:rFonts w:eastAsia="Times New Roman"/>
                <w:sz w:val="20"/>
                <w:szCs w:val="20"/>
                <w:lang w:val="es-CR" w:eastAsia="es-CR"/>
              </w:rPr>
              <w:t>autosostenibilidad de la Negociación Conjunta COMISCA®</w:t>
            </w:r>
          </w:p>
        </w:tc>
        <w:tc>
          <w:tcPr>
            <w:tcW w:w="1876" w:type="dxa"/>
          </w:tcPr>
          <w:p w14:paraId="5BCCB3C5" w14:textId="718CC4CD"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Agencia Española de Cooperación Internacional para el Desarrollo</w:t>
            </w:r>
            <w:r w:rsidRPr="008E76F5">
              <w:rPr>
                <w:rFonts w:eastAsia="Times New Roman"/>
                <w:sz w:val="20"/>
                <w:szCs w:val="20"/>
                <w:lang w:val="es-CR" w:eastAsia="es-CR"/>
              </w:rPr>
              <w:br/>
              <w:t>(AECID)</w:t>
            </w:r>
            <w:r w:rsidRPr="008E76F5">
              <w:rPr>
                <w:rFonts w:eastAsia="Times New Roman"/>
                <w:sz w:val="20"/>
                <w:szCs w:val="20"/>
                <w:lang w:val="es-CR" w:eastAsia="es-CR"/>
              </w:rPr>
              <w:br/>
              <w:t>Fondo España-SICA (FES)</w:t>
            </w:r>
          </w:p>
        </w:tc>
        <w:tc>
          <w:tcPr>
            <w:tcW w:w="1488" w:type="dxa"/>
          </w:tcPr>
          <w:p w14:paraId="5719613C" w14:textId="05E1E905" w:rsidR="008E76F5" w:rsidRPr="00BB1BAA" w:rsidRDefault="005B54AB" w:rsidP="008E76F5">
            <w:pPr>
              <w:spacing w:line="240" w:lineRule="auto"/>
              <w:rPr>
                <w:rFonts w:eastAsia="Times New Roman"/>
                <w:sz w:val="19"/>
                <w:szCs w:val="19"/>
                <w:lang w:val="es-CR" w:eastAsia="es-CR"/>
              </w:rPr>
            </w:pPr>
            <w:r>
              <w:rPr>
                <w:rFonts w:eastAsia="Times New Roman"/>
                <w:sz w:val="20"/>
                <w:szCs w:val="20"/>
                <w:lang w:val="es-CR" w:eastAsia="es-CR"/>
              </w:rPr>
              <w:t xml:space="preserve">No se giran viáticos institucionales. </w:t>
            </w:r>
          </w:p>
        </w:tc>
        <w:tc>
          <w:tcPr>
            <w:tcW w:w="1578" w:type="dxa"/>
          </w:tcPr>
          <w:p w14:paraId="03B41E61" w14:textId="77777777" w:rsidR="008E76F5" w:rsidRPr="00D63D83" w:rsidRDefault="008E76F5" w:rsidP="008E76F5">
            <w:pPr>
              <w:spacing w:line="240" w:lineRule="auto"/>
              <w:rPr>
                <w:rFonts w:eastAsia="Times New Roman"/>
                <w:sz w:val="20"/>
                <w:szCs w:val="20"/>
                <w:lang w:val="es-CR" w:eastAsia="es-CR"/>
              </w:rPr>
            </w:pPr>
          </w:p>
        </w:tc>
      </w:tr>
      <w:tr w:rsidR="008E76F5" w:rsidRPr="00D63D83" w14:paraId="5BB5CCEA" w14:textId="77777777" w:rsidTr="008E76F5">
        <w:trPr>
          <w:gridAfter w:val="1"/>
          <w:wAfter w:w="12" w:type="dxa"/>
          <w:trHeight w:val="50"/>
          <w:jc w:val="center"/>
        </w:trPr>
        <w:tc>
          <w:tcPr>
            <w:tcW w:w="1252" w:type="dxa"/>
          </w:tcPr>
          <w:p w14:paraId="36258F5E" w14:textId="4481BDFA"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Gloriela Alfaro </w:t>
            </w:r>
            <w:proofErr w:type="spellStart"/>
            <w:r w:rsidRPr="008E76F5">
              <w:rPr>
                <w:rFonts w:eastAsia="Times New Roman"/>
                <w:sz w:val="20"/>
                <w:szCs w:val="20"/>
                <w:lang w:val="es-CR" w:eastAsia="es-CR"/>
              </w:rPr>
              <w:t>Alfaro</w:t>
            </w:r>
            <w:proofErr w:type="spellEnd"/>
          </w:p>
        </w:tc>
        <w:tc>
          <w:tcPr>
            <w:tcW w:w="1530" w:type="dxa"/>
          </w:tcPr>
          <w:p w14:paraId="59F9D62C" w14:textId="4061ED4C"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Dirección de Asuntos Jurídicos</w:t>
            </w:r>
          </w:p>
        </w:tc>
        <w:tc>
          <w:tcPr>
            <w:tcW w:w="938" w:type="dxa"/>
          </w:tcPr>
          <w:p w14:paraId="609A4BB2" w14:textId="4C32E90A"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29</w:t>
            </w:r>
            <w:r w:rsidR="005B54AB">
              <w:rPr>
                <w:rFonts w:eastAsia="Times New Roman"/>
                <w:sz w:val="20"/>
                <w:szCs w:val="20"/>
                <w:lang w:val="es-CR" w:eastAsia="es-CR"/>
              </w:rPr>
              <w:t xml:space="preserve"> de octubre de 2025</w:t>
            </w:r>
          </w:p>
        </w:tc>
        <w:tc>
          <w:tcPr>
            <w:tcW w:w="1230" w:type="dxa"/>
          </w:tcPr>
          <w:p w14:paraId="1A56D338" w14:textId="53AB610E"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31</w:t>
            </w:r>
            <w:r w:rsidR="005B54AB">
              <w:rPr>
                <w:rFonts w:eastAsia="Times New Roman"/>
                <w:sz w:val="20"/>
                <w:szCs w:val="20"/>
                <w:lang w:val="es-CR" w:eastAsia="es-CR"/>
              </w:rPr>
              <w:t xml:space="preserve"> de octubre de 2025</w:t>
            </w:r>
          </w:p>
        </w:tc>
        <w:tc>
          <w:tcPr>
            <w:tcW w:w="1119" w:type="dxa"/>
          </w:tcPr>
          <w:p w14:paraId="0FF1BFDF" w14:textId="353E7272"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El Salvador</w:t>
            </w:r>
          </w:p>
        </w:tc>
        <w:tc>
          <w:tcPr>
            <w:tcW w:w="1830" w:type="dxa"/>
          </w:tcPr>
          <w:p w14:paraId="485A8E26" w14:textId="37B950C9"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Taller Regional para la validación de la propuesta de nuevo Marco Normativo de la Negociación Conjunta COMISCA</w:t>
            </w:r>
          </w:p>
        </w:tc>
        <w:tc>
          <w:tcPr>
            <w:tcW w:w="1957" w:type="dxa"/>
          </w:tcPr>
          <w:p w14:paraId="550C343A" w14:textId="5B5D12E6"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No se asumen compromisos. </w:t>
            </w:r>
          </w:p>
        </w:tc>
        <w:tc>
          <w:tcPr>
            <w:tcW w:w="1876" w:type="dxa"/>
          </w:tcPr>
          <w:p w14:paraId="503C688A" w14:textId="1CAAE044"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Agencia Española de Cooperación Internacional para el Desarrollo</w:t>
            </w:r>
            <w:r w:rsidRPr="008E76F5">
              <w:rPr>
                <w:rFonts w:eastAsia="Times New Roman"/>
                <w:sz w:val="20"/>
                <w:szCs w:val="20"/>
                <w:lang w:val="es-CR" w:eastAsia="es-CR"/>
              </w:rPr>
              <w:br/>
              <w:t>(AECID)</w:t>
            </w:r>
            <w:r w:rsidRPr="008E76F5">
              <w:rPr>
                <w:rFonts w:eastAsia="Times New Roman"/>
                <w:sz w:val="20"/>
                <w:szCs w:val="20"/>
                <w:lang w:val="es-CR" w:eastAsia="es-CR"/>
              </w:rPr>
              <w:br/>
              <w:t>Fondo España-SICA (FES)</w:t>
            </w:r>
          </w:p>
        </w:tc>
        <w:tc>
          <w:tcPr>
            <w:tcW w:w="1488" w:type="dxa"/>
          </w:tcPr>
          <w:p w14:paraId="38835D4F" w14:textId="2B8331A7" w:rsidR="008E76F5" w:rsidRPr="00BB1BAA" w:rsidRDefault="005B54AB" w:rsidP="008E76F5">
            <w:pPr>
              <w:spacing w:line="240" w:lineRule="auto"/>
              <w:rPr>
                <w:rFonts w:eastAsia="Times New Roman"/>
                <w:sz w:val="19"/>
                <w:szCs w:val="19"/>
                <w:lang w:val="es-CR" w:eastAsia="es-CR"/>
              </w:rPr>
            </w:pPr>
            <w:r>
              <w:rPr>
                <w:rFonts w:eastAsia="Times New Roman"/>
                <w:sz w:val="20"/>
                <w:szCs w:val="20"/>
                <w:lang w:val="es-CR" w:eastAsia="es-CR"/>
              </w:rPr>
              <w:t xml:space="preserve">No se giran viáticos institucionales. </w:t>
            </w:r>
          </w:p>
        </w:tc>
        <w:tc>
          <w:tcPr>
            <w:tcW w:w="1578" w:type="dxa"/>
          </w:tcPr>
          <w:p w14:paraId="229F7E1C" w14:textId="77777777" w:rsidR="008E76F5" w:rsidRPr="00D63D83" w:rsidRDefault="008E76F5" w:rsidP="008E76F5">
            <w:pPr>
              <w:spacing w:line="240" w:lineRule="auto"/>
              <w:rPr>
                <w:rFonts w:eastAsia="Times New Roman"/>
                <w:sz w:val="20"/>
                <w:szCs w:val="20"/>
                <w:lang w:val="es-CR" w:eastAsia="es-CR"/>
              </w:rPr>
            </w:pPr>
          </w:p>
        </w:tc>
      </w:tr>
      <w:tr w:rsidR="008E76F5" w:rsidRPr="00D63D83" w14:paraId="51795D46" w14:textId="77777777" w:rsidTr="008E76F5">
        <w:trPr>
          <w:gridAfter w:val="1"/>
          <w:wAfter w:w="12" w:type="dxa"/>
          <w:trHeight w:val="50"/>
          <w:jc w:val="center"/>
        </w:trPr>
        <w:tc>
          <w:tcPr>
            <w:tcW w:w="1252" w:type="dxa"/>
          </w:tcPr>
          <w:p w14:paraId="247F4C1A" w14:textId="70971E2C"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Luis Fernando </w:t>
            </w:r>
            <w:proofErr w:type="spellStart"/>
            <w:r w:rsidRPr="008E76F5">
              <w:rPr>
                <w:rFonts w:eastAsia="Times New Roman"/>
                <w:sz w:val="20"/>
                <w:szCs w:val="20"/>
                <w:lang w:val="es-CR" w:eastAsia="es-CR"/>
              </w:rPr>
              <w:t>Yglesias</w:t>
            </w:r>
            <w:proofErr w:type="spellEnd"/>
            <w:r w:rsidRPr="008E76F5">
              <w:rPr>
                <w:rFonts w:eastAsia="Times New Roman"/>
                <w:sz w:val="20"/>
                <w:szCs w:val="20"/>
                <w:lang w:val="es-CR" w:eastAsia="es-CR"/>
              </w:rPr>
              <w:t xml:space="preserve"> Barahona</w:t>
            </w:r>
          </w:p>
        </w:tc>
        <w:tc>
          <w:tcPr>
            <w:tcW w:w="1530" w:type="dxa"/>
          </w:tcPr>
          <w:p w14:paraId="42974122" w14:textId="706D84C7"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General de Salud </w:t>
            </w:r>
          </w:p>
        </w:tc>
        <w:tc>
          <w:tcPr>
            <w:tcW w:w="938" w:type="dxa"/>
          </w:tcPr>
          <w:p w14:paraId="3FAA9E54" w14:textId="4209427D"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28</w:t>
            </w:r>
            <w:r w:rsidR="005B54AB">
              <w:rPr>
                <w:rFonts w:eastAsia="Times New Roman"/>
                <w:sz w:val="20"/>
                <w:szCs w:val="20"/>
                <w:lang w:val="es-CR" w:eastAsia="es-CR"/>
              </w:rPr>
              <w:t xml:space="preserve"> de octubre de 2025</w:t>
            </w:r>
          </w:p>
        </w:tc>
        <w:tc>
          <w:tcPr>
            <w:tcW w:w="1230" w:type="dxa"/>
          </w:tcPr>
          <w:p w14:paraId="0F88C25A" w14:textId="13CBCEFE"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29</w:t>
            </w:r>
            <w:r w:rsidR="005B54AB">
              <w:rPr>
                <w:rFonts w:eastAsia="Times New Roman"/>
                <w:sz w:val="20"/>
                <w:szCs w:val="20"/>
                <w:lang w:val="es-CR" w:eastAsia="es-CR"/>
              </w:rPr>
              <w:t xml:space="preserve"> de octubre de 2025</w:t>
            </w:r>
          </w:p>
        </w:tc>
        <w:tc>
          <w:tcPr>
            <w:tcW w:w="1119" w:type="dxa"/>
          </w:tcPr>
          <w:p w14:paraId="0C94B544" w14:textId="64FB0E24"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Francia</w:t>
            </w:r>
          </w:p>
        </w:tc>
        <w:tc>
          <w:tcPr>
            <w:tcW w:w="1830" w:type="dxa"/>
          </w:tcPr>
          <w:p w14:paraId="3FFA9884" w14:textId="0E5A669B" w:rsidR="008E76F5" w:rsidRPr="008E76F5" w:rsidRDefault="008E76F5" w:rsidP="008E76F5">
            <w:pPr>
              <w:spacing w:line="240" w:lineRule="auto"/>
              <w:rPr>
                <w:rFonts w:eastAsia="Times New Roman"/>
                <w:sz w:val="20"/>
                <w:szCs w:val="20"/>
                <w:lang w:val="en-US" w:eastAsia="es-CR"/>
              </w:rPr>
            </w:pPr>
            <w:r w:rsidRPr="008E76F5">
              <w:rPr>
                <w:rFonts w:eastAsia="Times New Roman"/>
                <w:sz w:val="20"/>
                <w:szCs w:val="20"/>
                <w:lang w:val="en-US" w:eastAsia="es-CR"/>
              </w:rPr>
              <w:t>Working Party on Health Care Quality and Outcomes (</w:t>
            </w:r>
            <w:proofErr w:type="spellStart"/>
            <w:r w:rsidRPr="008E76F5">
              <w:rPr>
                <w:rFonts w:eastAsia="Times New Roman"/>
                <w:sz w:val="20"/>
                <w:szCs w:val="20"/>
                <w:lang w:val="en-US" w:eastAsia="es-CR"/>
              </w:rPr>
              <w:t>HCQO</w:t>
            </w:r>
            <w:proofErr w:type="spellEnd"/>
            <w:r w:rsidRPr="008E76F5">
              <w:rPr>
                <w:rFonts w:eastAsia="Times New Roman"/>
                <w:sz w:val="20"/>
                <w:szCs w:val="20"/>
                <w:lang w:val="en-US" w:eastAsia="es-CR"/>
              </w:rPr>
              <w:t>)</w:t>
            </w:r>
            <w:r w:rsidRPr="008E76F5">
              <w:rPr>
                <w:rFonts w:eastAsia="Times New Roman"/>
                <w:sz w:val="20"/>
                <w:szCs w:val="20"/>
                <w:lang w:val="en-US" w:eastAsia="es-CR"/>
              </w:rPr>
              <w:br/>
              <w:t>Workshop on long term care statistics</w:t>
            </w:r>
          </w:p>
        </w:tc>
        <w:tc>
          <w:tcPr>
            <w:tcW w:w="1957" w:type="dxa"/>
          </w:tcPr>
          <w:p w14:paraId="0BB9DD3E" w14:textId="65876C37"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Participar en futuras rondas de recolección de datos sobre salud mental, género y cuidados a largo plazo. Explorar mecanismos para mejorar la </w:t>
            </w:r>
            <w:r w:rsidRPr="008E76F5">
              <w:rPr>
                <w:rFonts w:eastAsia="Times New Roman"/>
                <w:sz w:val="20"/>
                <w:szCs w:val="20"/>
                <w:lang w:val="es-CR" w:eastAsia="es-CR"/>
              </w:rPr>
              <w:lastRenderedPageBreak/>
              <w:t>interoperabilidad de los sistemas de información en salud.</w:t>
            </w:r>
            <w:r w:rsidR="005B54AB">
              <w:rPr>
                <w:rFonts w:eastAsia="Times New Roman"/>
                <w:sz w:val="20"/>
                <w:szCs w:val="20"/>
                <w:lang w:val="es-CR" w:eastAsia="es-CR"/>
              </w:rPr>
              <w:t xml:space="preserve"> </w:t>
            </w:r>
            <w:r w:rsidRPr="008E76F5">
              <w:rPr>
                <w:rFonts w:eastAsia="Times New Roman"/>
                <w:sz w:val="20"/>
                <w:szCs w:val="20"/>
                <w:lang w:val="es-CR" w:eastAsia="es-CR"/>
              </w:rPr>
              <w:t>Fortalecer la coordinación interinstitucional para mejorar la calidad de los datos reportados a la OCDE.</w:t>
            </w:r>
            <w:r w:rsidR="005B54AB">
              <w:rPr>
                <w:rFonts w:eastAsia="Times New Roman"/>
                <w:sz w:val="20"/>
                <w:szCs w:val="20"/>
                <w:lang w:val="es-CR" w:eastAsia="es-CR"/>
              </w:rPr>
              <w:t xml:space="preserve"> </w:t>
            </w:r>
            <w:r w:rsidRPr="008E76F5">
              <w:rPr>
                <w:rFonts w:eastAsia="Times New Roman"/>
                <w:sz w:val="20"/>
                <w:szCs w:val="20"/>
                <w:lang w:val="es-CR" w:eastAsia="es-CR"/>
              </w:rPr>
              <w:t>Avanzar en la inclusión de indicadores de salud mental y género en futuras rondas de recolección de datos.</w:t>
            </w:r>
            <w:r w:rsidR="005B54AB">
              <w:rPr>
                <w:rFonts w:eastAsia="Times New Roman"/>
                <w:sz w:val="20"/>
                <w:szCs w:val="20"/>
                <w:lang w:val="es-CR" w:eastAsia="es-CR"/>
              </w:rPr>
              <w:t xml:space="preserve"> </w:t>
            </w:r>
            <w:r w:rsidRPr="008E76F5">
              <w:rPr>
                <w:rFonts w:eastAsia="Times New Roman"/>
                <w:sz w:val="20"/>
                <w:szCs w:val="20"/>
                <w:lang w:val="es-CR" w:eastAsia="es-CR"/>
              </w:rPr>
              <w:t>Fortalecer el monitoreo de la interoperabilidad de datos y gobernanza digital en salud.</w:t>
            </w:r>
            <w:r w:rsidR="005B54AB">
              <w:rPr>
                <w:rFonts w:eastAsia="Times New Roman"/>
                <w:sz w:val="20"/>
                <w:szCs w:val="20"/>
                <w:lang w:val="es-CR" w:eastAsia="es-CR"/>
              </w:rPr>
              <w:t xml:space="preserve"> </w:t>
            </w:r>
            <w:r w:rsidRPr="008E76F5">
              <w:rPr>
                <w:rFonts w:eastAsia="Times New Roman"/>
                <w:sz w:val="20"/>
                <w:szCs w:val="20"/>
                <w:lang w:val="es-CR" w:eastAsia="es-CR"/>
              </w:rPr>
              <w:t>Iniciar piloto sobre indicadores de salud de la mujer.</w:t>
            </w:r>
            <w:r w:rsidR="005B54AB">
              <w:rPr>
                <w:rFonts w:eastAsia="Times New Roman"/>
                <w:sz w:val="20"/>
                <w:szCs w:val="20"/>
                <w:lang w:val="es-CR" w:eastAsia="es-CR"/>
              </w:rPr>
              <w:t xml:space="preserve"> </w:t>
            </w:r>
            <w:r w:rsidRPr="008E76F5">
              <w:rPr>
                <w:rFonts w:eastAsia="Times New Roman"/>
                <w:sz w:val="20"/>
                <w:szCs w:val="20"/>
                <w:lang w:val="es-CR" w:eastAsia="es-CR"/>
              </w:rPr>
              <w:t xml:space="preserve">Modernizar la colección de datos </w:t>
            </w:r>
            <w:proofErr w:type="spellStart"/>
            <w:r w:rsidRPr="008E76F5">
              <w:rPr>
                <w:rFonts w:eastAsia="Times New Roman"/>
                <w:sz w:val="20"/>
                <w:szCs w:val="20"/>
                <w:lang w:val="es-CR" w:eastAsia="es-CR"/>
              </w:rPr>
              <w:t>HCQO</w:t>
            </w:r>
            <w:proofErr w:type="spellEnd"/>
            <w:r w:rsidRPr="008E76F5">
              <w:rPr>
                <w:rFonts w:eastAsia="Times New Roman"/>
                <w:sz w:val="20"/>
                <w:szCs w:val="20"/>
                <w:lang w:val="es-CR" w:eastAsia="es-CR"/>
              </w:rPr>
              <w:t xml:space="preserve"> para 2026–2027.</w:t>
            </w:r>
            <w:r w:rsidR="005B54AB">
              <w:rPr>
                <w:rFonts w:eastAsia="Times New Roman"/>
                <w:sz w:val="20"/>
                <w:szCs w:val="20"/>
                <w:lang w:val="es-CR" w:eastAsia="es-CR"/>
              </w:rPr>
              <w:t xml:space="preserve"> </w:t>
            </w:r>
            <w:r w:rsidRPr="008E76F5">
              <w:rPr>
                <w:rFonts w:eastAsia="Times New Roman"/>
                <w:sz w:val="20"/>
                <w:szCs w:val="20"/>
                <w:lang w:val="es-CR" w:eastAsia="es-CR"/>
              </w:rPr>
              <w:t>Contribuir al informe insignia sobre calidad del cuidado del cáncer</w:t>
            </w:r>
            <w:r w:rsidR="005B54AB">
              <w:rPr>
                <w:rFonts w:eastAsia="Times New Roman"/>
                <w:sz w:val="20"/>
                <w:szCs w:val="20"/>
                <w:lang w:val="es-CR" w:eastAsia="es-CR"/>
              </w:rPr>
              <w:t xml:space="preserve">. </w:t>
            </w:r>
            <w:r w:rsidRPr="008E76F5">
              <w:rPr>
                <w:rFonts w:eastAsia="Times New Roman"/>
                <w:sz w:val="20"/>
                <w:szCs w:val="20"/>
                <w:lang w:val="es-CR" w:eastAsia="es-CR"/>
              </w:rPr>
              <w:t xml:space="preserve">Continuar pilotos sobre salud mental, </w:t>
            </w:r>
            <w:r w:rsidRPr="008E76F5">
              <w:rPr>
                <w:rFonts w:eastAsia="Times New Roman"/>
                <w:sz w:val="20"/>
                <w:szCs w:val="20"/>
                <w:lang w:val="es-CR" w:eastAsia="es-CR"/>
              </w:rPr>
              <w:lastRenderedPageBreak/>
              <w:t>prevención, servicios de emergencia y efectos del calor.</w:t>
            </w:r>
            <w:r w:rsidR="005B54AB">
              <w:rPr>
                <w:rFonts w:eastAsia="Times New Roman"/>
                <w:sz w:val="20"/>
                <w:szCs w:val="20"/>
                <w:lang w:val="es-CR" w:eastAsia="es-CR"/>
              </w:rPr>
              <w:t xml:space="preserve"> </w:t>
            </w:r>
            <w:r w:rsidRPr="008E76F5">
              <w:rPr>
                <w:rFonts w:eastAsia="Times New Roman"/>
                <w:sz w:val="20"/>
                <w:szCs w:val="20"/>
                <w:lang w:val="es-CR" w:eastAsia="es-CR"/>
              </w:rPr>
              <w:t>Mejorar la definición y comparabilidad de cuidados a largo plazo.</w:t>
            </w:r>
            <w:r w:rsidR="005B54AB">
              <w:rPr>
                <w:rFonts w:eastAsia="Times New Roman"/>
                <w:sz w:val="20"/>
                <w:szCs w:val="20"/>
                <w:lang w:val="es-CR" w:eastAsia="es-CR"/>
              </w:rPr>
              <w:t xml:space="preserve"> A</w:t>
            </w:r>
            <w:r w:rsidRPr="008E76F5">
              <w:rPr>
                <w:rFonts w:eastAsia="Times New Roman"/>
                <w:sz w:val="20"/>
                <w:szCs w:val="20"/>
                <w:lang w:val="es-CR" w:eastAsia="es-CR"/>
              </w:rPr>
              <w:t>vanzar en la recolección de datos armonizados sobre calidad en cuidados a largo plazo.</w:t>
            </w:r>
            <w:r w:rsidR="005B54AB">
              <w:rPr>
                <w:rFonts w:eastAsia="Times New Roman"/>
                <w:sz w:val="20"/>
                <w:szCs w:val="20"/>
                <w:lang w:val="es-CR" w:eastAsia="es-CR"/>
              </w:rPr>
              <w:t xml:space="preserve"> </w:t>
            </w:r>
            <w:r w:rsidRPr="008E76F5">
              <w:rPr>
                <w:rFonts w:eastAsia="Times New Roman"/>
                <w:sz w:val="20"/>
                <w:szCs w:val="20"/>
                <w:lang w:val="es-CR" w:eastAsia="es-CR"/>
              </w:rPr>
              <w:t>Explorar nuevos indicadores sobre calidad, fuerza laboral y tipos de servicios.</w:t>
            </w:r>
            <w:r w:rsidR="005B54AB">
              <w:rPr>
                <w:rFonts w:eastAsia="Times New Roman"/>
                <w:sz w:val="20"/>
                <w:szCs w:val="20"/>
                <w:lang w:val="es-CR" w:eastAsia="es-CR"/>
              </w:rPr>
              <w:t xml:space="preserve"> </w:t>
            </w:r>
            <w:r w:rsidRPr="008E76F5">
              <w:rPr>
                <w:rFonts w:eastAsia="Times New Roman"/>
                <w:sz w:val="20"/>
                <w:szCs w:val="20"/>
                <w:lang w:val="es-CR" w:eastAsia="es-CR"/>
              </w:rPr>
              <w:t>Fortalecer la medición de gastos en cuidados a largo plazo.</w:t>
            </w:r>
            <w:r w:rsidR="005B54AB">
              <w:rPr>
                <w:rFonts w:eastAsia="Times New Roman"/>
                <w:sz w:val="20"/>
                <w:szCs w:val="20"/>
                <w:lang w:val="es-CR" w:eastAsia="es-CR"/>
              </w:rPr>
              <w:t xml:space="preserve"> </w:t>
            </w:r>
            <w:r w:rsidRPr="008E76F5">
              <w:rPr>
                <w:rFonts w:eastAsia="Times New Roman"/>
                <w:sz w:val="20"/>
                <w:szCs w:val="20"/>
                <w:lang w:val="es-CR" w:eastAsia="es-CR"/>
              </w:rPr>
              <w:t>Mejorar la categorización de gastos en cuidados a largo plazo en el marco del Sistema de Cuentas de Salud (</w:t>
            </w:r>
            <w:proofErr w:type="spellStart"/>
            <w:r w:rsidRPr="008E76F5">
              <w:rPr>
                <w:rFonts w:eastAsia="Times New Roman"/>
                <w:sz w:val="20"/>
                <w:szCs w:val="20"/>
                <w:lang w:val="es-CR" w:eastAsia="es-CR"/>
              </w:rPr>
              <w:t>SHA</w:t>
            </w:r>
            <w:proofErr w:type="spellEnd"/>
            <w:r w:rsidRPr="008E76F5">
              <w:rPr>
                <w:rFonts w:eastAsia="Times New Roman"/>
                <w:sz w:val="20"/>
                <w:szCs w:val="20"/>
                <w:lang w:val="es-CR" w:eastAsia="es-CR"/>
              </w:rPr>
              <w:t>).</w:t>
            </w:r>
          </w:p>
        </w:tc>
        <w:tc>
          <w:tcPr>
            <w:tcW w:w="1876" w:type="dxa"/>
          </w:tcPr>
          <w:p w14:paraId="74694C77" w14:textId="66B15694"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Ministerio de Salud de Costa Rica</w:t>
            </w:r>
          </w:p>
        </w:tc>
        <w:tc>
          <w:tcPr>
            <w:tcW w:w="1488" w:type="dxa"/>
          </w:tcPr>
          <w:p w14:paraId="06A7733C" w14:textId="05BB6A9A" w:rsidR="008E76F5" w:rsidRPr="00BB1BAA" w:rsidRDefault="008E76F5" w:rsidP="005B54AB">
            <w:pPr>
              <w:spacing w:line="240" w:lineRule="auto"/>
              <w:jc w:val="right"/>
              <w:rPr>
                <w:rFonts w:eastAsia="Times New Roman"/>
                <w:sz w:val="19"/>
                <w:szCs w:val="19"/>
                <w:lang w:val="es-CR" w:eastAsia="es-CR"/>
              </w:rPr>
            </w:pPr>
            <w:r w:rsidRPr="008E76F5">
              <w:rPr>
                <w:rFonts w:eastAsia="Times New Roman"/>
                <w:sz w:val="20"/>
                <w:szCs w:val="20"/>
                <w:lang w:val="es-CR" w:eastAsia="es-CR"/>
              </w:rPr>
              <w:t xml:space="preserve"> ₡</w:t>
            </w:r>
            <w:r w:rsidR="005B54AB">
              <w:rPr>
                <w:rFonts w:eastAsia="Times New Roman"/>
                <w:sz w:val="20"/>
                <w:szCs w:val="20"/>
                <w:lang w:val="es-CR" w:eastAsia="es-CR"/>
              </w:rPr>
              <w:t xml:space="preserve"> </w:t>
            </w:r>
            <w:r w:rsidRPr="008E76F5">
              <w:rPr>
                <w:rFonts w:eastAsia="Times New Roman"/>
                <w:sz w:val="20"/>
                <w:szCs w:val="20"/>
                <w:lang w:val="es-CR" w:eastAsia="es-CR"/>
              </w:rPr>
              <w:t xml:space="preserve">697 626,28 </w:t>
            </w:r>
          </w:p>
        </w:tc>
        <w:tc>
          <w:tcPr>
            <w:tcW w:w="1578" w:type="dxa"/>
          </w:tcPr>
          <w:p w14:paraId="60FC7DF7" w14:textId="77777777" w:rsidR="008E76F5" w:rsidRPr="00D63D83" w:rsidRDefault="008E76F5" w:rsidP="008E76F5">
            <w:pPr>
              <w:spacing w:line="240" w:lineRule="auto"/>
              <w:rPr>
                <w:rFonts w:eastAsia="Times New Roman"/>
                <w:sz w:val="20"/>
                <w:szCs w:val="20"/>
                <w:lang w:val="es-CR" w:eastAsia="es-CR"/>
              </w:rPr>
            </w:pPr>
          </w:p>
        </w:tc>
      </w:tr>
      <w:tr w:rsidR="008E76F5" w:rsidRPr="00D63D83" w14:paraId="689A1701" w14:textId="77777777" w:rsidTr="008E76F5">
        <w:trPr>
          <w:gridAfter w:val="1"/>
          <w:wAfter w:w="12" w:type="dxa"/>
          <w:trHeight w:val="50"/>
          <w:jc w:val="center"/>
        </w:trPr>
        <w:tc>
          <w:tcPr>
            <w:tcW w:w="1252" w:type="dxa"/>
          </w:tcPr>
          <w:p w14:paraId="16D09F82" w14:textId="3CE42146"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Aarón Agüero Zumbado</w:t>
            </w:r>
          </w:p>
        </w:tc>
        <w:tc>
          <w:tcPr>
            <w:tcW w:w="1530" w:type="dxa"/>
          </w:tcPr>
          <w:p w14:paraId="5C8401BC" w14:textId="16DD5F49"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Vigilancia de la Salud </w:t>
            </w:r>
          </w:p>
        </w:tc>
        <w:tc>
          <w:tcPr>
            <w:tcW w:w="938" w:type="dxa"/>
          </w:tcPr>
          <w:p w14:paraId="4F437C63" w14:textId="3B171BDE"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28</w:t>
            </w:r>
            <w:r w:rsidR="005B54AB">
              <w:rPr>
                <w:rFonts w:eastAsia="Times New Roman"/>
                <w:sz w:val="20"/>
                <w:szCs w:val="20"/>
                <w:lang w:val="es-CR" w:eastAsia="es-CR"/>
              </w:rPr>
              <w:t xml:space="preserve"> de octubre de 2025</w:t>
            </w:r>
          </w:p>
        </w:tc>
        <w:tc>
          <w:tcPr>
            <w:tcW w:w="1230" w:type="dxa"/>
          </w:tcPr>
          <w:p w14:paraId="6B07BBCD" w14:textId="6DC6564D"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30</w:t>
            </w:r>
            <w:r w:rsidR="005B54AB">
              <w:rPr>
                <w:rFonts w:eastAsia="Times New Roman"/>
                <w:sz w:val="20"/>
                <w:szCs w:val="20"/>
                <w:lang w:val="es-CR" w:eastAsia="es-CR"/>
              </w:rPr>
              <w:t xml:space="preserve"> de octubre de 2025</w:t>
            </w:r>
          </w:p>
        </w:tc>
        <w:tc>
          <w:tcPr>
            <w:tcW w:w="1119" w:type="dxa"/>
          </w:tcPr>
          <w:p w14:paraId="22BC9F83" w14:textId="4806D6C1"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El Salvador</w:t>
            </w:r>
          </w:p>
        </w:tc>
        <w:tc>
          <w:tcPr>
            <w:tcW w:w="1830" w:type="dxa"/>
          </w:tcPr>
          <w:p w14:paraId="394017C4" w14:textId="49698946"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Reunión Técnica de Capacitación sobre herramientas para el monitoreo de la mortalidad por </w:t>
            </w:r>
            <w:r w:rsidRPr="008E76F5">
              <w:rPr>
                <w:rFonts w:eastAsia="Times New Roman"/>
                <w:sz w:val="20"/>
                <w:szCs w:val="20"/>
                <w:lang w:val="es-CR" w:eastAsia="es-CR"/>
              </w:rPr>
              <w:lastRenderedPageBreak/>
              <w:t>todas las causas, como parte del proyecto de la Red de Monitoreo de la Mortalidad Respiratoria de la OPS (</w:t>
            </w:r>
            <w:proofErr w:type="spellStart"/>
            <w:r w:rsidRPr="008E76F5">
              <w:rPr>
                <w:rFonts w:eastAsia="Times New Roman"/>
                <w:sz w:val="20"/>
                <w:szCs w:val="20"/>
                <w:lang w:val="es-CR" w:eastAsia="es-CR"/>
              </w:rPr>
              <w:t>PAHOMoMo</w:t>
            </w:r>
            <w:proofErr w:type="spellEnd"/>
            <w:r w:rsidRPr="008E76F5">
              <w:rPr>
                <w:rFonts w:eastAsia="Times New Roman"/>
                <w:sz w:val="20"/>
                <w:szCs w:val="20"/>
                <w:lang w:val="es-CR" w:eastAsia="es-CR"/>
              </w:rPr>
              <w:t>)</w:t>
            </w:r>
          </w:p>
        </w:tc>
        <w:tc>
          <w:tcPr>
            <w:tcW w:w="1957" w:type="dxa"/>
          </w:tcPr>
          <w:p w14:paraId="6ADC965D" w14:textId="70C41021"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 xml:space="preserve">Actualizar o elaborar la base de </w:t>
            </w:r>
            <w:proofErr w:type="spellStart"/>
            <w:r w:rsidRPr="008E76F5">
              <w:rPr>
                <w:rFonts w:eastAsia="Times New Roman"/>
                <w:sz w:val="20"/>
                <w:szCs w:val="20"/>
                <w:lang w:val="es-CR" w:eastAsia="es-CR"/>
              </w:rPr>
              <w:t>excel</w:t>
            </w:r>
            <w:proofErr w:type="spellEnd"/>
            <w:r w:rsidRPr="008E76F5">
              <w:rPr>
                <w:rFonts w:eastAsia="Times New Roman"/>
                <w:sz w:val="20"/>
                <w:szCs w:val="20"/>
                <w:lang w:val="es-CR" w:eastAsia="es-CR"/>
              </w:rPr>
              <w:t xml:space="preserve"> según lo indicado por OPS por parte del INEC. Se debe informar a </w:t>
            </w:r>
            <w:r w:rsidRPr="008E76F5">
              <w:rPr>
                <w:rFonts w:eastAsia="Times New Roman"/>
                <w:sz w:val="20"/>
                <w:szCs w:val="20"/>
                <w:lang w:val="es-CR" w:eastAsia="es-CR"/>
              </w:rPr>
              <w:lastRenderedPageBreak/>
              <w:t xml:space="preserve">las jefaturas de la reunión y desde cada Dirección de los participantes, gestionar la posibilidad de contar e instaurar el sistema de mortalidad </w:t>
            </w:r>
            <w:proofErr w:type="spellStart"/>
            <w:r w:rsidRPr="008E76F5">
              <w:rPr>
                <w:rFonts w:eastAsia="Times New Roman"/>
                <w:sz w:val="20"/>
                <w:szCs w:val="20"/>
                <w:lang w:val="es-CR" w:eastAsia="es-CR"/>
              </w:rPr>
              <w:t>AMoMo</w:t>
            </w:r>
            <w:proofErr w:type="spellEnd"/>
            <w:r w:rsidRPr="008E76F5">
              <w:rPr>
                <w:rFonts w:eastAsia="Times New Roman"/>
                <w:sz w:val="20"/>
                <w:szCs w:val="20"/>
                <w:lang w:val="es-CR" w:eastAsia="es-CR"/>
              </w:rPr>
              <w:t xml:space="preserve"> de OPS, (todo esto requiere que las autoridades lo aprueben y gestionar por medio de acuerdos específicos entre OPS y MINSA). Recomiendan trabajar en equipo las estrategias de comunicación.</w:t>
            </w:r>
          </w:p>
        </w:tc>
        <w:tc>
          <w:tcPr>
            <w:tcW w:w="1876" w:type="dxa"/>
          </w:tcPr>
          <w:p w14:paraId="2B8157A9" w14:textId="2CABA9B1"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Organización Panamericana de la Salud (OPS)</w:t>
            </w:r>
          </w:p>
        </w:tc>
        <w:tc>
          <w:tcPr>
            <w:tcW w:w="1488" w:type="dxa"/>
          </w:tcPr>
          <w:p w14:paraId="1C0CBB33" w14:textId="2AC44C3D" w:rsidR="008E76F5" w:rsidRPr="00BB1BAA" w:rsidRDefault="005B54AB" w:rsidP="008E76F5">
            <w:pPr>
              <w:spacing w:line="240" w:lineRule="auto"/>
              <w:rPr>
                <w:rFonts w:eastAsia="Times New Roman"/>
                <w:sz w:val="19"/>
                <w:szCs w:val="19"/>
                <w:lang w:val="es-CR" w:eastAsia="es-CR"/>
              </w:rPr>
            </w:pPr>
            <w:r>
              <w:rPr>
                <w:rFonts w:eastAsia="Times New Roman"/>
                <w:sz w:val="20"/>
                <w:szCs w:val="20"/>
                <w:lang w:val="es-CR" w:eastAsia="es-CR"/>
              </w:rPr>
              <w:t xml:space="preserve">No se giran viáticos institucionales. </w:t>
            </w:r>
          </w:p>
        </w:tc>
        <w:tc>
          <w:tcPr>
            <w:tcW w:w="1578" w:type="dxa"/>
          </w:tcPr>
          <w:p w14:paraId="2F764DF9" w14:textId="77777777" w:rsidR="008E76F5" w:rsidRPr="00D63D83" w:rsidRDefault="008E76F5" w:rsidP="008E76F5">
            <w:pPr>
              <w:spacing w:line="240" w:lineRule="auto"/>
              <w:rPr>
                <w:rFonts w:eastAsia="Times New Roman"/>
                <w:sz w:val="20"/>
                <w:szCs w:val="20"/>
                <w:lang w:val="es-CR" w:eastAsia="es-CR"/>
              </w:rPr>
            </w:pPr>
          </w:p>
        </w:tc>
      </w:tr>
      <w:tr w:rsidR="008E76F5" w:rsidRPr="00D63D83" w14:paraId="767C77CF" w14:textId="77777777" w:rsidTr="008E76F5">
        <w:trPr>
          <w:gridAfter w:val="1"/>
          <w:wAfter w:w="12" w:type="dxa"/>
          <w:trHeight w:val="50"/>
          <w:jc w:val="center"/>
        </w:trPr>
        <w:tc>
          <w:tcPr>
            <w:tcW w:w="1252" w:type="dxa"/>
          </w:tcPr>
          <w:p w14:paraId="0FD411B9" w14:textId="32ABF01A"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Natalia Morales Vega</w:t>
            </w:r>
          </w:p>
        </w:tc>
        <w:tc>
          <w:tcPr>
            <w:tcW w:w="1530" w:type="dxa"/>
          </w:tcPr>
          <w:p w14:paraId="55B88E71" w14:textId="0926DC42"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Unidad de Comunicación </w:t>
            </w:r>
          </w:p>
        </w:tc>
        <w:tc>
          <w:tcPr>
            <w:tcW w:w="938" w:type="dxa"/>
          </w:tcPr>
          <w:p w14:paraId="243D73A6" w14:textId="5F04CB64"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28</w:t>
            </w:r>
            <w:r w:rsidR="005B54AB">
              <w:rPr>
                <w:rFonts w:eastAsia="Times New Roman"/>
                <w:sz w:val="20"/>
                <w:szCs w:val="20"/>
                <w:lang w:val="es-CR" w:eastAsia="es-CR"/>
              </w:rPr>
              <w:t xml:space="preserve"> de octubre de 2025</w:t>
            </w:r>
          </w:p>
        </w:tc>
        <w:tc>
          <w:tcPr>
            <w:tcW w:w="1230" w:type="dxa"/>
          </w:tcPr>
          <w:p w14:paraId="648A5EAD" w14:textId="32FA7D3D"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30</w:t>
            </w:r>
            <w:r w:rsidR="005B54AB">
              <w:rPr>
                <w:rFonts w:eastAsia="Times New Roman"/>
                <w:sz w:val="20"/>
                <w:szCs w:val="20"/>
                <w:lang w:val="es-CR" w:eastAsia="es-CR"/>
              </w:rPr>
              <w:t xml:space="preserve"> de octubre de 2025</w:t>
            </w:r>
          </w:p>
        </w:tc>
        <w:tc>
          <w:tcPr>
            <w:tcW w:w="1119" w:type="dxa"/>
          </w:tcPr>
          <w:p w14:paraId="2B5EF59B" w14:textId="4E545C86"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El Salvador</w:t>
            </w:r>
          </w:p>
        </w:tc>
        <w:tc>
          <w:tcPr>
            <w:tcW w:w="1830" w:type="dxa"/>
          </w:tcPr>
          <w:p w14:paraId="7500FE37" w14:textId="156E5893"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Reunión Técnica de Capacitación sobre herramientas para el monitoreo de la mortalidad por todas las causas, como parte del proyecto de la Red de Monitoreo de la Mortalidad Respiratoria de la </w:t>
            </w:r>
            <w:r w:rsidRPr="008E76F5">
              <w:rPr>
                <w:rFonts w:eastAsia="Times New Roman"/>
                <w:sz w:val="20"/>
                <w:szCs w:val="20"/>
                <w:lang w:val="es-CR" w:eastAsia="es-CR"/>
              </w:rPr>
              <w:lastRenderedPageBreak/>
              <w:t>OPS (</w:t>
            </w:r>
            <w:proofErr w:type="spellStart"/>
            <w:r w:rsidRPr="008E76F5">
              <w:rPr>
                <w:rFonts w:eastAsia="Times New Roman"/>
                <w:sz w:val="20"/>
                <w:szCs w:val="20"/>
                <w:lang w:val="es-CR" w:eastAsia="es-CR"/>
              </w:rPr>
              <w:t>PAHOMoMo</w:t>
            </w:r>
            <w:proofErr w:type="spellEnd"/>
            <w:r w:rsidRPr="008E76F5">
              <w:rPr>
                <w:rFonts w:eastAsia="Times New Roman"/>
                <w:sz w:val="20"/>
                <w:szCs w:val="20"/>
                <w:lang w:val="es-CR" w:eastAsia="es-CR"/>
              </w:rPr>
              <w:t>)</w:t>
            </w:r>
          </w:p>
        </w:tc>
        <w:tc>
          <w:tcPr>
            <w:tcW w:w="1957" w:type="dxa"/>
          </w:tcPr>
          <w:p w14:paraId="42258C0D" w14:textId="5D2F2458"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 xml:space="preserve">Actualizar o elaborar la base de </w:t>
            </w:r>
            <w:proofErr w:type="spellStart"/>
            <w:r w:rsidRPr="008E76F5">
              <w:rPr>
                <w:rFonts w:eastAsia="Times New Roman"/>
                <w:sz w:val="20"/>
                <w:szCs w:val="20"/>
                <w:lang w:val="es-CR" w:eastAsia="es-CR"/>
              </w:rPr>
              <w:t>excel</w:t>
            </w:r>
            <w:proofErr w:type="spellEnd"/>
            <w:r w:rsidRPr="008E76F5">
              <w:rPr>
                <w:rFonts w:eastAsia="Times New Roman"/>
                <w:sz w:val="20"/>
                <w:szCs w:val="20"/>
                <w:lang w:val="es-CR" w:eastAsia="es-CR"/>
              </w:rPr>
              <w:t xml:space="preserve"> según lo indicado por OPS por parte del INEC. Se debe informar a las jefaturas de la reunión y desde cada Dirección de los participantes, gestionar la posibilidad de </w:t>
            </w:r>
            <w:r w:rsidRPr="008E76F5">
              <w:rPr>
                <w:rFonts w:eastAsia="Times New Roman"/>
                <w:sz w:val="20"/>
                <w:szCs w:val="20"/>
                <w:lang w:val="es-CR" w:eastAsia="es-CR"/>
              </w:rPr>
              <w:lastRenderedPageBreak/>
              <w:t xml:space="preserve">contar e instaurar el sistema de mortalidad </w:t>
            </w:r>
            <w:proofErr w:type="spellStart"/>
            <w:r w:rsidRPr="008E76F5">
              <w:rPr>
                <w:rFonts w:eastAsia="Times New Roman"/>
                <w:sz w:val="20"/>
                <w:szCs w:val="20"/>
                <w:lang w:val="es-CR" w:eastAsia="es-CR"/>
              </w:rPr>
              <w:t>AMoMo</w:t>
            </w:r>
            <w:proofErr w:type="spellEnd"/>
            <w:r w:rsidRPr="008E76F5">
              <w:rPr>
                <w:rFonts w:eastAsia="Times New Roman"/>
                <w:sz w:val="20"/>
                <w:szCs w:val="20"/>
                <w:lang w:val="es-CR" w:eastAsia="es-CR"/>
              </w:rPr>
              <w:t xml:space="preserve"> de OPS, (todo esto requiere que las autoridades lo aprueben y gestionar por medio de acuerdos específicos entre OPS y MINSA). Recomiendan trabajar en equipo las estrategias de comunicación.</w:t>
            </w:r>
          </w:p>
        </w:tc>
        <w:tc>
          <w:tcPr>
            <w:tcW w:w="1876" w:type="dxa"/>
          </w:tcPr>
          <w:p w14:paraId="357AA32B" w14:textId="11620F25"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Organización Panamericana de la Salud (OPS)</w:t>
            </w:r>
          </w:p>
        </w:tc>
        <w:tc>
          <w:tcPr>
            <w:tcW w:w="1488" w:type="dxa"/>
          </w:tcPr>
          <w:p w14:paraId="3CD2774C" w14:textId="65ACD534" w:rsidR="008E76F5" w:rsidRPr="00BB1BAA" w:rsidRDefault="005B54AB" w:rsidP="008E76F5">
            <w:pPr>
              <w:spacing w:line="240" w:lineRule="auto"/>
              <w:rPr>
                <w:rFonts w:eastAsia="Times New Roman"/>
                <w:sz w:val="19"/>
                <w:szCs w:val="19"/>
                <w:lang w:val="es-CR" w:eastAsia="es-CR"/>
              </w:rPr>
            </w:pPr>
            <w:r>
              <w:rPr>
                <w:rFonts w:eastAsia="Times New Roman"/>
                <w:sz w:val="20"/>
                <w:szCs w:val="20"/>
                <w:lang w:val="es-CR" w:eastAsia="es-CR"/>
              </w:rPr>
              <w:t xml:space="preserve">No se giran viáticos institucionales. </w:t>
            </w:r>
          </w:p>
        </w:tc>
        <w:tc>
          <w:tcPr>
            <w:tcW w:w="1578" w:type="dxa"/>
          </w:tcPr>
          <w:p w14:paraId="71376DCE" w14:textId="77777777" w:rsidR="008E76F5" w:rsidRPr="00D63D83" w:rsidRDefault="008E76F5" w:rsidP="008E76F5">
            <w:pPr>
              <w:spacing w:line="240" w:lineRule="auto"/>
              <w:rPr>
                <w:rFonts w:eastAsia="Times New Roman"/>
                <w:sz w:val="20"/>
                <w:szCs w:val="20"/>
                <w:lang w:val="es-CR" w:eastAsia="es-CR"/>
              </w:rPr>
            </w:pPr>
          </w:p>
        </w:tc>
      </w:tr>
      <w:tr w:rsidR="008E76F5" w:rsidRPr="00D63D83" w14:paraId="672E7EA7" w14:textId="77777777" w:rsidTr="008E76F5">
        <w:trPr>
          <w:gridAfter w:val="1"/>
          <w:wAfter w:w="12" w:type="dxa"/>
          <w:trHeight w:val="50"/>
          <w:jc w:val="center"/>
        </w:trPr>
        <w:tc>
          <w:tcPr>
            <w:tcW w:w="1252" w:type="dxa"/>
          </w:tcPr>
          <w:p w14:paraId="38C06E7F" w14:textId="64A1D8AF"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Fabricio Umaña Calvo </w:t>
            </w:r>
          </w:p>
        </w:tc>
        <w:tc>
          <w:tcPr>
            <w:tcW w:w="1530" w:type="dxa"/>
          </w:tcPr>
          <w:p w14:paraId="495BD654" w14:textId="3002A2A4"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Salud Ambiental </w:t>
            </w:r>
          </w:p>
        </w:tc>
        <w:tc>
          <w:tcPr>
            <w:tcW w:w="938" w:type="dxa"/>
          </w:tcPr>
          <w:p w14:paraId="633A2656" w14:textId="6B185AAC"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29</w:t>
            </w:r>
            <w:r w:rsidR="005B54AB">
              <w:rPr>
                <w:rFonts w:eastAsia="Times New Roman"/>
                <w:sz w:val="20"/>
                <w:szCs w:val="20"/>
                <w:lang w:val="es-CR" w:eastAsia="es-CR"/>
              </w:rPr>
              <w:t xml:space="preserve"> de octubre de 2025</w:t>
            </w:r>
          </w:p>
        </w:tc>
        <w:tc>
          <w:tcPr>
            <w:tcW w:w="1230" w:type="dxa"/>
          </w:tcPr>
          <w:p w14:paraId="48DD9891" w14:textId="6FAD8FA1"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30</w:t>
            </w:r>
            <w:r w:rsidR="005B54AB">
              <w:rPr>
                <w:rFonts w:eastAsia="Times New Roman"/>
                <w:sz w:val="20"/>
                <w:szCs w:val="20"/>
                <w:lang w:val="es-CR" w:eastAsia="es-CR"/>
              </w:rPr>
              <w:t xml:space="preserve"> de octubre de 2025</w:t>
            </w:r>
          </w:p>
        </w:tc>
        <w:tc>
          <w:tcPr>
            <w:tcW w:w="1119" w:type="dxa"/>
          </w:tcPr>
          <w:p w14:paraId="7832DF05" w14:textId="21EBE39B"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Colombia</w:t>
            </w:r>
          </w:p>
        </w:tc>
        <w:tc>
          <w:tcPr>
            <w:tcW w:w="1830" w:type="dxa"/>
          </w:tcPr>
          <w:p w14:paraId="52A2B5AE" w14:textId="7187727E"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Consulta Subregional en América Latina: “Avanzando en una respuesta a los fármacos en el ambiente en el contexto del Marco Global sobre Productos Químicos (</w:t>
            </w:r>
            <w:proofErr w:type="spellStart"/>
            <w:r w:rsidRPr="008E76F5">
              <w:rPr>
                <w:rFonts w:eastAsia="Times New Roman"/>
                <w:sz w:val="20"/>
                <w:szCs w:val="20"/>
                <w:lang w:val="es-CR" w:eastAsia="es-CR"/>
              </w:rPr>
              <w:t>GFC</w:t>
            </w:r>
            <w:proofErr w:type="spellEnd"/>
            <w:r w:rsidRPr="008E76F5">
              <w:rPr>
                <w:rFonts w:eastAsia="Times New Roman"/>
                <w:sz w:val="20"/>
                <w:szCs w:val="20"/>
                <w:lang w:val="es-CR" w:eastAsia="es-CR"/>
              </w:rPr>
              <w:t>)”</w:t>
            </w:r>
          </w:p>
        </w:tc>
        <w:tc>
          <w:tcPr>
            <w:tcW w:w="1957" w:type="dxa"/>
          </w:tcPr>
          <w:p w14:paraId="4720BF95" w14:textId="74404D06"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No se asumen compromisos. </w:t>
            </w:r>
          </w:p>
        </w:tc>
        <w:tc>
          <w:tcPr>
            <w:tcW w:w="1876" w:type="dxa"/>
          </w:tcPr>
          <w:p w14:paraId="4E629C22" w14:textId="61D7C5C1"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Programa de Naciones Unidas para el Medio Ambiente (</w:t>
            </w:r>
            <w:proofErr w:type="spellStart"/>
            <w:r w:rsidRPr="008E76F5">
              <w:rPr>
                <w:rFonts w:eastAsia="Times New Roman"/>
                <w:sz w:val="20"/>
                <w:szCs w:val="20"/>
                <w:lang w:val="es-CR" w:eastAsia="es-CR"/>
              </w:rPr>
              <w:t>PNUMA</w:t>
            </w:r>
            <w:proofErr w:type="spellEnd"/>
            <w:r w:rsidRPr="008E76F5">
              <w:rPr>
                <w:rFonts w:eastAsia="Times New Roman"/>
                <w:sz w:val="20"/>
                <w:szCs w:val="20"/>
                <w:lang w:val="es-CR" w:eastAsia="es-CR"/>
              </w:rPr>
              <w:t>)</w:t>
            </w:r>
          </w:p>
        </w:tc>
        <w:tc>
          <w:tcPr>
            <w:tcW w:w="1488" w:type="dxa"/>
          </w:tcPr>
          <w:p w14:paraId="380C987F" w14:textId="5BB53FF0" w:rsidR="008E76F5" w:rsidRPr="00BB1BAA" w:rsidRDefault="005B54AB" w:rsidP="008E76F5">
            <w:pPr>
              <w:spacing w:line="240" w:lineRule="auto"/>
              <w:rPr>
                <w:rFonts w:eastAsia="Times New Roman"/>
                <w:sz w:val="19"/>
                <w:szCs w:val="19"/>
                <w:lang w:val="es-CR" w:eastAsia="es-CR"/>
              </w:rPr>
            </w:pPr>
            <w:r>
              <w:rPr>
                <w:rFonts w:eastAsia="Times New Roman"/>
                <w:sz w:val="20"/>
                <w:szCs w:val="20"/>
                <w:lang w:val="es-CR" w:eastAsia="es-CR"/>
              </w:rPr>
              <w:t xml:space="preserve">No se giran viáticos institucionales. </w:t>
            </w:r>
          </w:p>
        </w:tc>
        <w:tc>
          <w:tcPr>
            <w:tcW w:w="1578" w:type="dxa"/>
          </w:tcPr>
          <w:p w14:paraId="5643194D" w14:textId="77777777" w:rsidR="008E76F5" w:rsidRPr="00D63D83" w:rsidRDefault="008E76F5" w:rsidP="008E76F5">
            <w:pPr>
              <w:spacing w:line="240" w:lineRule="auto"/>
              <w:rPr>
                <w:rFonts w:eastAsia="Times New Roman"/>
                <w:sz w:val="20"/>
                <w:szCs w:val="20"/>
                <w:lang w:val="es-CR" w:eastAsia="es-CR"/>
              </w:rPr>
            </w:pPr>
          </w:p>
        </w:tc>
      </w:tr>
      <w:tr w:rsidR="008E76F5" w:rsidRPr="00D63D83" w14:paraId="3EB7BADE" w14:textId="77777777" w:rsidTr="008E76F5">
        <w:trPr>
          <w:gridAfter w:val="1"/>
          <w:wAfter w:w="12" w:type="dxa"/>
          <w:trHeight w:val="50"/>
          <w:jc w:val="center"/>
        </w:trPr>
        <w:tc>
          <w:tcPr>
            <w:tcW w:w="1252" w:type="dxa"/>
          </w:tcPr>
          <w:p w14:paraId="0D7C72D0" w14:textId="364F1BDE"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Luis Walker Morera</w:t>
            </w:r>
          </w:p>
        </w:tc>
        <w:tc>
          <w:tcPr>
            <w:tcW w:w="1530" w:type="dxa"/>
          </w:tcPr>
          <w:p w14:paraId="7A4D4C7C" w14:textId="13ECD73D"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de Planificación </w:t>
            </w:r>
          </w:p>
        </w:tc>
        <w:tc>
          <w:tcPr>
            <w:tcW w:w="938" w:type="dxa"/>
          </w:tcPr>
          <w:p w14:paraId="027C1EBA" w14:textId="7DE01799"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29</w:t>
            </w:r>
            <w:r w:rsidR="005B54AB">
              <w:rPr>
                <w:rFonts w:eastAsia="Times New Roman"/>
                <w:sz w:val="20"/>
                <w:szCs w:val="20"/>
                <w:lang w:val="es-CR" w:eastAsia="es-CR"/>
              </w:rPr>
              <w:t xml:space="preserve"> de octubre de 2025</w:t>
            </w:r>
          </w:p>
        </w:tc>
        <w:tc>
          <w:tcPr>
            <w:tcW w:w="1230" w:type="dxa"/>
          </w:tcPr>
          <w:p w14:paraId="6EB37DFD" w14:textId="3A8FA190"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30</w:t>
            </w:r>
            <w:r w:rsidR="005B54AB">
              <w:rPr>
                <w:rFonts w:eastAsia="Times New Roman"/>
                <w:sz w:val="20"/>
                <w:szCs w:val="20"/>
                <w:lang w:val="es-CR" w:eastAsia="es-CR"/>
              </w:rPr>
              <w:t xml:space="preserve"> de octubre de 2025</w:t>
            </w:r>
          </w:p>
        </w:tc>
        <w:tc>
          <w:tcPr>
            <w:tcW w:w="1119" w:type="dxa"/>
          </w:tcPr>
          <w:p w14:paraId="76F54A7F" w14:textId="19D57AD3"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Guatemala</w:t>
            </w:r>
          </w:p>
        </w:tc>
        <w:tc>
          <w:tcPr>
            <w:tcW w:w="1830" w:type="dxa"/>
          </w:tcPr>
          <w:p w14:paraId="3B37D728" w14:textId="2DD5ADD0"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Taller Regional para la incorporación de los sectores de agricultura, trabajo y migración en la propuesta de </w:t>
            </w:r>
            <w:r w:rsidRPr="008E76F5">
              <w:rPr>
                <w:rFonts w:eastAsia="Times New Roman"/>
                <w:sz w:val="20"/>
                <w:szCs w:val="20"/>
                <w:lang w:val="es-CR" w:eastAsia="es-CR"/>
              </w:rPr>
              <w:lastRenderedPageBreak/>
              <w:t>protocolo regional para la atención sanitaria en el ingreso, permanencia y salida de personas trabajadoras temporales migrantes entre los Estados miembros del SICA</w:t>
            </w:r>
          </w:p>
        </w:tc>
        <w:tc>
          <w:tcPr>
            <w:tcW w:w="1957" w:type="dxa"/>
          </w:tcPr>
          <w:p w14:paraId="6845FE75" w14:textId="7979DEF1"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 xml:space="preserve">A finales del mes de noviembre se enviará a cada institución participante el borrador del protocolo en </w:t>
            </w:r>
            <w:r w:rsidRPr="008E76F5">
              <w:rPr>
                <w:rFonts w:eastAsia="Times New Roman"/>
                <w:sz w:val="20"/>
                <w:szCs w:val="20"/>
                <w:lang w:val="es-CR" w:eastAsia="es-CR"/>
              </w:rPr>
              <w:lastRenderedPageBreak/>
              <w:t>cuestión, para su revisión.</w:t>
            </w:r>
          </w:p>
        </w:tc>
        <w:tc>
          <w:tcPr>
            <w:tcW w:w="1876" w:type="dxa"/>
          </w:tcPr>
          <w:p w14:paraId="603FC20B" w14:textId="536ABE22"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Reino de España a través del Programa de Cooperación Regional España-SICA</w:t>
            </w:r>
          </w:p>
        </w:tc>
        <w:tc>
          <w:tcPr>
            <w:tcW w:w="1488" w:type="dxa"/>
          </w:tcPr>
          <w:p w14:paraId="0903FD49" w14:textId="112D6DD7" w:rsidR="008E76F5" w:rsidRPr="00BB1BAA" w:rsidRDefault="005B54AB" w:rsidP="008E76F5">
            <w:pPr>
              <w:spacing w:line="240" w:lineRule="auto"/>
              <w:rPr>
                <w:rFonts w:eastAsia="Times New Roman"/>
                <w:sz w:val="19"/>
                <w:szCs w:val="19"/>
                <w:lang w:val="es-CR" w:eastAsia="es-CR"/>
              </w:rPr>
            </w:pPr>
            <w:r>
              <w:rPr>
                <w:rFonts w:eastAsia="Times New Roman"/>
                <w:sz w:val="20"/>
                <w:szCs w:val="20"/>
                <w:lang w:val="es-CR" w:eastAsia="es-CR"/>
              </w:rPr>
              <w:t xml:space="preserve">No se giran viáticos institucionales. </w:t>
            </w:r>
          </w:p>
        </w:tc>
        <w:tc>
          <w:tcPr>
            <w:tcW w:w="1578" w:type="dxa"/>
          </w:tcPr>
          <w:p w14:paraId="79189276" w14:textId="77777777" w:rsidR="008E76F5" w:rsidRPr="00D63D83" w:rsidRDefault="008E76F5" w:rsidP="008E76F5">
            <w:pPr>
              <w:spacing w:line="240" w:lineRule="auto"/>
              <w:rPr>
                <w:rFonts w:eastAsia="Times New Roman"/>
                <w:sz w:val="20"/>
                <w:szCs w:val="20"/>
                <w:lang w:val="es-CR" w:eastAsia="es-CR"/>
              </w:rPr>
            </w:pPr>
          </w:p>
        </w:tc>
      </w:tr>
      <w:tr w:rsidR="008E76F5" w:rsidRPr="00D63D83" w14:paraId="4AD11057" w14:textId="77777777" w:rsidTr="008E76F5">
        <w:trPr>
          <w:gridAfter w:val="1"/>
          <w:wAfter w:w="12" w:type="dxa"/>
          <w:trHeight w:val="50"/>
          <w:jc w:val="center"/>
        </w:trPr>
        <w:tc>
          <w:tcPr>
            <w:tcW w:w="1252" w:type="dxa"/>
          </w:tcPr>
          <w:p w14:paraId="027E19E2" w14:textId="1578019A"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Andrea Badilla Jiménez</w:t>
            </w:r>
          </w:p>
        </w:tc>
        <w:tc>
          <w:tcPr>
            <w:tcW w:w="1530" w:type="dxa"/>
          </w:tcPr>
          <w:p w14:paraId="3AB3B052" w14:textId="37E2404C"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Regulación de Productos de Interés Sanitario </w:t>
            </w:r>
          </w:p>
        </w:tc>
        <w:tc>
          <w:tcPr>
            <w:tcW w:w="938" w:type="dxa"/>
          </w:tcPr>
          <w:p w14:paraId="1A7FFCA1" w14:textId="3385CBA1"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29</w:t>
            </w:r>
            <w:r w:rsidR="005B54AB">
              <w:rPr>
                <w:rFonts w:eastAsia="Times New Roman"/>
                <w:sz w:val="20"/>
                <w:szCs w:val="20"/>
                <w:lang w:val="es-CR" w:eastAsia="es-CR"/>
              </w:rPr>
              <w:t xml:space="preserve"> de octubre de 2025</w:t>
            </w:r>
          </w:p>
        </w:tc>
        <w:tc>
          <w:tcPr>
            <w:tcW w:w="1230" w:type="dxa"/>
          </w:tcPr>
          <w:p w14:paraId="3B0B77DE" w14:textId="23E604D2"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31</w:t>
            </w:r>
            <w:r w:rsidR="005B54AB">
              <w:rPr>
                <w:rFonts w:eastAsia="Times New Roman"/>
                <w:sz w:val="20"/>
                <w:szCs w:val="20"/>
                <w:lang w:val="es-CR" w:eastAsia="es-CR"/>
              </w:rPr>
              <w:t xml:space="preserve"> de octubre de 2025</w:t>
            </w:r>
          </w:p>
        </w:tc>
        <w:tc>
          <w:tcPr>
            <w:tcW w:w="1119" w:type="dxa"/>
          </w:tcPr>
          <w:p w14:paraId="42024F26" w14:textId="79F4DD36"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El Salvador</w:t>
            </w:r>
          </w:p>
        </w:tc>
        <w:tc>
          <w:tcPr>
            <w:tcW w:w="1830" w:type="dxa"/>
          </w:tcPr>
          <w:p w14:paraId="6DA333ED" w14:textId="41D75402"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Taller directrices OMS normativa control vacunas </w:t>
            </w:r>
            <w:proofErr w:type="spellStart"/>
            <w:r w:rsidRPr="008E76F5">
              <w:rPr>
                <w:rFonts w:eastAsia="Times New Roman"/>
                <w:sz w:val="20"/>
                <w:szCs w:val="20"/>
                <w:lang w:val="es-CR" w:eastAsia="es-CR"/>
              </w:rPr>
              <w:t>anti-pandémicas</w:t>
            </w:r>
            <w:proofErr w:type="spellEnd"/>
            <w:r w:rsidRPr="008E76F5">
              <w:rPr>
                <w:rFonts w:eastAsia="Times New Roman"/>
                <w:sz w:val="20"/>
                <w:szCs w:val="20"/>
                <w:lang w:val="es-CR" w:eastAsia="es-CR"/>
              </w:rPr>
              <w:t xml:space="preserve"> u otras vacunas de uso en emergencias</w:t>
            </w:r>
          </w:p>
        </w:tc>
        <w:tc>
          <w:tcPr>
            <w:tcW w:w="1957" w:type="dxa"/>
          </w:tcPr>
          <w:p w14:paraId="290C041C" w14:textId="7CBEA012"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Presentar la Hoja de ruta trabajada a los superiores para determinar si están de acuerdo o si requiere ajustes para enviar la versión final al equipo de OPS/OMS. Dar cumplimiento a cada uno de los compromisos y acciones definidas durante las sesiones con OPS para la consolidación de Costa Rica como ARN que incluya la elaboración de los </w:t>
            </w:r>
            <w:r w:rsidRPr="008E76F5">
              <w:rPr>
                <w:rFonts w:eastAsia="Times New Roman"/>
                <w:sz w:val="20"/>
                <w:szCs w:val="20"/>
                <w:lang w:val="es-CR" w:eastAsia="es-CR"/>
              </w:rPr>
              <w:lastRenderedPageBreak/>
              <w:t>procedimientos donde se describa el proceso y los tiempos para el reconocimiento de inspecciones o decisiones regulatorias tomadas por ARN extranjeras en las diferentes funciones reguladoras.</w:t>
            </w:r>
          </w:p>
        </w:tc>
        <w:tc>
          <w:tcPr>
            <w:tcW w:w="1876" w:type="dxa"/>
          </w:tcPr>
          <w:p w14:paraId="4D066722" w14:textId="380FE074"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Organización Panamericana de la Salud (OPS)</w:t>
            </w:r>
          </w:p>
        </w:tc>
        <w:tc>
          <w:tcPr>
            <w:tcW w:w="1488" w:type="dxa"/>
          </w:tcPr>
          <w:p w14:paraId="09AF6FB4" w14:textId="014019DD" w:rsidR="008E76F5" w:rsidRPr="00BB1BAA" w:rsidRDefault="005B54AB" w:rsidP="008E76F5">
            <w:pPr>
              <w:spacing w:line="240" w:lineRule="auto"/>
              <w:rPr>
                <w:rFonts w:eastAsia="Times New Roman"/>
                <w:sz w:val="19"/>
                <w:szCs w:val="19"/>
                <w:lang w:val="es-CR" w:eastAsia="es-CR"/>
              </w:rPr>
            </w:pPr>
            <w:r>
              <w:rPr>
                <w:rFonts w:eastAsia="Times New Roman"/>
                <w:sz w:val="20"/>
                <w:szCs w:val="20"/>
                <w:lang w:val="es-CR" w:eastAsia="es-CR"/>
              </w:rPr>
              <w:t xml:space="preserve">No se giran viáticos institucionales. </w:t>
            </w:r>
          </w:p>
        </w:tc>
        <w:tc>
          <w:tcPr>
            <w:tcW w:w="1578" w:type="dxa"/>
          </w:tcPr>
          <w:p w14:paraId="2A5CF288" w14:textId="77777777" w:rsidR="008E76F5" w:rsidRPr="00D63D83" w:rsidRDefault="008E76F5" w:rsidP="008E76F5">
            <w:pPr>
              <w:spacing w:line="240" w:lineRule="auto"/>
              <w:rPr>
                <w:rFonts w:eastAsia="Times New Roman"/>
                <w:sz w:val="20"/>
                <w:szCs w:val="20"/>
                <w:lang w:val="es-CR" w:eastAsia="es-CR"/>
              </w:rPr>
            </w:pPr>
          </w:p>
        </w:tc>
      </w:tr>
      <w:tr w:rsidR="008E76F5" w:rsidRPr="00D63D83" w14:paraId="0056E098" w14:textId="77777777" w:rsidTr="008E76F5">
        <w:trPr>
          <w:gridAfter w:val="1"/>
          <w:wAfter w:w="12" w:type="dxa"/>
          <w:trHeight w:val="50"/>
          <w:jc w:val="center"/>
        </w:trPr>
        <w:tc>
          <w:tcPr>
            <w:tcW w:w="1252" w:type="dxa"/>
          </w:tcPr>
          <w:p w14:paraId="4145844F" w14:textId="11C7448C"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María Luisa Ortiz León</w:t>
            </w:r>
          </w:p>
        </w:tc>
        <w:tc>
          <w:tcPr>
            <w:tcW w:w="1530" w:type="dxa"/>
          </w:tcPr>
          <w:p w14:paraId="22F1A42A" w14:textId="249D688E"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Regulación de Productos de Interés Sanitario </w:t>
            </w:r>
          </w:p>
        </w:tc>
        <w:tc>
          <w:tcPr>
            <w:tcW w:w="938" w:type="dxa"/>
          </w:tcPr>
          <w:p w14:paraId="2B33B474" w14:textId="0704FE48"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29</w:t>
            </w:r>
            <w:r w:rsidR="005B54AB">
              <w:rPr>
                <w:rFonts w:eastAsia="Times New Roman"/>
                <w:sz w:val="20"/>
                <w:szCs w:val="20"/>
                <w:lang w:val="es-CR" w:eastAsia="es-CR"/>
              </w:rPr>
              <w:t xml:space="preserve"> de octubre de 2025</w:t>
            </w:r>
          </w:p>
        </w:tc>
        <w:tc>
          <w:tcPr>
            <w:tcW w:w="1230" w:type="dxa"/>
          </w:tcPr>
          <w:p w14:paraId="799E8DC5" w14:textId="23F4CC4B"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31</w:t>
            </w:r>
            <w:r w:rsidR="005B54AB">
              <w:rPr>
                <w:rFonts w:eastAsia="Times New Roman"/>
                <w:sz w:val="20"/>
                <w:szCs w:val="20"/>
                <w:lang w:val="es-CR" w:eastAsia="es-CR"/>
              </w:rPr>
              <w:t xml:space="preserve"> de octubre de 2025</w:t>
            </w:r>
          </w:p>
        </w:tc>
        <w:tc>
          <w:tcPr>
            <w:tcW w:w="1119" w:type="dxa"/>
          </w:tcPr>
          <w:p w14:paraId="52B1B148" w14:textId="28B3581C"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El Salvador</w:t>
            </w:r>
          </w:p>
        </w:tc>
        <w:tc>
          <w:tcPr>
            <w:tcW w:w="1830" w:type="dxa"/>
          </w:tcPr>
          <w:p w14:paraId="05EAF498" w14:textId="0348048A"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Taller directrices OMS normativa control vacunas </w:t>
            </w:r>
            <w:proofErr w:type="spellStart"/>
            <w:r w:rsidRPr="008E76F5">
              <w:rPr>
                <w:rFonts w:eastAsia="Times New Roman"/>
                <w:sz w:val="20"/>
                <w:szCs w:val="20"/>
                <w:lang w:val="es-CR" w:eastAsia="es-CR"/>
              </w:rPr>
              <w:t>anti-pandémicas</w:t>
            </w:r>
            <w:proofErr w:type="spellEnd"/>
            <w:r w:rsidRPr="008E76F5">
              <w:rPr>
                <w:rFonts w:eastAsia="Times New Roman"/>
                <w:sz w:val="20"/>
                <w:szCs w:val="20"/>
                <w:lang w:val="es-CR" w:eastAsia="es-CR"/>
              </w:rPr>
              <w:t xml:space="preserve"> u otras vacunas de uso en emergencias</w:t>
            </w:r>
          </w:p>
        </w:tc>
        <w:tc>
          <w:tcPr>
            <w:tcW w:w="1957" w:type="dxa"/>
          </w:tcPr>
          <w:p w14:paraId="21B6321A" w14:textId="74F546B3"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Presentar la Hoja de ruta trabajada a las jefaturas para determinar si están de acuerdo con la misma o requiere ajustes. Lo anterior para enviar la versión final al equipo de OPS/OMS. Dar cumplimiento a cada uno de los compromisos y acciones definidas durante las sesiones con OPS para la consolidación de Costa Rica como ARN que incluya la </w:t>
            </w:r>
            <w:r w:rsidRPr="008E76F5">
              <w:rPr>
                <w:rFonts w:eastAsia="Times New Roman"/>
                <w:sz w:val="20"/>
                <w:szCs w:val="20"/>
                <w:lang w:val="es-CR" w:eastAsia="es-CR"/>
              </w:rPr>
              <w:lastRenderedPageBreak/>
              <w:t>elaboración de los procedimientos donde se describa el proceso y los tiempos para el reconocimiento de inspecciones o decisiones regulatorias tomadas por ARN extranjeras en las</w:t>
            </w:r>
            <w:r w:rsidR="005B54AB">
              <w:rPr>
                <w:rFonts w:eastAsia="Times New Roman"/>
                <w:sz w:val="20"/>
                <w:szCs w:val="20"/>
                <w:lang w:val="es-CR" w:eastAsia="es-CR"/>
              </w:rPr>
              <w:t xml:space="preserve"> </w:t>
            </w:r>
            <w:r w:rsidRPr="008E76F5">
              <w:rPr>
                <w:rFonts w:eastAsia="Times New Roman"/>
                <w:sz w:val="20"/>
                <w:szCs w:val="20"/>
                <w:lang w:val="es-CR" w:eastAsia="es-CR"/>
              </w:rPr>
              <w:t xml:space="preserve">diferentes funciones reguladoras. </w:t>
            </w:r>
          </w:p>
        </w:tc>
        <w:tc>
          <w:tcPr>
            <w:tcW w:w="1876" w:type="dxa"/>
          </w:tcPr>
          <w:p w14:paraId="65ACE2D7" w14:textId="257FCF78"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Organización Panamericana de la Salud (OPS)</w:t>
            </w:r>
          </w:p>
        </w:tc>
        <w:tc>
          <w:tcPr>
            <w:tcW w:w="1488" w:type="dxa"/>
          </w:tcPr>
          <w:p w14:paraId="34873250" w14:textId="397B9C98" w:rsidR="008E76F5" w:rsidRPr="00BB1BAA" w:rsidRDefault="005B54AB" w:rsidP="008E76F5">
            <w:pPr>
              <w:spacing w:line="240" w:lineRule="auto"/>
              <w:rPr>
                <w:rFonts w:eastAsia="Times New Roman"/>
                <w:sz w:val="19"/>
                <w:szCs w:val="19"/>
                <w:lang w:val="es-CR" w:eastAsia="es-CR"/>
              </w:rPr>
            </w:pPr>
            <w:r>
              <w:rPr>
                <w:rFonts w:eastAsia="Times New Roman"/>
                <w:sz w:val="20"/>
                <w:szCs w:val="20"/>
                <w:lang w:val="es-CR" w:eastAsia="es-CR"/>
              </w:rPr>
              <w:t xml:space="preserve">No se giran viáticos institucionales. </w:t>
            </w:r>
          </w:p>
        </w:tc>
        <w:tc>
          <w:tcPr>
            <w:tcW w:w="1578" w:type="dxa"/>
          </w:tcPr>
          <w:p w14:paraId="41A20998" w14:textId="77777777" w:rsidR="008E76F5" w:rsidRPr="00D63D83" w:rsidRDefault="008E76F5" w:rsidP="008E76F5">
            <w:pPr>
              <w:spacing w:line="240" w:lineRule="auto"/>
              <w:rPr>
                <w:rFonts w:eastAsia="Times New Roman"/>
                <w:sz w:val="20"/>
                <w:szCs w:val="20"/>
                <w:lang w:val="es-CR" w:eastAsia="es-CR"/>
              </w:rPr>
            </w:pPr>
          </w:p>
        </w:tc>
      </w:tr>
      <w:tr w:rsidR="008E76F5" w:rsidRPr="00D63D83" w14:paraId="5D91A140" w14:textId="77777777" w:rsidTr="008E76F5">
        <w:trPr>
          <w:gridAfter w:val="1"/>
          <w:wAfter w:w="12" w:type="dxa"/>
          <w:trHeight w:val="50"/>
          <w:jc w:val="center"/>
        </w:trPr>
        <w:tc>
          <w:tcPr>
            <w:tcW w:w="1252" w:type="dxa"/>
          </w:tcPr>
          <w:p w14:paraId="4B45A21F" w14:textId="09DB91F3" w:rsidR="008E76F5" w:rsidRPr="00D63D83" w:rsidRDefault="008E76F5" w:rsidP="008E76F5">
            <w:pPr>
              <w:spacing w:line="240" w:lineRule="auto"/>
              <w:rPr>
                <w:rFonts w:eastAsia="Times New Roman"/>
                <w:sz w:val="20"/>
                <w:szCs w:val="20"/>
                <w:lang w:val="es-CR" w:eastAsia="es-CR"/>
              </w:rPr>
            </w:pPr>
            <w:proofErr w:type="spellStart"/>
            <w:r w:rsidRPr="008E76F5">
              <w:rPr>
                <w:rFonts w:eastAsia="Times New Roman"/>
                <w:sz w:val="20"/>
                <w:szCs w:val="20"/>
                <w:lang w:val="es-CR" w:eastAsia="es-CR"/>
              </w:rPr>
              <w:t>Deika</w:t>
            </w:r>
            <w:proofErr w:type="spellEnd"/>
            <w:r w:rsidRPr="008E76F5">
              <w:rPr>
                <w:rFonts w:eastAsia="Times New Roman"/>
                <w:sz w:val="20"/>
                <w:szCs w:val="20"/>
                <w:lang w:val="es-CR" w:eastAsia="es-CR"/>
              </w:rPr>
              <w:t xml:space="preserve"> Castillo Camargo</w:t>
            </w:r>
          </w:p>
        </w:tc>
        <w:tc>
          <w:tcPr>
            <w:tcW w:w="1530" w:type="dxa"/>
          </w:tcPr>
          <w:p w14:paraId="49695D5F" w14:textId="477ACEE0"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Área Rectora de Salud Corredores</w:t>
            </w:r>
          </w:p>
        </w:tc>
        <w:tc>
          <w:tcPr>
            <w:tcW w:w="938" w:type="dxa"/>
          </w:tcPr>
          <w:p w14:paraId="6A2FE4BE" w14:textId="2C0872D6"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29</w:t>
            </w:r>
            <w:r w:rsidR="005B54AB">
              <w:rPr>
                <w:rFonts w:eastAsia="Times New Roman"/>
                <w:sz w:val="20"/>
                <w:szCs w:val="20"/>
                <w:lang w:val="es-CR" w:eastAsia="es-CR"/>
              </w:rPr>
              <w:t xml:space="preserve"> de octubre de 2025</w:t>
            </w:r>
          </w:p>
        </w:tc>
        <w:tc>
          <w:tcPr>
            <w:tcW w:w="1230" w:type="dxa"/>
          </w:tcPr>
          <w:p w14:paraId="4A67480E" w14:textId="7E539E24"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31</w:t>
            </w:r>
            <w:r w:rsidR="005B54AB">
              <w:rPr>
                <w:rFonts w:eastAsia="Times New Roman"/>
                <w:sz w:val="20"/>
                <w:szCs w:val="20"/>
                <w:lang w:val="es-CR" w:eastAsia="es-CR"/>
              </w:rPr>
              <w:t xml:space="preserve"> de octubre de 2025</w:t>
            </w:r>
          </w:p>
        </w:tc>
        <w:tc>
          <w:tcPr>
            <w:tcW w:w="1119" w:type="dxa"/>
          </w:tcPr>
          <w:p w14:paraId="774424AA" w14:textId="08723487"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Colombia</w:t>
            </w:r>
          </w:p>
        </w:tc>
        <w:tc>
          <w:tcPr>
            <w:tcW w:w="1830" w:type="dxa"/>
          </w:tcPr>
          <w:p w14:paraId="0C3F76F6" w14:textId="2055C290"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Reunión Regional sobre la vigilancia comunitaria de eventos (</w:t>
            </w:r>
            <w:proofErr w:type="spellStart"/>
            <w:r w:rsidRPr="008E76F5">
              <w:rPr>
                <w:rFonts w:eastAsia="Times New Roman"/>
                <w:sz w:val="20"/>
                <w:szCs w:val="20"/>
                <w:lang w:val="es-CR" w:eastAsia="es-CR"/>
              </w:rPr>
              <w:t>CBES</w:t>
            </w:r>
            <w:proofErr w:type="spellEnd"/>
            <w:r w:rsidRPr="008E76F5">
              <w:rPr>
                <w:rFonts w:eastAsia="Times New Roman"/>
                <w:sz w:val="20"/>
                <w:szCs w:val="20"/>
                <w:lang w:val="es-CR" w:eastAsia="es-CR"/>
              </w:rPr>
              <w:t>)</w:t>
            </w:r>
          </w:p>
        </w:tc>
        <w:tc>
          <w:tcPr>
            <w:tcW w:w="1957" w:type="dxa"/>
          </w:tcPr>
          <w:p w14:paraId="79C36FBD" w14:textId="242404A8"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Socializar con autoridades (directora de vigilancia de la salud, enlace </w:t>
            </w:r>
            <w:proofErr w:type="spellStart"/>
            <w:r w:rsidRPr="008E76F5">
              <w:rPr>
                <w:rFonts w:eastAsia="Times New Roman"/>
                <w:sz w:val="20"/>
                <w:szCs w:val="20"/>
                <w:lang w:val="es-CR" w:eastAsia="es-CR"/>
              </w:rPr>
              <w:t>RSI</w:t>
            </w:r>
            <w:proofErr w:type="spellEnd"/>
            <w:r w:rsidR="005B54AB">
              <w:rPr>
                <w:rFonts w:eastAsia="Times New Roman"/>
                <w:sz w:val="20"/>
                <w:szCs w:val="20"/>
                <w:lang w:val="es-CR" w:eastAsia="es-CR"/>
              </w:rPr>
              <w:t xml:space="preserve"> </w:t>
            </w:r>
            <w:r w:rsidRPr="008E76F5">
              <w:rPr>
                <w:rFonts w:eastAsia="Times New Roman"/>
                <w:sz w:val="20"/>
                <w:szCs w:val="20"/>
                <w:lang w:val="es-CR" w:eastAsia="es-CR"/>
              </w:rPr>
              <w:t>(CNE-</w:t>
            </w:r>
            <w:proofErr w:type="spellStart"/>
            <w:r w:rsidRPr="008E76F5">
              <w:rPr>
                <w:rFonts w:eastAsia="Times New Roman"/>
                <w:sz w:val="20"/>
                <w:szCs w:val="20"/>
                <w:lang w:val="es-CR" w:eastAsia="es-CR"/>
              </w:rPr>
              <w:t>RSI</w:t>
            </w:r>
            <w:proofErr w:type="spellEnd"/>
            <w:r w:rsidRPr="008E76F5">
              <w:rPr>
                <w:rFonts w:eastAsia="Times New Roman"/>
                <w:sz w:val="20"/>
                <w:szCs w:val="20"/>
                <w:lang w:val="es-CR" w:eastAsia="es-CR"/>
              </w:rPr>
              <w:t xml:space="preserve">), la hoja de ruta para la implementación de la </w:t>
            </w:r>
            <w:proofErr w:type="spellStart"/>
            <w:r w:rsidRPr="008E76F5">
              <w:rPr>
                <w:rFonts w:eastAsia="Times New Roman"/>
                <w:sz w:val="20"/>
                <w:szCs w:val="20"/>
                <w:lang w:val="es-CR" w:eastAsia="es-CR"/>
              </w:rPr>
              <w:t>VEBC</w:t>
            </w:r>
            <w:proofErr w:type="spellEnd"/>
            <w:r w:rsidR="005B54AB">
              <w:rPr>
                <w:rFonts w:eastAsia="Times New Roman"/>
                <w:sz w:val="20"/>
                <w:szCs w:val="20"/>
                <w:lang w:val="es-CR" w:eastAsia="es-CR"/>
              </w:rPr>
              <w:t xml:space="preserve"> </w:t>
            </w:r>
            <w:r w:rsidRPr="008E76F5">
              <w:rPr>
                <w:rFonts w:eastAsia="Times New Roman"/>
                <w:sz w:val="20"/>
                <w:szCs w:val="20"/>
                <w:lang w:val="es-CR" w:eastAsia="es-CR"/>
              </w:rPr>
              <w:t>(2025-2056).</w:t>
            </w:r>
          </w:p>
        </w:tc>
        <w:tc>
          <w:tcPr>
            <w:tcW w:w="1876" w:type="dxa"/>
          </w:tcPr>
          <w:p w14:paraId="59A2A496" w14:textId="7F47ED96"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Organización Panamericana de la Salud (OPS)</w:t>
            </w:r>
          </w:p>
        </w:tc>
        <w:tc>
          <w:tcPr>
            <w:tcW w:w="1488" w:type="dxa"/>
          </w:tcPr>
          <w:p w14:paraId="4F91034E" w14:textId="0A9CE8F4" w:rsidR="008E76F5" w:rsidRPr="00BB1BAA" w:rsidRDefault="005B54AB" w:rsidP="008E76F5">
            <w:pPr>
              <w:spacing w:line="240" w:lineRule="auto"/>
              <w:rPr>
                <w:rFonts w:eastAsia="Times New Roman"/>
                <w:sz w:val="19"/>
                <w:szCs w:val="19"/>
                <w:lang w:val="es-CR" w:eastAsia="es-CR"/>
              </w:rPr>
            </w:pPr>
            <w:r>
              <w:rPr>
                <w:rFonts w:eastAsia="Times New Roman"/>
                <w:sz w:val="20"/>
                <w:szCs w:val="20"/>
                <w:lang w:val="es-CR" w:eastAsia="es-CR"/>
              </w:rPr>
              <w:t xml:space="preserve">No se giran viáticos institucionales. </w:t>
            </w:r>
          </w:p>
        </w:tc>
        <w:tc>
          <w:tcPr>
            <w:tcW w:w="1578" w:type="dxa"/>
          </w:tcPr>
          <w:p w14:paraId="0938A7FF" w14:textId="77777777" w:rsidR="008E76F5" w:rsidRPr="00D63D83" w:rsidRDefault="008E76F5" w:rsidP="008E76F5">
            <w:pPr>
              <w:spacing w:line="240" w:lineRule="auto"/>
              <w:rPr>
                <w:rFonts w:eastAsia="Times New Roman"/>
                <w:sz w:val="20"/>
                <w:szCs w:val="20"/>
                <w:lang w:val="es-CR" w:eastAsia="es-CR"/>
              </w:rPr>
            </w:pPr>
          </w:p>
        </w:tc>
      </w:tr>
      <w:tr w:rsidR="008E76F5" w:rsidRPr="00D63D83" w14:paraId="66623522" w14:textId="77777777" w:rsidTr="008E76F5">
        <w:trPr>
          <w:gridAfter w:val="1"/>
          <w:wAfter w:w="12" w:type="dxa"/>
          <w:trHeight w:val="50"/>
          <w:jc w:val="center"/>
        </w:trPr>
        <w:tc>
          <w:tcPr>
            <w:tcW w:w="1252" w:type="dxa"/>
          </w:tcPr>
          <w:p w14:paraId="0F31DFBC" w14:textId="1032E631"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Luis Fernando </w:t>
            </w:r>
            <w:proofErr w:type="spellStart"/>
            <w:r w:rsidRPr="008E76F5">
              <w:rPr>
                <w:rFonts w:eastAsia="Times New Roman"/>
                <w:sz w:val="20"/>
                <w:szCs w:val="20"/>
                <w:lang w:val="es-CR" w:eastAsia="es-CR"/>
              </w:rPr>
              <w:t>Yglesias</w:t>
            </w:r>
            <w:proofErr w:type="spellEnd"/>
            <w:r w:rsidRPr="008E76F5">
              <w:rPr>
                <w:rFonts w:eastAsia="Times New Roman"/>
                <w:sz w:val="20"/>
                <w:szCs w:val="20"/>
                <w:lang w:val="es-CR" w:eastAsia="es-CR"/>
              </w:rPr>
              <w:t xml:space="preserve"> Barahona</w:t>
            </w:r>
          </w:p>
        </w:tc>
        <w:tc>
          <w:tcPr>
            <w:tcW w:w="1530" w:type="dxa"/>
          </w:tcPr>
          <w:p w14:paraId="0760E3AD" w14:textId="0BB5983B"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 xml:space="preserve">Dirección General de Salud </w:t>
            </w:r>
          </w:p>
        </w:tc>
        <w:tc>
          <w:tcPr>
            <w:tcW w:w="938" w:type="dxa"/>
          </w:tcPr>
          <w:p w14:paraId="2B0B160D" w14:textId="77D80912"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30</w:t>
            </w:r>
            <w:r w:rsidR="005B54AB">
              <w:rPr>
                <w:rFonts w:eastAsia="Times New Roman"/>
                <w:sz w:val="20"/>
                <w:szCs w:val="20"/>
                <w:lang w:val="es-CR" w:eastAsia="es-CR"/>
              </w:rPr>
              <w:t xml:space="preserve"> de octubre de 2025</w:t>
            </w:r>
          </w:p>
        </w:tc>
        <w:tc>
          <w:tcPr>
            <w:tcW w:w="1230" w:type="dxa"/>
          </w:tcPr>
          <w:p w14:paraId="6359BF05" w14:textId="12E621D7"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31</w:t>
            </w:r>
            <w:r w:rsidR="005B54AB">
              <w:rPr>
                <w:rFonts w:eastAsia="Times New Roman"/>
                <w:sz w:val="20"/>
                <w:szCs w:val="20"/>
                <w:lang w:val="es-CR" w:eastAsia="es-CR"/>
              </w:rPr>
              <w:t xml:space="preserve"> de octubre de 2025</w:t>
            </w:r>
          </w:p>
        </w:tc>
        <w:tc>
          <w:tcPr>
            <w:tcW w:w="1119" w:type="dxa"/>
          </w:tcPr>
          <w:p w14:paraId="05021BE8" w14:textId="6BD14F25"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Francia</w:t>
            </w:r>
          </w:p>
        </w:tc>
        <w:tc>
          <w:tcPr>
            <w:tcW w:w="1830" w:type="dxa"/>
          </w:tcPr>
          <w:p w14:paraId="3CF534C6" w14:textId="57D63B7F" w:rsidR="008E76F5" w:rsidRPr="008E76F5" w:rsidRDefault="008E76F5" w:rsidP="008E76F5">
            <w:pPr>
              <w:spacing w:line="240" w:lineRule="auto"/>
              <w:rPr>
                <w:rFonts w:eastAsia="Times New Roman"/>
                <w:sz w:val="20"/>
                <w:szCs w:val="20"/>
                <w:lang w:val="en-US" w:eastAsia="es-CR"/>
              </w:rPr>
            </w:pPr>
            <w:r w:rsidRPr="008E76F5">
              <w:rPr>
                <w:rFonts w:eastAsia="Times New Roman"/>
                <w:sz w:val="20"/>
                <w:szCs w:val="20"/>
                <w:lang w:val="en-US" w:eastAsia="es-CR"/>
              </w:rPr>
              <w:t xml:space="preserve"> Working Party on Health Statistics (</w:t>
            </w:r>
            <w:proofErr w:type="spellStart"/>
            <w:r w:rsidRPr="008E76F5">
              <w:rPr>
                <w:rFonts w:eastAsia="Times New Roman"/>
                <w:sz w:val="20"/>
                <w:szCs w:val="20"/>
                <w:lang w:val="en-US" w:eastAsia="es-CR"/>
              </w:rPr>
              <w:t>WPHS</w:t>
            </w:r>
            <w:proofErr w:type="spellEnd"/>
            <w:r w:rsidRPr="008E76F5">
              <w:rPr>
                <w:rFonts w:eastAsia="Times New Roman"/>
                <w:sz w:val="20"/>
                <w:szCs w:val="20"/>
                <w:lang w:val="en-US" w:eastAsia="es-CR"/>
              </w:rPr>
              <w:t>)</w:t>
            </w:r>
          </w:p>
        </w:tc>
        <w:tc>
          <w:tcPr>
            <w:tcW w:w="1957" w:type="dxa"/>
          </w:tcPr>
          <w:p w14:paraId="25F67130" w14:textId="362D39BE" w:rsidR="008E76F5" w:rsidRPr="008E76F5"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t>Participar en futuras rondas de recolección de datos.</w:t>
            </w:r>
            <w:r w:rsidR="005B54AB">
              <w:rPr>
                <w:rFonts w:eastAsia="Times New Roman"/>
                <w:sz w:val="20"/>
                <w:szCs w:val="20"/>
                <w:lang w:val="es-CR" w:eastAsia="es-CR"/>
              </w:rPr>
              <w:t xml:space="preserve"> </w:t>
            </w:r>
            <w:r w:rsidRPr="008E76F5">
              <w:rPr>
                <w:rFonts w:eastAsia="Times New Roman"/>
                <w:sz w:val="20"/>
                <w:szCs w:val="20"/>
                <w:lang w:val="es-CR" w:eastAsia="es-CR"/>
              </w:rPr>
              <w:t>Explorar mecanismos para mejorar la interoperabilidad de los sistemas de información en salud.</w:t>
            </w:r>
            <w:r w:rsidR="005B54AB">
              <w:rPr>
                <w:rFonts w:eastAsia="Times New Roman"/>
                <w:sz w:val="20"/>
                <w:szCs w:val="20"/>
                <w:lang w:val="es-CR" w:eastAsia="es-CR"/>
              </w:rPr>
              <w:t xml:space="preserve"> </w:t>
            </w:r>
            <w:r w:rsidRPr="008E76F5">
              <w:rPr>
                <w:rFonts w:eastAsia="Times New Roman"/>
                <w:sz w:val="20"/>
                <w:szCs w:val="20"/>
                <w:lang w:val="es-CR" w:eastAsia="es-CR"/>
              </w:rPr>
              <w:t xml:space="preserve">Fortalecer la </w:t>
            </w:r>
            <w:r w:rsidRPr="008E76F5">
              <w:rPr>
                <w:rFonts w:eastAsia="Times New Roman"/>
                <w:sz w:val="20"/>
                <w:szCs w:val="20"/>
                <w:lang w:val="es-CR" w:eastAsia="es-CR"/>
              </w:rPr>
              <w:lastRenderedPageBreak/>
              <w:t>coordinación interinstitucional para mejorar la calidad de los datos reportados a la OCDE.</w:t>
            </w:r>
            <w:r w:rsidR="005B54AB">
              <w:rPr>
                <w:rFonts w:eastAsia="Times New Roman"/>
                <w:sz w:val="20"/>
                <w:szCs w:val="20"/>
                <w:lang w:val="es-CR" w:eastAsia="es-CR"/>
              </w:rPr>
              <w:t xml:space="preserve"> </w:t>
            </w:r>
            <w:r w:rsidRPr="008E76F5">
              <w:rPr>
                <w:rFonts w:eastAsia="Times New Roman"/>
                <w:sz w:val="20"/>
                <w:szCs w:val="20"/>
                <w:lang w:val="es-CR" w:eastAsia="es-CR"/>
              </w:rPr>
              <w:t>Se revisaron y aprobaron las propuestas de actualización de los cuestionarios conjuntos de estadísticas de salud (</w:t>
            </w:r>
            <w:proofErr w:type="spellStart"/>
            <w:r w:rsidRPr="008E76F5">
              <w:rPr>
                <w:rFonts w:eastAsia="Times New Roman"/>
                <w:sz w:val="20"/>
                <w:szCs w:val="20"/>
                <w:lang w:val="es-CR" w:eastAsia="es-CR"/>
              </w:rPr>
              <w:t>JHAQ</w:t>
            </w:r>
            <w:proofErr w:type="spellEnd"/>
            <w:r w:rsidRPr="008E76F5">
              <w:rPr>
                <w:rFonts w:eastAsia="Times New Roman"/>
                <w:sz w:val="20"/>
                <w:szCs w:val="20"/>
                <w:lang w:val="es-CR" w:eastAsia="es-CR"/>
              </w:rPr>
              <w:t xml:space="preserve"> y </w:t>
            </w:r>
            <w:proofErr w:type="spellStart"/>
            <w:r w:rsidRPr="008E76F5">
              <w:rPr>
                <w:rFonts w:eastAsia="Times New Roman"/>
                <w:sz w:val="20"/>
                <w:szCs w:val="20"/>
                <w:lang w:val="es-CR" w:eastAsia="es-CR"/>
              </w:rPr>
              <w:t>JQNMHC</w:t>
            </w:r>
            <w:proofErr w:type="spellEnd"/>
            <w:r w:rsidRPr="008E76F5">
              <w:rPr>
                <w:rFonts w:eastAsia="Times New Roman"/>
                <w:sz w:val="20"/>
                <w:szCs w:val="20"/>
                <w:lang w:val="es-CR" w:eastAsia="es-CR"/>
              </w:rPr>
              <w:t>), incluyendo mejoras en la medición de la remuneración del personal de salud y otros aspectos clave para fortalecer la calidad de los datos.</w:t>
            </w:r>
            <w:r w:rsidR="005B54AB">
              <w:rPr>
                <w:rFonts w:eastAsia="Times New Roman"/>
                <w:sz w:val="20"/>
                <w:szCs w:val="20"/>
                <w:lang w:val="es-CR" w:eastAsia="es-CR"/>
              </w:rPr>
              <w:t xml:space="preserve"> </w:t>
            </w:r>
            <w:r w:rsidRPr="008E76F5">
              <w:rPr>
                <w:rFonts w:eastAsia="Times New Roman"/>
                <w:sz w:val="20"/>
                <w:szCs w:val="20"/>
                <w:lang w:val="es-CR" w:eastAsia="es-CR"/>
              </w:rPr>
              <w:t xml:space="preserve">Se respaldó la incorporación progresiva de nuevas áreas temáticas en las recolecciones regulares de datos, tales como salud mental, servicios de emergencia y efectos del calor extremo sobre la </w:t>
            </w:r>
            <w:r w:rsidRPr="008E76F5">
              <w:rPr>
                <w:rFonts w:eastAsia="Times New Roman"/>
                <w:sz w:val="20"/>
                <w:szCs w:val="20"/>
                <w:lang w:val="es-CR" w:eastAsia="es-CR"/>
              </w:rPr>
              <w:lastRenderedPageBreak/>
              <w:t>salud, con base en los resultados de ejercicios piloto.</w:t>
            </w:r>
            <w:r w:rsidR="005B54AB">
              <w:rPr>
                <w:rFonts w:eastAsia="Times New Roman"/>
                <w:sz w:val="20"/>
                <w:szCs w:val="20"/>
                <w:lang w:val="es-CR" w:eastAsia="es-CR"/>
              </w:rPr>
              <w:t xml:space="preserve"> </w:t>
            </w:r>
            <w:r w:rsidRPr="008E76F5">
              <w:rPr>
                <w:rFonts w:eastAsia="Times New Roman"/>
                <w:sz w:val="20"/>
                <w:szCs w:val="20"/>
                <w:lang w:val="es-CR" w:eastAsia="es-CR"/>
              </w:rPr>
              <w:t>Se acordó continuar con el desarrollo de indicadores piloto en áreas prioritarias, con el objetivo de integrarlos en futuras rondas de recolección de datos y fortalecer la base de evidencia para la formulación de políticas públicas.</w:t>
            </w:r>
            <w:r w:rsidR="005B54AB">
              <w:rPr>
                <w:rFonts w:eastAsia="Times New Roman"/>
                <w:sz w:val="20"/>
                <w:szCs w:val="20"/>
                <w:lang w:val="es-CR" w:eastAsia="es-CR"/>
              </w:rPr>
              <w:t xml:space="preserve"> </w:t>
            </w:r>
            <w:r w:rsidRPr="008E76F5">
              <w:rPr>
                <w:rFonts w:eastAsia="Times New Roman"/>
                <w:sz w:val="20"/>
                <w:szCs w:val="20"/>
                <w:lang w:val="es-CR" w:eastAsia="es-CR"/>
              </w:rPr>
              <w:t xml:space="preserve">Se discutieron y acordaron ajustes metodológicos para mejorar la calidad y comparabilidad de los datos sobre precios de servicios de salud, productividad del sector y gasto en prevención, reconociendo la necesidad de avanzar hacia métricas más robustas y </w:t>
            </w:r>
            <w:r w:rsidRPr="008E76F5">
              <w:rPr>
                <w:rFonts w:eastAsia="Times New Roman"/>
                <w:sz w:val="20"/>
                <w:szCs w:val="20"/>
                <w:lang w:val="es-CR" w:eastAsia="es-CR"/>
              </w:rPr>
              <w:lastRenderedPageBreak/>
              <w:t>comparables internacionalmente.</w:t>
            </w:r>
            <w:r w:rsidR="005B54AB">
              <w:rPr>
                <w:rFonts w:eastAsia="Times New Roman"/>
                <w:sz w:val="20"/>
                <w:szCs w:val="20"/>
                <w:lang w:val="es-CR" w:eastAsia="es-CR"/>
              </w:rPr>
              <w:t xml:space="preserve"> </w:t>
            </w:r>
            <w:r w:rsidRPr="008E76F5">
              <w:rPr>
                <w:rFonts w:eastAsia="Times New Roman"/>
                <w:sz w:val="20"/>
                <w:szCs w:val="20"/>
                <w:lang w:val="es-CR" w:eastAsia="es-CR"/>
              </w:rPr>
              <w:t xml:space="preserve">Se reiteró el compromiso de los países miembros, incluida Costa Rica, con el fortalecimiento de las cuentas nacionales de salud como herramienta clave para la planificación y evaluación del gasto en salud. Se acordó avanzar en la alineación de los indicadores nacionales con los marcos metodológicos de la OCDE, como </w:t>
            </w:r>
            <w:proofErr w:type="spellStart"/>
            <w:r w:rsidRPr="008E76F5">
              <w:rPr>
                <w:rFonts w:eastAsia="Times New Roman"/>
                <w:sz w:val="20"/>
                <w:szCs w:val="20"/>
                <w:lang w:val="es-CR" w:eastAsia="es-CR"/>
              </w:rPr>
              <w:t>HSPA</w:t>
            </w:r>
            <w:proofErr w:type="spellEnd"/>
            <w:r w:rsidRPr="008E76F5">
              <w:rPr>
                <w:rFonts w:eastAsia="Times New Roman"/>
                <w:sz w:val="20"/>
                <w:szCs w:val="20"/>
                <w:lang w:val="es-CR" w:eastAsia="es-CR"/>
              </w:rPr>
              <w:t xml:space="preserve"> y PARIS, especialmente en lo relativo a la atención primaria y los resultados reportados por los pacientes.</w:t>
            </w:r>
            <w:r w:rsidR="005B54AB">
              <w:rPr>
                <w:rFonts w:eastAsia="Times New Roman"/>
                <w:sz w:val="20"/>
                <w:szCs w:val="20"/>
                <w:lang w:val="es-CR" w:eastAsia="es-CR"/>
              </w:rPr>
              <w:t xml:space="preserve"> </w:t>
            </w:r>
            <w:r w:rsidRPr="008E76F5">
              <w:rPr>
                <w:rFonts w:eastAsia="Times New Roman"/>
                <w:sz w:val="20"/>
                <w:szCs w:val="20"/>
                <w:lang w:val="es-CR" w:eastAsia="es-CR"/>
              </w:rPr>
              <w:t xml:space="preserve">Se promovió el uso del </w:t>
            </w:r>
            <w:proofErr w:type="spellStart"/>
            <w:r w:rsidRPr="008E76F5">
              <w:rPr>
                <w:rFonts w:eastAsia="Times New Roman"/>
                <w:sz w:val="20"/>
                <w:szCs w:val="20"/>
                <w:lang w:val="es-CR" w:eastAsia="es-CR"/>
              </w:rPr>
              <w:t>OECD</w:t>
            </w:r>
            <w:proofErr w:type="spellEnd"/>
            <w:r w:rsidRPr="008E76F5">
              <w:rPr>
                <w:rFonts w:eastAsia="Times New Roman"/>
                <w:sz w:val="20"/>
                <w:szCs w:val="20"/>
                <w:lang w:val="es-CR" w:eastAsia="es-CR"/>
              </w:rPr>
              <w:t xml:space="preserve"> Data Explorer como plataforma clave </w:t>
            </w:r>
            <w:r w:rsidRPr="008E76F5">
              <w:rPr>
                <w:rFonts w:eastAsia="Times New Roman"/>
                <w:sz w:val="20"/>
                <w:szCs w:val="20"/>
                <w:lang w:val="es-CR" w:eastAsia="es-CR"/>
              </w:rPr>
              <w:lastRenderedPageBreak/>
              <w:t xml:space="preserve">para el acceso, visualización y análisis de estadísticas de salud comparables entre países. Se establecieron las fechas para la próxima reunión del Grupo de Trabajo sobre Estadísticas de Salud, programada para los días 22 y 23 de octubre de 2026. </w:t>
            </w:r>
          </w:p>
        </w:tc>
        <w:tc>
          <w:tcPr>
            <w:tcW w:w="1876" w:type="dxa"/>
          </w:tcPr>
          <w:p w14:paraId="7A610F6F" w14:textId="57DC0DE3" w:rsidR="008E76F5" w:rsidRPr="00D63D83" w:rsidRDefault="008E76F5" w:rsidP="008E76F5">
            <w:pPr>
              <w:spacing w:line="240" w:lineRule="auto"/>
              <w:rPr>
                <w:rFonts w:eastAsia="Times New Roman"/>
                <w:sz w:val="20"/>
                <w:szCs w:val="20"/>
                <w:lang w:val="es-CR" w:eastAsia="es-CR"/>
              </w:rPr>
            </w:pPr>
            <w:r w:rsidRPr="008E76F5">
              <w:rPr>
                <w:rFonts w:eastAsia="Times New Roman"/>
                <w:sz w:val="20"/>
                <w:szCs w:val="20"/>
                <w:lang w:val="es-CR" w:eastAsia="es-CR"/>
              </w:rPr>
              <w:lastRenderedPageBreak/>
              <w:t>Ministerio de Salud de Costa Rica</w:t>
            </w:r>
          </w:p>
        </w:tc>
        <w:tc>
          <w:tcPr>
            <w:tcW w:w="1488" w:type="dxa"/>
          </w:tcPr>
          <w:p w14:paraId="7899FCB9" w14:textId="6B976867" w:rsidR="008E76F5" w:rsidRPr="00BB1BAA" w:rsidRDefault="008E76F5" w:rsidP="005B54AB">
            <w:pPr>
              <w:spacing w:line="240" w:lineRule="auto"/>
              <w:jc w:val="right"/>
              <w:rPr>
                <w:rFonts w:eastAsia="Times New Roman"/>
                <w:sz w:val="19"/>
                <w:szCs w:val="19"/>
                <w:lang w:val="es-CR" w:eastAsia="es-CR"/>
              </w:rPr>
            </w:pPr>
            <w:r w:rsidRPr="008E76F5">
              <w:rPr>
                <w:rFonts w:eastAsia="Times New Roman"/>
                <w:sz w:val="20"/>
                <w:szCs w:val="20"/>
                <w:lang w:val="es-CR" w:eastAsia="es-CR"/>
              </w:rPr>
              <w:t xml:space="preserve"> ₡</w:t>
            </w:r>
            <w:r w:rsidR="005B54AB">
              <w:rPr>
                <w:rFonts w:eastAsia="Times New Roman"/>
                <w:sz w:val="20"/>
                <w:szCs w:val="20"/>
                <w:lang w:val="es-CR" w:eastAsia="es-CR"/>
              </w:rPr>
              <w:t xml:space="preserve"> </w:t>
            </w:r>
            <w:r w:rsidRPr="008E76F5">
              <w:rPr>
                <w:rFonts w:eastAsia="Times New Roman"/>
                <w:sz w:val="20"/>
                <w:szCs w:val="20"/>
                <w:lang w:val="es-CR" w:eastAsia="es-CR"/>
              </w:rPr>
              <w:t xml:space="preserve">428 700,97 </w:t>
            </w:r>
          </w:p>
        </w:tc>
        <w:tc>
          <w:tcPr>
            <w:tcW w:w="1578" w:type="dxa"/>
          </w:tcPr>
          <w:p w14:paraId="46813886" w14:textId="77777777" w:rsidR="008E76F5" w:rsidRPr="00D63D83" w:rsidRDefault="008E76F5" w:rsidP="008E76F5">
            <w:pPr>
              <w:spacing w:line="240" w:lineRule="auto"/>
              <w:rPr>
                <w:rFonts w:eastAsia="Times New Roman"/>
                <w:sz w:val="20"/>
                <w:szCs w:val="20"/>
                <w:lang w:val="es-CR" w:eastAsia="es-CR"/>
              </w:rPr>
            </w:pPr>
          </w:p>
        </w:tc>
      </w:tr>
      <w:tr w:rsidR="008E76F5" w:rsidRPr="00D63D83" w14:paraId="096D2F80" w14:textId="77777777" w:rsidTr="0003086B">
        <w:trPr>
          <w:trHeight w:val="50"/>
          <w:jc w:val="center"/>
        </w:trPr>
        <w:tc>
          <w:tcPr>
            <w:tcW w:w="14810" w:type="dxa"/>
            <w:gridSpan w:val="11"/>
            <w:shd w:val="clear" w:color="auto" w:fill="0F4761" w:themeFill="accent1" w:themeFillShade="BF"/>
          </w:tcPr>
          <w:p w14:paraId="47A4696C" w14:textId="77777777" w:rsidR="008E76F5" w:rsidRPr="00D63D83" w:rsidRDefault="008E76F5" w:rsidP="008E76F5">
            <w:pPr>
              <w:spacing w:line="240" w:lineRule="auto"/>
              <w:jc w:val="center"/>
              <w:rPr>
                <w:rFonts w:eastAsia="Times New Roman"/>
                <w:b/>
                <w:bCs/>
                <w:color w:val="FFFFFF" w:themeColor="background1"/>
                <w:sz w:val="20"/>
                <w:szCs w:val="20"/>
                <w:lang w:val="es-ES_tradnl" w:eastAsia="es-CR"/>
              </w:rPr>
            </w:pPr>
            <w:r w:rsidRPr="00D63D83">
              <w:rPr>
                <w:rFonts w:eastAsia="Times New Roman"/>
                <w:b/>
                <w:bCs/>
                <w:color w:val="FFFFFF" w:themeColor="background1"/>
                <w:sz w:val="20"/>
                <w:szCs w:val="20"/>
                <w:lang w:val="es-ES_tradnl" w:eastAsia="es-CR"/>
              </w:rPr>
              <w:lastRenderedPageBreak/>
              <w:t>Última línea</w:t>
            </w:r>
          </w:p>
        </w:tc>
      </w:tr>
    </w:tbl>
    <w:p w14:paraId="3CC3FE1E" w14:textId="77777777" w:rsidR="008E76F5" w:rsidRPr="00D63D83" w:rsidRDefault="008E76F5" w:rsidP="008E76F5">
      <w:pPr>
        <w:spacing w:line="240" w:lineRule="auto"/>
        <w:rPr>
          <w:sz w:val="20"/>
          <w:szCs w:val="20"/>
          <w:lang w:val="es-ES_tradnl"/>
        </w:rPr>
      </w:pPr>
    </w:p>
    <w:p w14:paraId="45F89CB7" w14:textId="14D4BCA8" w:rsidR="008E76F5" w:rsidRPr="00D63D83" w:rsidRDefault="008E76F5" w:rsidP="008E76F5">
      <w:pPr>
        <w:spacing w:line="240" w:lineRule="auto"/>
      </w:pPr>
      <w:r w:rsidRPr="00D63D83">
        <w:rPr>
          <w:sz w:val="20"/>
          <w:szCs w:val="20"/>
          <w:lang w:val="es-ES_tradnl"/>
        </w:rPr>
        <w:t xml:space="preserve">Actualizado: </w:t>
      </w:r>
      <w:r>
        <w:rPr>
          <w:sz w:val="20"/>
          <w:szCs w:val="20"/>
          <w:lang w:val="es-ES_tradnl"/>
        </w:rPr>
        <w:t>12 de diciembre de 2025.</w:t>
      </w:r>
    </w:p>
    <w:p w14:paraId="4FFA5CE6" w14:textId="77777777" w:rsidR="008E76F5" w:rsidRDefault="008E76F5" w:rsidP="008E76F5">
      <w:pPr>
        <w:rPr>
          <w:lang w:val="es-CR"/>
        </w:rPr>
      </w:pPr>
    </w:p>
    <w:sectPr w:rsidR="008E76F5" w:rsidSect="008E76F5">
      <w:headerReference w:type="default" r:id="rId4"/>
      <w:footerReference w:type="default" r:id="rId5"/>
      <w:pgSz w:w="15840" w:h="12240" w:orient="landscape"/>
      <w:pgMar w:top="1440" w:right="1276" w:bottom="1440" w:left="1701" w:header="703" w:footer="956"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BF7BA" w14:textId="77777777" w:rsidR="008E76F5" w:rsidRDefault="008E76F5" w:rsidP="004D61A4">
    <w:pPr>
      <w:spacing w:line="240" w:lineRule="auto"/>
      <w:ind w:right="-40"/>
      <w:jc w:val="center"/>
      <w:rPr>
        <w:b/>
        <w:color w:val="004691"/>
        <w:sz w:val="18"/>
        <w:szCs w:val="18"/>
      </w:rPr>
    </w:pPr>
  </w:p>
  <w:p w14:paraId="470B5A8F" w14:textId="77777777" w:rsidR="008E76F5" w:rsidRPr="00976BED" w:rsidRDefault="008E76F5" w:rsidP="004D61A4">
    <w:pPr>
      <w:spacing w:line="240" w:lineRule="auto"/>
      <w:jc w:val="center"/>
      <w:rPr>
        <w:rFonts w:eastAsia="Calibri"/>
        <w:b/>
        <w:color w:val="0E2841" w:themeColor="text2"/>
        <w:sz w:val="15"/>
        <w:szCs w:val="15"/>
      </w:rPr>
    </w:pPr>
    <w:r>
      <w:rPr>
        <w:rFonts w:eastAsia="Calibri"/>
        <w:b/>
        <w:color w:val="0E2841" w:themeColor="text2"/>
        <w:sz w:val="15"/>
        <w:szCs w:val="15"/>
      </w:rPr>
      <w:t xml:space="preserve">Unidad de Relaciones Internacionales </w:t>
    </w:r>
  </w:p>
  <w:p w14:paraId="199DFE70" w14:textId="77777777" w:rsidR="008E76F5" w:rsidRPr="00976BED" w:rsidRDefault="008E76F5" w:rsidP="004D61A4">
    <w:pPr>
      <w:spacing w:line="240" w:lineRule="auto"/>
      <w:jc w:val="center"/>
      <w:rPr>
        <w:rFonts w:eastAsia="Calibri"/>
        <w:color w:val="0E2841" w:themeColor="text2"/>
        <w:sz w:val="15"/>
        <w:szCs w:val="15"/>
      </w:rPr>
    </w:pPr>
    <w:hyperlink r:id="rId1" w:history="1">
      <w:r w:rsidRPr="00A83DCD">
        <w:rPr>
          <w:rStyle w:val="Hipervnculo"/>
          <w:rFonts w:eastAsia="Calibri"/>
          <w:sz w:val="15"/>
          <w:szCs w:val="15"/>
        </w:rPr>
        <w:t>internacionales@misalud.go.cr</w:t>
      </w:r>
    </w:hyperlink>
  </w:p>
  <w:p w14:paraId="5D36C409" w14:textId="77777777" w:rsidR="008E76F5" w:rsidRDefault="008E76F5" w:rsidP="004D61A4">
    <w:pPr>
      <w:spacing w:line="240" w:lineRule="auto"/>
      <w:jc w:val="center"/>
      <w:rPr>
        <w:rFonts w:eastAsia="Calibri"/>
        <w:color w:val="0E2841" w:themeColor="text2"/>
        <w:sz w:val="15"/>
        <w:szCs w:val="15"/>
      </w:rPr>
    </w:pPr>
    <w:r w:rsidRPr="00976BED">
      <w:rPr>
        <w:rFonts w:eastAsia="Calibri"/>
        <w:color w:val="0E2841" w:themeColor="text2"/>
        <w:sz w:val="15"/>
        <w:szCs w:val="15"/>
      </w:rPr>
      <w:t xml:space="preserve">Tel. </w:t>
    </w:r>
    <w:r>
      <w:rPr>
        <w:rFonts w:eastAsia="Calibri"/>
        <w:color w:val="0E2841" w:themeColor="text2"/>
        <w:sz w:val="15"/>
        <w:szCs w:val="15"/>
      </w:rPr>
      <w:t>4003-5182</w:t>
    </w:r>
  </w:p>
  <w:p w14:paraId="190B73B3" w14:textId="77777777" w:rsidR="008E76F5" w:rsidRDefault="008E76F5" w:rsidP="004D61A4">
    <w:pPr>
      <w:spacing w:line="240" w:lineRule="auto"/>
      <w:jc w:val="center"/>
      <w:rPr>
        <w:rFonts w:eastAsia="Calibri"/>
        <w:color w:val="0E2841" w:themeColor="text2"/>
        <w:sz w:val="15"/>
        <w:szCs w:val="15"/>
      </w:rPr>
    </w:pPr>
    <w:r>
      <w:rPr>
        <w:noProof/>
      </w:rPr>
      <w:drawing>
        <wp:anchor distT="0" distB="0" distL="114300" distR="114300" simplePos="0" relativeHeight="251660288" behindDoc="0" locked="0" layoutInCell="1" allowOverlap="1" wp14:anchorId="4301AB7D" wp14:editId="321CC137">
          <wp:simplePos x="0" y="0"/>
          <wp:positionH relativeFrom="page">
            <wp:align>left</wp:align>
          </wp:positionH>
          <wp:positionV relativeFrom="paragraph">
            <wp:posOffset>229870</wp:posOffset>
          </wp:positionV>
          <wp:extent cx="10052685" cy="545465"/>
          <wp:effectExtent l="0" t="0" r="5715" b="6985"/>
          <wp:wrapSquare wrapText="bothSides"/>
          <wp:docPr id="10342579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10052685" cy="54546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14:anchorId="142D168D" wp14:editId="20C6E236">
          <wp:simplePos x="0" y="0"/>
          <wp:positionH relativeFrom="page">
            <wp:align>right</wp:align>
          </wp:positionH>
          <wp:positionV relativeFrom="paragraph">
            <wp:posOffset>1120140</wp:posOffset>
          </wp:positionV>
          <wp:extent cx="7766685" cy="545465"/>
          <wp:effectExtent l="0" t="0" r="5715" b="6985"/>
          <wp:wrapNone/>
          <wp:docPr id="936501021" name="Imagen 936501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7766685" cy="545465"/>
                  </a:xfrm>
                  <a:prstGeom prst="rect">
                    <a:avLst/>
                  </a:prstGeom>
                </pic:spPr>
              </pic:pic>
            </a:graphicData>
          </a:graphic>
          <wp14:sizeRelH relativeFrom="page">
            <wp14:pctWidth>0</wp14:pctWidth>
          </wp14:sizeRelH>
          <wp14:sizeRelV relativeFrom="page">
            <wp14:pctHeight>0</wp14:pctHeight>
          </wp14:sizeRelV>
        </wp:anchor>
      </w:drawing>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C687F7" w14:textId="77777777" w:rsidR="008E76F5" w:rsidRPr="00C617CA" w:rsidRDefault="008E76F5" w:rsidP="00A343F7">
    <w:pPr>
      <w:pStyle w:val="Encabezado"/>
      <w:rPr>
        <w:sz w:val="2"/>
        <w:szCs w:val="2"/>
      </w:rPr>
    </w:pPr>
    <w:r>
      <w:rPr>
        <w:noProof/>
      </w:rPr>
      <w:drawing>
        <wp:anchor distT="0" distB="0" distL="114300" distR="114300" simplePos="0" relativeHeight="251659264" behindDoc="0" locked="0" layoutInCell="1" allowOverlap="1" wp14:anchorId="54537B49" wp14:editId="21AD74F1">
          <wp:simplePos x="0" y="0"/>
          <wp:positionH relativeFrom="page">
            <wp:align>left</wp:align>
          </wp:positionH>
          <wp:positionV relativeFrom="paragraph">
            <wp:posOffset>-436880</wp:posOffset>
          </wp:positionV>
          <wp:extent cx="10052685" cy="1269365"/>
          <wp:effectExtent l="0" t="0" r="5715" b="6985"/>
          <wp:wrapSquare wrapText="bothSides"/>
          <wp:docPr id="1259221905" name="Imagen 1259221905" descr="A white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621113" name="Picture 1" descr="A white background with blu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052685" cy="1269365"/>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76F5"/>
    <w:rsid w:val="00124401"/>
    <w:rsid w:val="001351F6"/>
    <w:rsid w:val="005B54AB"/>
    <w:rsid w:val="0065321F"/>
    <w:rsid w:val="008E76F5"/>
    <w:rsid w:val="00A9784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7A0EEB"/>
  <w15:chartTrackingRefBased/>
  <w15:docId w15:val="{8FCE479A-AAEB-4D31-8355-144E8F762A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76F5"/>
    <w:pPr>
      <w:spacing w:after="0" w:line="276" w:lineRule="auto"/>
    </w:pPr>
    <w:rPr>
      <w:rFonts w:ascii="Arial" w:eastAsia="Arial" w:hAnsi="Arial" w:cs="Arial"/>
      <w:kern w:val="0"/>
      <w:lang w:val="es-419" w:eastAsia="es-ES"/>
      <w14:ligatures w14:val="none"/>
    </w:rPr>
  </w:style>
  <w:style w:type="paragraph" w:styleId="Ttulo1">
    <w:name w:val="heading 1"/>
    <w:basedOn w:val="Normal"/>
    <w:next w:val="Normal"/>
    <w:link w:val="Ttulo1Car"/>
    <w:uiPriority w:val="9"/>
    <w:qFormat/>
    <w:rsid w:val="008E76F5"/>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8E76F5"/>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8E76F5"/>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8E76F5"/>
    <w:pPr>
      <w:keepNext/>
      <w:keepLines/>
      <w:spacing w:before="80" w:after="40" w:line="259" w:lineRule="auto"/>
      <w:outlineLvl w:val="3"/>
    </w:pPr>
    <w:rPr>
      <w:rFonts w:asciiTheme="minorHAnsi" w:eastAsiaTheme="majorEastAsia" w:hAnsiTheme="minorHAnsi" w:cstheme="majorBidi"/>
      <w:i/>
      <w:iCs/>
      <w:color w:val="0F4761" w:themeColor="accent1" w:themeShade="BF"/>
      <w:kern w:val="2"/>
      <w:lang w:val="es-CR" w:eastAsia="en-US"/>
      <w14:ligatures w14:val="standardContextual"/>
    </w:rPr>
  </w:style>
  <w:style w:type="paragraph" w:styleId="Ttulo5">
    <w:name w:val="heading 5"/>
    <w:basedOn w:val="Normal"/>
    <w:next w:val="Normal"/>
    <w:link w:val="Ttulo5Car"/>
    <w:uiPriority w:val="9"/>
    <w:semiHidden/>
    <w:unhideWhenUsed/>
    <w:qFormat/>
    <w:rsid w:val="008E76F5"/>
    <w:pPr>
      <w:keepNext/>
      <w:keepLines/>
      <w:spacing w:before="80" w:after="40" w:line="259" w:lineRule="auto"/>
      <w:outlineLvl w:val="4"/>
    </w:pPr>
    <w:rPr>
      <w:rFonts w:asciiTheme="minorHAnsi" w:eastAsiaTheme="majorEastAsia" w:hAnsiTheme="minorHAnsi" w:cstheme="majorBidi"/>
      <w:color w:val="0F4761" w:themeColor="accent1" w:themeShade="BF"/>
      <w:kern w:val="2"/>
      <w:lang w:val="es-CR" w:eastAsia="en-US"/>
      <w14:ligatures w14:val="standardContextual"/>
    </w:rPr>
  </w:style>
  <w:style w:type="paragraph" w:styleId="Ttulo6">
    <w:name w:val="heading 6"/>
    <w:basedOn w:val="Normal"/>
    <w:next w:val="Normal"/>
    <w:link w:val="Ttulo6Car"/>
    <w:uiPriority w:val="9"/>
    <w:semiHidden/>
    <w:unhideWhenUsed/>
    <w:qFormat/>
    <w:rsid w:val="008E76F5"/>
    <w:pPr>
      <w:keepNext/>
      <w:keepLines/>
      <w:spacing w:before="40" w:line="259" w:lineRule="auto"/>
      <w:outlineLvl w:val="5"/>
    </w:pPr>
    <w:rPr>
      <w:rFonts w:asciiTheme="minorHAnsi" w:eastAsiaTheme="majorEastAsia" w:hAnsiTheme="minorHAnsi" w:cstheme="majorBidi"/>
      <w:i/>
      <w:iCs/>
      <w:color w:val="595959" w:themeColor="text1" w:themeTint="A6"/>
      <w:kern w:val="2"/>
      <w:lang w:val="es-CR" w:eastAsia="en-US"/>
      <w14:ligatures w14:val="standardContextual"/>
    </w:rPr>
  </w:style>
  <w:style w:type="paragraph" w:styleId="Ttulo7">
    <w:name w:val="heading 7"/>
    <w:basedOn w:val="Normal"/>
    <w:next w:val="Normal"/>
    <w:link w:val="Ttulo7Car"/>
    <w:uiPriority w:val="9"/>
    <w:semiHidden/>
    <w:unhideWhenUsed/>
    <w:qFormat/>
    <w:rsid w:val="008E76F5"/>
    <w:pPr>
      <w:keepNext/>
      <w:keepLines/>
      <w:spacing w:before="40" w:line="259" w:lineRule="auto"/>
      <w:outlineLvl w:val="6"/>
    </w:pPr>
    <w:rPr>
      <w:rFonts w:asciiTheme="minorHAnsi" w:eastAsiaTheme="majorEastAsia" w:hAnsiTheme="minorHAnsi" w:cstheme="majorBidi"/>
      <w:color w:val="595959" w:themeColor="text1" w:themeTint="A6"/>
      <w:kern w:val="2"/>
      <w:lang w:val="es-CR" w:eastAsia="en-US"/>
      <w14:ligatures w14:val="standardContextual"/>
    </w:rPr>
  </w:style>
  <w:style w:type="paragraph" w:styleId="Ttulo8">
    <w:name w:val="heading 8"/>
    <w:basedOn w:val="Normal"/>
    <w:next w:val="Normal"/>
    <w:link w:val="Ttulo8Car"/>
    <w:uiPriority w:val="9"/>
    <w:semiHidden/>
    <w:unhideWhenUsed/>
    <w:qFormat/>
    <w:rsid w:val="008E76F5"/>
    <w:pPr>
      <w:keepNext/>
      <w:keepLines/>
      <w:spacing w:line="259" w:lineRule="auto"/>
      <w:outlineLvl w:val="7"/>
    </w:pPr>
    <w:rPr>
      <w:rFonts w:asciiTheme="minorHAnsi" w:eastAsiaTheme="majorEastAsia" w:hAnsiTheme="minorHAnsi" w:cstheme="majorBidi"/>
      <w:i/>
      <w:iCs/>
      <w:color w:val="272727" w:themeColor="text1" w:themeTint="D8"/>
      <w:kern w:val="2"/>
      <w:lang w:val="es-CR" w:eastAsia="en-US"/>
      <w14:ligatures w14:val="standardContextual"/>
    </w:rPr>
  </w:style>
  <w:style w:type="paragraph" w:styleId="Ttulo9">
    <w:name w:val="heading 9"/>
    <w:basedOn w:val="Normal"/>
    <w:next w:val="Normal"/>
    <w:link w:val="Ttulo9Car"/>
    <w:uiPriority w:val="9"/>
    <w:semiHidden/>
    <w:unhideWhenUsed/>
    <w:qFormat/>
    <w:rsid w:val="008E76F5"/>
    <w:pPr>
      <w:keepNext/>
      <w:keepLines/>
      <w:spacing w:line="259" w:lineRule="auto"/>
      <w:outlineLvl w:val="8"/>
    </w:pPr>
    <w:rPr>
      <w:rFonts w:asciiTheme="minorHAnsi" w:eastAsiaTheme="majorEastAsia" w:hAnsiTheme="minorHAnsi" w:cstheme="majorBidi"/>
      <w:color w:val="272727" w:themeColor="text1" w:themeTint="D8"/>
      <w:kern w:val="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E76F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8E76F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8E76F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8E76F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E76F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E76F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E76F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E76F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E76F5"/>
    <w:rPr>
      <w:rFonts w:eastAsiaTheme="majorEastAsia" w:cstheme="majorBidi"/>
      <w:color w:val="272727" w:themeColor="text1" w:themeTint="D8"/>
    </w:rPr>
  </w:style>
  <w:style w:type="paragraph" w:styleId="Ttulo">
    <w:name w:val="Title"/>
    <w:basedOn w:val="Normal"/>
    <w:next w:val="Normal"/>
    <w:link w:val="TtuloCar"/>
    <w:uiPriority w:val="10"/>
    <w:qFormat/>
    <w:rsid w:val="008E76F5"/>
    <w:pPr>
      <w:spacing w:after="80" w:line="240" w:lineRule="auto"/>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8E76F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E76F5"/>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8E76F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E76F5"/>
    <w:pPr>
      <w:spacing w:before="160" w:after="160" w:line="259" w:lineRule="auto"/>
      <w:jc w:val="center"/>
    </w:pPr>
    <w:rPr>
      <w:rFonts w:asciiTheme="minorHAnsi" w:eastAsiaTheme="minorHAnsi" w:hAnsiTheme="minorHAnsi" w:cstheme="minorBidi"/>
      <w:i/>
      <w:iCs/>
      <w:color w:val="404040" w:themeColor="text1" w:themeTint="BF"/>
      <w:kern w:val="2"/>
      <w:lang w:val="es-CR" w:eastAsia="en-US"/>
      <w14:ligatures w14:val="standardContextual"/>
    </w:rPr>
  </w:style>
  <w:style w:type="character" w:customStyle="1" w:styleId="CitaCar">
    <w:name w:val="Cita Car"/>
    <w:basedOn w:val="Fuentedeprrafopredeter"/>
    <w:link w:val="Cita"/>
    <w:uiPriority w:val="29"/>
    <w:rsid w:val="008E76F5"/>
    <w:rPr>
      <w:i/>
      <w:iCs/>
      <w:color w:val="404040" w:themeColor="text1" w:themeTint="BF"/>
    </w:rPr>
  </w:style>
  <w:style w:type="paragraph" w:styleId="Prrafodelista">
    <w:name w:val="List Paragraph"/>
    <w:basedOn w:val="Normal"/>
    <w:uiPriority w:val="34"/>
    <w:qFormat/>
    <w:rsid w:val="008E76F5"/>
    <w:pPr>
      <w:spacing w:after="160" w:line="259" w:lineRule="auto"/>
      <w:ind w:left="720"/>
      <w:contextualSpacing/>
    </w:pPr>
    <w:rPr>
      <w:rFonts w:asciiTheme="minorHAnsi" w:eastAsiaTheme="minorHAnsi" w:hAnsiTheme="minorHAnsi" w:cstheme="minorBidi"/>
      <w:kern w:val="2"/>
      <w:lang w:val="es-CR" w:eastAsia="en-US"/>
      <w14:ligatures w14:val="standardContextual"/>
    </w:rPr>
  </w:style>
  <w:style w:type="character" w:styleId="nfasisintenso">
    <w:name w:val="Intense Emphasis"/>
    <w:basedOn w:val="Fuentedeprrafopredeter"/>
    <w:uiPriority w:val="21"/>
    <w:qFormat/>
    <w:rsid w:val="008E76F5"/>
    <w:rPr>
      <w:i/>
      <w:iCs/>
      <w:color w:val="0F4761" w:themeColor="accent1" w:themeShade="BF"/>
    </w:rPr>
  </w:style>
  <w:style w:type="paragraph" w:styleId="Citadestacada">
    <w:name w:val="Intense Quote"/>
    <w:basedOn w:val="Normal"/>
    <w:next w:val="Normal"/>
    <w:link w:val="CitadestacadaCar"/>
    <w:uiPriority w:val="30"/>
    <w:qFormat/>
    <w:rsid w:val="008E76F5"/>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lang w:val="es-CR" w:eastAsia="en-US"/>
      <w14:ligatures w14:val="standardContextual"/>
    </w:rPr>
  </w:style>
  <w:style w:type="character" w:customStyle="1" w:styleId="CitadestacadaCar">
    <w:name w:val="Cita destacada Car"/>
    <w:basedOn w:val="Fuentedeprrafopredeter"/>
    <w:link w:val="Citadestacada"/>
    <w:uiPriority w:val="30"/>
    <w:rsid w:val="008E76F5"/>
    <w:rPr>
      <w:i/>
      <w:iCs/>
      <w:color w:val="0F4761" w:themeColor="accent1" w:themeShade="BF"/>
    </w:rPr>
  </w:style>
  <w:style w:type="character" w:styleId="Referenciaintensa">
    <w:name w:val="Intense Reference"/>
    <w:basedOn w:val="Fuentedeprrafopredeter"/>
    <w:uiPriority w:val="32"/>
    <w:qFormat/>
    <w:rsid w:val="008E76F5"/>
    <w:rPr>
      <w:b/>
      <w:bCs/>
      <w:smallCaps/>
      <w:color w:val="0F4761" w:themeColor="accent1" w:themeShade="BF"/>
      <w:spacing w:val="5"/>
    </w:rPr>
  </w:style>
  <w:style w:type="paragraph" w:styleId="Encabezado">
    <w:name w:val="header"/>
    <w:basedOn w:val="Normal"/>
    <w:link w:val="EncabezadoCar"/>
    <w:uiPriority w:val="99"/>
    <w:unhideWhenUsed/>
    <w:rsid w:val="008E76F5"/>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8E76F5"/>
    <w:rPr>
      <w:rFonts w:ascii="Arial" w:eastAsia="Arial" w:hAnsi="Arial" w:cs="Arial"/>
      <w:kern w:val="0"/>
      <w:lang w:val="es-419" w:eastAsia="es-ES"/>
      <w14:ligatures w14:val="none"/>
    </w:rPr>
  </w:style>
  <w:style w:type="character" w:styleId="Hipervnculo">
    <w:name w:val="Hyperlink"/>
    <w:basedOn w:val="Fuentedeprrafopredeter"/>
    <w:uiPriority w:val="99"/>
    <w:unhideWhenUsed/>
    <w:rsid w:val="008E76F5"/>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23</Pages>
  <Words>3212</Words>
  <Characters>18538</Characters>
  <Application>Microsoft Office Word</Application>
  <DocSecurity>0</DocSecurity>
  <Lines>2648</Lines>
  <Paragraphs>434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1</cp:revision>
  <dcterms:created xsi:type="dcterms:W3CDTF">2025-12-12T14:44:00Z</dcterms:created>
  <dcterms:modified xsi:type="dcterms:W3CDTF">2025-12-12T15:02:00Z</dcterms:modified>
</cp:coreProperties>
</file>