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91FBA" w14:textId="77777777" w:rsidR="00D8699C" w:rsidRPr="00D63D83" w:rsidRDefault="00D8699C" w:rsidP="00D8699C">
      <w:pPr>
        <w:spacing w:line="240" w:lineRule="auto"/>
        <w:jc w:val="center"/>
        <w:rPr>
          <w:b/>
          <w:bCs/>
          <w:sz w:val="24"/>
          <w:szCs w:val="24"/>
          <w:lang w:val="es-ES_tradnl"/>
        </w:rPr>
      </w:pPr>
      <w:r w:rsidRPr="00D63D83">
        <w:rPr>
          <w:b/>
          <w:bCs/>
          <w:sz w:val="24"/>
          <w:szCs w:val="24"/>
          <w:lang w:val="es-ES_tradnl"/>
        </w:rPr>
        <w:t>Participación de funcionarios del Ministerio de Salud en actividades fuera del país</w:t>
      </w:r>
    </w:p>
    <w:p w14:paraId="77D2E900" w14:textId="49D3044F" w:rsidR="00D8699C" w:rsidRPr="00D63D83" w:rsidRDefault="00D8699C" w:rsidP="00D8699C">
      <w:pPr>
        <w:spacing w:line="240" w:lineRule="auto"/>
        <w:jc w:val="center"/>
        <w:rPr>
          <w:b/>
          <w:bCs/>
          <w:sz w:val="24"/>
          <w:szCs w:val="24"/>
          <w:lang w:val="es-ES_tradnl"/>
        </w:rPr>
      </w:pPr>
      <w:r>
        <w:rPr>
          <w:b/>
          <w:bCs/>
          <w:sz w:val="24"/>
          <w:szCs w:val="24"/>
          <w:lang w:val="es-ES_tradnl"/>
        </w:rPr>
        <w:t>Julio</w:t>
      </w:r>
      <w:r>
        <w:rPr>
          <w:b/>
          <w:bCs/>
          <w:sz w:val="24"/>
          <w:szCs w:val="24"/>
          <w:lang w:val="es-ES_tradnl"/>
        </w:rPr>
        <w:t xml:space="preserve"> </w:t>
      </w:r>
      <w:r w:rsidRPr="00D63D83">
        <w:rPr>
          <w:b/>
          <w:bCs/>
          <w:sz w:val="24"/>
          <w:szCs w:val="24"/>
          <w:lang w:val="es-ES_tradnl"/>
        </w:rPr>
        <w:t>202</w:t>
      </w:r>
      <w:r>
        <w:rPr>
          <w:b/>
          <w:bCs/>
          <w:sz w:val="24"/>
          <w:szCs w:val="24"/>
          <w:lang w:val="es-ES_tradnl"/>
        </w:rPr>
        <w:t>6</w:t>
      </w:r>
    </w:p>
    <w:p w14:paraId="71419B4F" w14:textId="77777777" w:rsidR="00D8699C" w:rsidRPr="00D63D83" w:rsidRDefault="00D8699C" w:rsidP="00D8699C">
      <w:pPr>
        <w:spacing w:line="240" w:lineRule="auto"/>
        <w:jc w:val="center"/>
        <w:rPr>
          <w:b/>
          <w:bCs/>
          <w:sz w:val="20"/>
          <w:szCs w:val="20"/>
          <w:lang w:val="es-ES_tradnl"/>
        </w:rPr>
      </w:pPr>
    </w:p>
    <w:tbl>
      <w:tblPr>
        <w:tblW w:w="14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2"/>
        <w:gridCol w:w="1530"/>
        <w:gridCol w:w="960"/>
        <w:gridCol w:w="1230"/>
        <w:gridCol w:w="1204"/>
        <w:gridCol w:w="1812"/>
        <w:gridCol w:w="1915"/>
        <w:gridCol w:w="1828"/>
        <w:gridCol w:w="1490"/>
        <w:gridCol w:w="1589"/>
      </w:tblGrid>
      <w:tr w:rsidR="00D8699C" w:rsidRPr="00CE624F" w14:paraId="3A3C6D44" w14:textId="77777777" w:rsidTr="00594C70">
        <w:trPr>
          <w:trHeight w:val="697"/>
          <w:tblHeader/>
          <w:jc w:val="center"/>
        </w:trPr>
        <w:tc>
          <w:tcPr>
            <w:tcW w:w="1252" w:type="dxa"/>
            <w:shd w:val="clear" w:color="000000" w:fill="B4C6E7"/>
            <w:vAlign w:val="center"/>
            <w:hideMark/>
          </w:tcPr>
          <w:p w14:paraId="7CF01EB4"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Nombre</w:t>
            </w:r>
          </w:p>
        </w:tc>
        <w:tc>
          <w:tcPr>
            <w:tcW w:w="1530" w:type="dxa"/>
            <w:shd w:val="clear" w:color="000000" w:fill="B4C6E7"/>
            <w:vAlign w:val="center"/>
            <w:hideMark/>
          </w:tcPr>
          <w:p w14:paraId="22D6ED15"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Dirección</w:t>
            </w:r>
          </w:p>
        </w:tc>
        <w:tc>
          <w:tcPr>
            <w:tcW w:w="960" w:type="dxa"/>
            <w:shd w:val="clear" w:color="000000" w:fill="B4C6E7"/>
            <w:vAlign w:val="center"/>
            <w:hideMark/>
          </w:tcPr>
          <w:p w14:paraId="2A5204B0"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inicio</w:t>
            </w:r>
          </w:p>
        </w:tc>
        <w:tc>
          <w:tcPr>
            <w:tcW w:w="1230" w:type="dxa"/>
            <w:shd w:val="clear" w:color="000000" w:fill="B4C6E7"/>
            <w:vAlign w:val="center"/>
            <w:hideMark/>
          </w:tcPr>
          <w:p w14:paraId="278AA769"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finalización</w:t>
            </w:r>
          </w:p>
        </w:tc>
        <w:tc>
          <w:tcPr>
            <w:tcW w:w="1204" w:type="dxa"/>
            <w:shd w:val="clear" w:color="000000" w:fill="B4C6E7"/>
            <w:vAlign w:val="center"/>
            <w:hideMark/>
          </w:tcPr>
          <w:p w14:paraId="0D4527F6"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Lugar</w:t>
            </w:r>
          </w:p>
        </w:tc>
        <w:tc>
          <w:tcPr>
            <w:tcW w:w="1812" w:type="dxa"/>
            <w:shd w:val="clear" w:color="000000" w:fill="B4C6E7"/>
            <w:vAlign w:val="center"/>
            <w:hideMark/>
          </w:tcPr>
          <w:p w14:paraId="311AC06A"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Actividad</w:t>
            </w:r>
          </w:p>
        </w:tc>
        <w:tc>
          <w:tcPr>
            <w:tcW w:w="1915" w:type="dxa"/>
            <w:shd w:val="clear" w:color="000000" w:fill="B4C6E7"/>
            <w:vAlign w:val="center"/>
            <w:hideMark/>
          </w:tcPr>
          <w:p w14:paraId="6A547740"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Compromisos</w:t>
            </w:r>
          </w:p>
        </w:tc>
        <w:tc>
          <w:tcPr>
            <w:tcW w:w="1828" w:type="dxa"/>
            <w:shd w:val="clear" w:color="000000" w:fill="B4C6E7"/>
            <w:vAlign w:val="center"/>
            <w:hideMark/>
          </w:tcPr>
          <w:p w14:paraId="456FBCCC"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Financiado por</w:t>
            </w:r>
          </w:p>
        </w:tc>
        <w:tc>
          <w:tcPr>
            <w:tcW w:w="1490" w:type="dxa"/>
            <w:shd w:val="clear" w:color="000000" w:fill="B4C6E7"/>
            <w:vAlign w:val="center"/>
            <w:hideMark/>
          </w:tcPr>
          <w:p w14:paraId="6AAAC32F"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Viáticos</w:t>
            </w:r>
          </w:p>
        </w:tc>
        <w:tc>
          <w:tcPr>
            <w:tcW w:w="1589" w:type="dxa"/>
            <w:shd w:val="clear" w:color="000000" w:fill="B4C6E7"/>
            <w:vAlign w:val="center"/>
            <w:hideMark/>
          </w:tcPr>
          <w:p w14:paraId="340EE38D" w14:textId="77777777" w:rsidR="00D8699C" w:rsidRPr="00CE624F" w:rsidRDefault="00D8699C"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Observaciones</w:t>
            </w:r>
          </w:p>
        </w:tc>
      </w:tr>
      <w:tr w:rsidR="00C61248" w:rsidRPr="00CE624F" w14:paraId="17492B5C" w14:textId="77777777" w:rsidTr="00594C70">
        <w:trPr>
          <w:trHeight w:val="50"/>
          <w:jc w:val="center"/>
        </w:trPr>
        <w:tc>
          <w:tcPr>
            <w:tcW w:w="1252" w:type="dxa"/>
          </w:tcPr>
          <w:p w14:paraId="3B38A9C3" w14:textId="3A658AA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Eduardo Ramírez Cover</w:t>
            </w:r>
          </w:p>
        </w:tc>
        <w:tc>
          <w:tcPr>
            <w:tcW w:w="1530" w:type="dxa"/>
          </w:tcPr>
          <w:p w14:paraId="07D57270" w14:textId="6484261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de Salud Ambiental</w:t>
            </w:r>
          </w:p>
        </w:tc>
        <w:tc>
          <w:tcPr>
            <w:tcW w:w="960" w:type="dxa"/>
          </w:tcPr>
          <w:p w14:paraId="2293E8F0" w14:textId="3CB5436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6-jul-26</w:t>
            </w:r>
          </w:p>
        </w:tc>
        <w:tc>
          <w:tcPr>
            <w:tcW w:w="1230" w:type="dxa"/>
          </w:tcPr>
          <w:p w14:paraId="1F5C0626" w14:textId="10E6949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10-jul-26</w:t>
            </w:r>
          </w:p>
        </w:tc>
        <w:tc>
          <w:tcPr>
            <w:tcW w:w="1204" w:type="dxa"/>
          </w:tcPr>
          <w:p w14:paraId="286493CF" w14:textId="78E0239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Austria</w:t>
            </w:r>
          </w:p>
        </w:tc>
        <w:tc>
          <w:tcPr>
            <w:tcW w:w="1812" w:type="dxa"/>
          </w:tcPr>
          <w:p w14:paraId="358721EC" w14:textId="49C2993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Reunión de composición abierta de expertos técnicos y jurídicos para intercambiar información sobre la aplicación por los Estados del Código de Conducta sobre la seguridad tecnológica y física de las fuentes radiactivas y sus directrices complementarias</w:t>
            </w:r>
          </w:p>
        </w:tc>
        <w:tc>
          <w:tcPr>
            <w:tcW w:w="1915" w:type="dxa"/>
          </w:tcPr>
          <w:p w14:paraId="1C2D3DA4" w14:textId="497DD8AF" w:rsidR="00C61248" w:rsidRPr="00CE624F" w:rsidRDefault="00C61248" w:rsidP="00C61248">
            <w:pPr>
              <w:spacing w:line="240" w:lineRule="auto"/>
              <w:rPr>
                <w:rFonts w:eastAsia="Times New Roman"/>
                <w:i/>
                <w:iCs/>
                <w:sz w:val="20"/>
                <w:szCs w:val="20"/>
                <w:lang w:val="es-CR" w:eastAsia="es-CR"/>
              </w:rPr>
            </w:pPr>
            <w:r w:rsidRPr="00C61248">
              <w:rPr>
                <w:rFonts w:eastAsia="Times New Roman"/>
                <w:sz w:val="20"/>
                <w:szCs w:val="20"/>
                <w:lang w:val="es-CR" w:eastAsia="es-CR"/>
              </w:rPr>
              <w:t>No se asumen compromisos.</w:t>
            </w:r>
          </w:p>
        </w:tc>
        <w:tc>
          <w:tcPr>
            <w:tcW w:w="1828" w:type="dxa"/>
          </w:tcPr>
          <w:p w14:paraId="0EA28D6E" w14:textId="7BEE806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Organismo Internacional de Energía Atómica (OIEA)</w:t>
            </w:r>
          </w:p>
        </w:tc>
        <w:tc>
          <w:tcPr>
            <w:tcW w:w="1490" w:type="dxa"/>
          </w:tcPr>
          <w:p w14:paraId="0D186811" w14:textId="07C0A63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7C5D0301"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42B1F65E" w14:textId="77777777" w:rsidTr="00594C70">
        <w:trPr>
          <w:trHeight w:val="50"/>
          <w:jc w:val="center"/>
        </w:trPr>
        <w:tc>
          <w:tcPr>
            <w:tcW w:w="1252" w:type="dxa"/>
          </w:tcPr>
          <w:p w14:paraId="6D1134C5" w14:textId="04B4774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Yorleny Castillo Cajina</w:t>
            </w:r>
          </w:p>
        </w:tc>
        <w:tc>
          <w:tcPr>
            <w:tcW w:w="1530" w:type="dxa"/>
          </w:tcPr>
          <w:p w14:paraId="48226D4A" w14:textId="1A4F96B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Regional de Rectoría de la Salud Huetar</w:t>
            </w:r>
          </w:p>
        </w:tc>
        <w:tc>
          <w:tcPr>
            <w:tcW w:w="960" w:type="dxa"/>
          </w:tcPr>
          <w:p w14:paraId="6BC7964F" w14:textId="7A5684E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6-jul-26</w:t>
            </w:r>
          </w:p>
        </w:tc>
        <w:tc>
          <w:tcPr>
            <w:tcW w:w="1230" w:type="dxa"/>
          </w:tcPr>
          <w:p w14:paraId="62DE3A26" w14:textId="6434C31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11-jul-26</w:t>
            </w:r>
          </w:p>
        </w:tc>
        <w:tc>
          <w:tcPr>
            <w:tcW w:w="1204" w:type="dxa"/>
          </w:tcPr>
          <w:p w14:paraId="0269C1EA" w14:textId="572D464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El Salvador</w:t>
            </w:r>
          </w:p>
        </w:tc>
        <w:tc>
          <w:tcPr>
            <w:tcW w:w="1812" w:type="dxa"/>
          </w:tcPr>
          <w:p w14:paraId="2E40D605" w14:textId="7EED4A4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Programa de Entrenamiento en Epidemiología de Campo de nivel intermedio (</w:t>
            </w:r>
            <w:proofErr w:type="spellStart"/>
            <w:r w:rsidRPr="00C61248">
              <w:rPr>
                <w:rFonts w:eastAsia="Times New Roman"/>
                <w:sz w:val="20"/>
                <w:szCs w:val="20"/>
                <w:lang w:val="es-CR" w:eastAsia="es-CR"/>
              </w:rPr>
              <w:t>FETP</w:t>
            </w:r>
            <w:proofErr w:type="spellEnd"/>
            <w:r w:rsidRPr="00C61248">
              <w:rPr>
                <w:rFonts w:eastAsia="Times New Roman"/>
                <w:sz w:val="20"/>
                <w:szCs w:val="20"/>
                <w:lang w:val="es-CR" w:eastAsia="es-CR"/>
              </w:rPr>
              <w:t>)</w:t>
            </w:r>
          </w:p>
        </w:tc>
        <w:tc>
          <w:tcPr>
            <w:tcW w:w="1915" w:type="dxa"/>
          </w:tcPr>
          <w:p w14:paraId="085F5783" w14:textId="7048ADF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Elaborar y presentar los productos académicos correspondientes al Programa de Entrenamiento en Epidemiología de Campo (</w:t>
            </w:r>
            <w:proofErr w:type="spellStart"/>
            <w:r w:rsidRPr="00C61248">
              <w:rPr>
                <w:rFonts w:eastAsia="Times New Roman"/>
                <w:sz w:val="20"/>
                <w:szCs w:val="20"/>
                <w:lang w:val="es-CR" w:eastAsia="es-CR"/>
              </w:rPr>
              <w:t>FETP</w:t>
            </w:r>
            <w:proofErr w:type="spellEnd"/>
            <w:r w:rsidRPr="00C61248">
              <w:rPr>
                <w:rFonts w:eastAsia="Times New Roman"/>
                <w:sz w:val="20"/>
                <w:szCs w:val="20"/>
                <w:lang w:val="es-CR" w:eastAsia="es-CR"/>
              </w:rPr>
              <w:t xml:space="preserve">) Nivel Intermedio para el Taller 1: “Análisis de un </w:t>
            </w:r>
            <w:r w:rsidRPr="00C61248">
              <w:rPr>
                <w:rFonts w:eastAsia="Times New Roman"/>
                <w:sz w:val="20"/>
                <w:szCs w:val="20"/>
                <w:lang w:val="es-CR" w:eastAsia="es-CR"/>
              </w:rPr>
              <w:lastRenderedPageBreak/>
              <w:t>Sistema de Vigilancia”, de conformidad con los lineamientos metodológicos, cronograma y requerimientos establecidos por la coordinación del programa.</w:t>
            </w:r>
          </w:p>
        </w:tc>
        <w:tc>
          <w:tcPr>
            <w:tcW w:w="1828" w:type="dxa"/>
          </w:tcPr>
          <w:p w14:paraId="3D1F16F9" w14:textId="77777777" w:rsidR="00C61248"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Secretaría Ejecutiva del Consejo de Ministros de Salud de Centroamérica y República Dominicana (SE-COMISCA)</w:t>
            </w:r>
          </w:p>
          <w:p w14:paraId="4CACF0F7" w14:textId="6414D1F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Centros para la Prevención y el Control de</w:t>
            </w:r>
            <w:r>
              <w:rPr>
                <w:rFonts w:eastAsia="Times New Roman"/>
                <w:sz w:val="20"/>
                <w:szCs w:val="20"/>
                <w:lang w:val="es-CR" w:eastAsia="es-CR"/>
              </w:rPr>
              <w:t xml:space="preserve"> </w:t>
            </w:r>
            <w:r w:rsidRPr="00C61248">
              <w:rPr>
                <w:rFonts w:eastAsia="Times New Roman"/>
                <w:sz w:val="20"/>
                <w:szCs w:val="20"/>
                <w:lang w:val="es-CR" w:eastAsia="es-CR"/>
              </w:rPr>
              <w:lastRenderedPageBreak/>
              <w:t>Enfermedades (CDC)</w:t>
            </w:r>
          </w:p>
        </w:tc>
        <w:tc>
          <w:tcPr>
            <w:tcW w:w="1490" w:type="dxa"/>
          </w:tcPr>
          <w:p w14:paraId="21A50C4C" w14:textId="42A3C12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No se giran viáticos institucionales.</w:t>
            </w:r>
          </w:p>
        </w:tc>
        <w:tc>
          <w:tcPr>
            <w:tcW w:w="1589" w:type="dxa"/>
          </w:tcPr>
          <w:p w14:paraId="53D58DE9"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6B2BFD21" w14:textId="77777777" w:rsidTr="00594C70">
        <w:trPr>
          <w:trHeight w:val="50"/>
          <w:jc w:val="center"/>
        </w:trPr>
        <w:tc>
          <w:tcPr>
            <w:tcW w:w="1252" w:type="dxa"/>
          </w:tcPr>
          <w:p w14:paraId="40453C01" w14:textId="1F35DC4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María José Lafuente González</w:t>
            </w:r>
          </w:p>
        </w:tc>
        <w:tc>
          <w:tcPr>
            <w:tcW w:w="1530" w:type="dxa"/>
          </w:tcPr>
          <w:p w14:paraId="3B1BD39F" w14:textId="70501A8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Dirección de Vigilancia de la Salud </w:t>
            </w:r>
          </w:p>
        </w:tc>
        <w:tc>
          <w:tcPr>
            <w:tcW w:w="960" w:type="dxa"/>
          </w:tcPr>
          <w:p w14:paraId="35924BC3" w14:textId="4C15C61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6-jul-26</w:t>
            </w:r>
          </w:p>
        </w:tc>
        <w:tc>
          <w:tcPr>
            <w:tcW w:w="1230" w:type="dxa"/>
          </w:tcPr>
          <w:p w14:paraId="487138E1" w14:textId="7A5D4AA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11-jul-26</w:t>
            </w:r>
          </w:p>
        </w:tc>
        <w:tc>
          <w:tcPr>
            <w:tcW w:w="1204" w:type="dxa"/>
          </w:tcPr>
          <w:p w14:paraId="3A9FDCB1" w14:textId="6806C56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El Salvador</w:t>
            </w:r>
          </w:p>
        </w:tc>
        <w:tc>
          <w:tcPr>
            <w:tcW w:w="1812" w:type="dxa"/>
          </w:tcPr>
          <w:p w14:paraId="21E23AAF" w14:textId="66CF283A"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Programa de Entrenamiento en Epidemiología de Campo de nivel intermedio (</w:t>
            </w:r>
            <w:proofErr w:type="spellStart"/>
            <w:r w:rsidRPr="00C61248">
              <w:rPr>
                <w:rFonts w:eastAsia="Times New Roman"/>
                <w:sz w:val="20"/>
                <w:szCs w:val="20"/>
                <w:lang w:val="es-CR" w:eastAsia="es-CR"/>
              </w:rPr>
              <w:t>FETP</w:t>
            </w:r>
            <w:proofErr w:type="spellEnd"/>
            <w:r w:rsidRPr="00C61248">
              <w:rPr>
                <w:rFonts w:eastAsia="Times New Roman"/>
                <w:sz w:val="20"/>
                <w:szCs w:val="20"/>
                <w:lang w:val="es-CR" w:eastAsia="es-CR"/>
              </w:rPr>
              <w:t>)</w:t>
            </w:r>
          </w:p>
        </w:tc>
        <w:tc>
          <w:tcPr>
            <w:tcW w:w="1915" w:type="dxa"/>
          </w:tcPr>
          <w:p w14:paraId="7EF210E1" w14:textId="34471AE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Elaboración de los productos </w:t>
            </w:r>
            <w:proofErr w:type="spellStart"/>
            <w:r w:rsidRPr="00C61248">
              <w:rPr>
                <w:rFonts w:eastAsia="Times New Roman"/>
                <w:sz w:val="20"/>
                <w:szCs w:val="20"/>
                <w:lang w:val="es-CR" w:eastAsia="es-CR"/>
              </w:rPr>
              <w:t>FETP</w:t>
            </w:r>
            <w:proofErr w:type="spellEnd"/>
            <w:r w:rsidRPr="00C61248">
              <w:rPr>
                <w:rFonts w:eastAsia="Times New Roman"/>
                <w:sz w:val="20"/>
                <w:szCs w:val="20"/>
                <w:lang w:val="es-CR" w:eastAsia="es-CR"/>
              </w:rPr>
              <w:t xml:space="preserve"> Intermedio designados durante el Taller 1 para el Taller 2.</w:t>
            </w:r>
          </w:p>
        </w:tc>
        <w:tc>
          <w:tcPr>
            <w:tcW w:w="1828" w:type="dxa"/>
          </w:tcPr>
          <w:p w14:paraId="102B288C" w14:textId="77777777" w:rsidR="00C61248"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Secretaría Ejecutiva del Consejo de Ministros de Salud de Centroamérica y República Dominicana (SE-COMISCA)</w:t>
            </w:r>
          </w:p>
          <w:p w14:paraId="277E889E" w14:textId="4DEDEA6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Centros para la Prevención y el Control de</w:t>
            </w:r>
            <w:r>
              <w:rPr>
                <w:rFonts w:eastAsia="Times New Roman"/>
                <w:sz w:val="20"/>
                <w:szCs w:val="20"/>
                <w:lang w:val="es-CR" w:eastAsia="es-CR"/>
              </w:rPr>
              <w:t xml:space="preserve"> </w:t>
            </w:r>
            <w:r w:rsidRPr="00C61248">
              <w:rPr>
                <w:rFonts w:eastAsia="Times New Roman"/>
                <w:sz w:val="20"/>
                <w:szCs w:val="20"/>
                <w:lang w:val="es-CR" w:eastAsia="es-CR"/>
              </w:rPr>
              <w:t>Enfermedades (CDC)</w:t>
            </w:r>
          </w:p>
        </w:tc>
        <w:tc>
          <w:tcPr>
            <w:tcW w:w="1490" w:type="dxa"/>
          </w:tcPr>
          <w:p w14:paraId="3C4BD90F" w14:textId="1ADDAD1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44D2EF1D"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2C92A340" w14:textId="77777777" w:rsidTr="00E44430">
        <w:trPr>
          <w:trHeight w:val="50"/>
          <w:jc w:val="center"/>
        </w:trPr>
        <w:tc>
          <w:tcPr>
            <w:tcW w:w="1252" w:type="dxa"/>
          </w:tcPr>
          <w:p w14:paraId="119AD3C7" w14:textId="454727D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Alexander Sánchez Cabo</w:t>
            </w:r>
          </w:p>
        </w:tc>
        <w:tc>
          <w:tcPr>
            <w:tcW w:w="1530" w:type="dxa"/>
          </w:tcPr>
          <w:p w14:paraId="7BBB2546" w14:textId="55D0826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5591E02B" w14:textId="3B2789B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9-jul-26</w:t>
            </w:r>
          </w:p>
        </w:tc>
        <w:tc>
          <w:tcPr>
            <w:tcW w:w="1230" w:type="dxa"/>
          </w:tcPr>
          <w:p w14:paraId="5851C7A2" w14:textId="76DA818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10-jul-26</w:t>
            </w:r>
          </w:p>
        </w:tc>
        <w:tc>
          <w:tcPr>
            <w:tcW w:w="1204" w:type="dxa"/>
          </w:tcPr>
          <w:p w14:paraId="54646EE9" w14:textId="37A7E84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República Dominicana</w:t>
            </w:r>
          </w:p>
        </w:tc>
        <w:tc>
          <w:tcPr>
            <w:tcW w:w="1812" w:type="dxa"/>
          </w:tcPr>
          <w:p w14:paraId="2BFFD16A" w14:textId="3F874D6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LXIII Reunión Ordinaria del Consejo de Ministros de Salud de Centroamérica y República Dominicana (COMISCA) </w:t>
            </w:r>
          </w:p>
        </w:tc>
        <w:tc>
          <w:tcPr>
            <w:tcW w:w="1915" w:type="dxa"/>
          </w:tcPr>
          <w:p w14:paraId="10119126" w14:textId="44B13F2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Se aprobaron diversos instrumentos estratégicos regionales, entre ellos el Sistema de Planificación, Monitoreo y Evaluación del </w:t>
            </w:r>
            <w:proofErr w:type="spellStart"/>
            <w:r w:rsidRPr="00C61248">
              <w:rPr>
                <w:rFonts w:eastAsia="Times New Roman"/>
                <w:sz w:val="20"/>
                <w:szCs w:val="20"/>
                <w:lang w:val="es-CR" w:eastAsia="es-CR"/>
              </w:rPr>
              <w:t>PSCARD</w:t>
            </w:r>
            <w:proofErr w:type="spellEnd"/>
            <w:r w:rsidRPr="00C61248">
              <w:rPr>
                <w:rFonts w:eastAsia="Times New Roman"/>
                <w:sz w:val="20"/>
                <w:szCs w:val="20"/>
                <w:lang w:val="es-CR" w:eastAsia="es-CR"/>
              </w:rPr>
              <w:t xml:space="preserve"> 2026-</w:t>
            </w:r>
            <w:r w:rsidRPr="00C61248">
              <w:rPr>
                <w:rFonts w:eastAsia="Times New Roman"/>
                <w:sz w:val="20"/>
                <w:szCs w:val="20"/>
                <w:lang w:val="es-CR" w:eastAsia="es-CR"/>
              </w:rPr>
              <w:lastRenderedPageBreak/>
              <w:t>2030, la Hoja de Ruta Regional para el fortalecimiento de las Funciones Esenciales de Salud Pública (</w:t>
            </w:r>
            <w:proofErr w:type="spellStart"/>
            <w:r w:rsidRPr="00C61248">
              <w:rPr>
                <w:rFonts w:eastAsia="Times New Roman"/>
                <w:sz w:val="20"/>
                <w:szCs w:val="20"/>
                <w:lang w:val="es-CR" w:eastAsia="es-CR"/>
              </w:rPr>
              <w:t>FESP</w:t>
            </w:r>
            <w:proofErr w:type="spellEnd"/>
            <w:r w:rsidRPr="00C61248">
              <w:rPr>
                <w:rFonts w:eastAsia="Times New Roman"/>
                <w:sz w:val="20"/>
                <w:szCs w:val="20"/>
                <w:lang w:val="es-CR" w:eastAsia="es-CR"/>
              </w:rPr>
              <w:t>) 2026-2031, la Agenda Regional de Prioridades de Investigación en Salud 2026-2030, los Lineamientos Regionales para la Donación y Trasplante de Órganos, Tejidos y Células, el Marco Estratégico Regional para la Promoción de la Actividad Física 2026-2036, mecanismos temporales para garantizar la continuidad administrativa de la SE-COMISCA en casos de ausencia de su titular</w:t>
            </w:r>
          </w:p>
        </w:tc>
        <w:tc>
          <w:tcPr>
            <w:tcW w:w="1828" w:type="dxa"/>
          </w:tcPr>
          <w:p w14:paraId="0CFA16C8" w14:textId="3B4665A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Secretaría Ejecutiva del</w:t>
            </w:r>
            <w:r>
              <w:rPr>
                <w:rFonts w:eastAsia="Times New Roman"/>
                <w:sz w:val="20"/>
                <w:szCs w:val="20"/>
                <w:lang w:val="es-CR" w:eastAsia="es-CR"/>
              </w:rPr>
              <w:t xml:space="preserve"> </w:t>
            </w:r>
            <w:r w:rsidRPr="00C61248">
              <w:rPr>
                <w:rFonts w:eastAsia="Times New Roman"/>
                <w:sz w:val="20"/>
                <w:szCs w:val="20"/>
                <w:lang w:val="es-CR" w:eastAsia="es-CR"/>
              </w:rPr>
              <w:t xml:space="preserve">Consejo de Ministros de Salud de Centroamérica y República Dominicana (SE-COMISCA) Ministerio de Salud de </w:t>
            </w:r>
            <w:r w:rsidRPr="00C61248">
              <w:rPr>
                <w:rFonts w:eastAsia="Times New Roman"/>
                <w:sz w:val="20"/>
                <w:szCs w:val="20"/>
                <w:lang w:val="es-CR" w:eastAsia="es-CR"/>
              </w:rPr>
              <w:lastRenderedPageBreak/>
              <w:t xml:space="preserve">República Dominicana </w:t>
            </w:r>
          </w:p>
        </w:tc>
        <w:tc>
          <w:tcPr>
            <w:tcW w:w="1490" w:type="dxa"/>
          </w:tcPr>
          <w:p w14:paraId="71489E11" w14:textId="32E3572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No se giran viáticos institucionales.</w:t>
            </w:r>
          </w:p>
        </w:tc>
        <w:tc>
          <w:tcPr>
            <w:tcW w:w="1589" w:type="dxa"/>
          </w:tcPr>
          <w:p w14:paraId="09E4E0D9"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7FBEA416" w14:textId="77777777" w:rsidTr="00594C70">
        <w:trPr>
          <w:trHeight w:val="50"/>
          <w:jc w:val="center"/>
        </w:trPr>
        <w:tc>
          <w:tcPr>
            <w:tcW w:w="1252" w:type="dxa"/>
          </w:tcPr>
          <w:p w14:paraId="108D8D7E" w14:textId="56943E9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Adriana Salazar González</w:t>
            </w:r>
          </w:p>
        </w:tc>
        <w:tc>
          <w:tcPr>
            <w:tcW w:w="1530" w:type="dxa"/>
          </w:tcPr>
          <w:p w14:paraId="2179D9F1" w14:textId="1031767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Unidad de Relaciones Internacionales</w:t>
            </w:r>
          </w:p>
        </w:tc>
        <w:tc>
          <w:tcPr>
            <w:tcW w:w="960" w:type="dxa"/>
          </w:tcPr>
          <w:p w14:paraId="5AAAAABF" w14:textId="549A0CF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9-jul-26</w:t>
            </w:r>
          </w:p>
        </w:tc>
        <w:tc>
          <w:tcPr>
            <w:tcW w:w="1230" w:type="dxa"/>
          </w:tcPr>
          <w:p w14:paraId="60654411" w14:textId="34EF5A5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10-jul-26</w:t>
            </w:r>
          </w:p>
        </w:tc>
        <w:tc>
          <w:tcPr>
            <w:tcW w:w="1204" w:type="dxa"/>
          </w:tcPr>
          <w:p w14:paraId="27F1227C" w14:textId="5D6A48F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República Dominicana</w:t>
            </w:r>
          </w:p>
        </w:tc>
        <w:tc>
          <w:tcPr>
            <w:tcW w:w="1812" w:type="dxa"/>
          </w:tcPr>
          <w:p w14:paraId="68C4AE82" w14:textId="517E523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LXIII Reunión Ordinaria del Consejo de </w:t>
            </w:r>
            <w:r w:rsidRPr="00C61248">
              <w:rPr>
                <w:rFonts w:eastAsia="Times New Roman"/>
                <w:sz w:val="20"/>
                <w:szCs w:val="20"/>
                <w:lang w:val="es-CR" w:eastAsia="es-CR"/>
              </w:rPr>
              <w:lastRenderedPageBreak/>
              <w:t xml:space="preserve">Ministros de Salud de Centroamérica y República Dominicana (COMISCA) </w:t>
            </w:r>
          </w:p>
        </w:tc>
        <w:tc>
          <w:tcPr>
            <w:tcW w:w="1915" w:type="dxa"/>
          </w:tcPr>
          <w:p w14:paraId="5C67ABA8" w14:textId="76251F6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 xml:space="preserve">Reformar el artículo 27 del Reglamento COMISCA 01-2021 </w:t>
            </w:r>
            <w:r w:rsidRPr="00C61248">
              <w:rPr>
                <w:rFonts w:eastAsia="Times New Roman"/>
                <w:sz w:val="20"/>
                <w:szCs w:val="20"/>
                <w:lang w:val="es-CR" w:eastAsia="es-CR"/>
              </w:rPr>
              <w:lastRenderedPageBreak/>
              <w:t xml:space="preserve">de Organización y Funcionamiento del Consejo de Ministros de Salud de Centroamérica y República Dominicana (COMISCA) y su Secretaría Ejecutiva (SE-COMISCA), de manera que la SE-COMISCA tenga ahora la siguiente estructura organizacional básica: 1. Despacho del(la) Secretario(a) Ejecutivo(a): a. Secretario(a) Ejecutivo(a). b. Jefatura de Despacho. c. Asistencia Ejecutiva. d. Asesoría Legal. e. Comunicación y Protocolo. f. Tecnologías de la Información y apoyo logístico. 2. Dirección de </w:t>
            </w:r>
            <w:r w:rsidRPr="00C61248">
              <w:rPr>
                <w:rFonts w:eastAsia="Times New Roman"/>
                <w:sz w:val="20"/>
                <w:szCs w:val="20"/>
                <w:lang w:val="es-CR" w:eastAsia="es-CR"/>
              </w:rPr>
              <w:lastRenderedPageBreak/>
              <w:t xml:space="preserve">Planificación Estratégica, a cargo de un(a) Director(a), e integrada por: a. Unidad de Políticas Públicas. b. Unidad de Monitoreo y Evaluación. 3. Dirección de Bienes Públicos Regionales, a cargo de un(a) Director(a), e integrada por: a. Unidad de Bienes y Servicios Públicos Regionales. b. Unidad de Gestión del Conocimiento y Memoria Técnica Institucional. 4. Dirección de Relaciones Internacionales, a cargo de un(a) Director(a), e integrada por: a. Unidad de Portafolio de Proyectos y Movilización de Recursos. b. </w:t>
            </w:r>
            <w:r w:rsidRPr="00C61248">
              <w:rPr>
                <w:rFonts w:eastAsia="Times New Roman"/>
                <w:sz w:val="20"/>
                <w:szCs w:val="20"/>
                <w:lang w:val="es-CR" w:eastAsia="es-CR"/>
              </w:rPr>
              <w:lastRenderedPageBreak/>
              <w:t xml:space="preserve">Unidad de Diplomacia Sanitaria. 5. Dirección de Administración y Finanzas, a cargo de un(a) Director(a), e integrada por: a. Unidad de Finanzas. b. Unidad de Adquisiciones y Servicios Administrativos. c. Sección de Gestión del Talento Humano. En relación con el ajuste de la estructura, la Secretaría Ejecutiva elaborará y presentará al COMISCA en su próxima reunión ordinaria una propuesta integral avalada por el CEIP para la implementación de la estructura organizacional </w:t>
            </w:r>
            <w:r w:rsidRPr="00C61248">
              <w:rPr>
                <w:rFonts w:eastAsia="Times New Roman"/>
                <w:sz w:val="20"/>
                <w:szCs w:val="20"/>
                <w:lang w:val="es-CR" w:eastAsia="es-CR"/>
              </w:rPr>
              <w:lastRenderedPageBreak/>
              <w:t xml:space="preserve">aprobada, que incluya los análisis jurídicos, financieros, funcionales, de gobernanza, talento humano, gestión de riesgos y demás instrumentos necesarios para asegurar una transición ordenada y sostenible. Establecer medidas transitorias que aseguren la continuidad administrativa-operativa de la Secretaría Ejecutiva del COMISCA (SE COMISCA) en los casos de ausencia de su titular, mientras se tramita la reforma del Reglamento COMISCA 01-2021 que incorpore las disposiciones correspondientes sobre esta materia. </w:t>
            </w:r>
            <w:r w:rsidRPr="00C61248">
              <w:rPr>
                <w:rFonts w:eastAsia="Times New Roman"/>
                <w:sz w:val="20"/>
                <w:szCs w:val="20"/>
                <w:lang w:val="es-CR" w:eastAsia="es-CR"/>
              </w:rPr>
              <w:lastRenderedPageBreak/>
              <w:t>Aprobar el Sistema de Planificación, Monitoreo y Evaluación del Plan de Salud de Centroamérica y República Dominicana (</w:t>
            </w:r>
            <w:proofErr w:type="spellStart"/>
            <w:r w:rsidRPr="00C61248">
              <w:rPr>
                <w:rFonts w:eastAsia="Times New Roman"/>
                <w:sz w:val="20"/>
                <w:szCs w:val="20"/>
                <w:lang w:val="es-CR" w:eastAsia="es-CR"/>
              </w:rPr>
              <w:t>PSCARD</w:t>
            </w:r>
            <w:proofErr w:type="spellEnd"/>
            <w:r w:rsidRPr="00C61248">
              <w:rPr>
                <w:rFonts w:eastAsia="Times New Roman"/>
                <w:sz w:val="20"/>
                <w:szCs w:val="20"/>
                <w:lang w:val="es-CR" w:eastAsia="es-CR"/>
              </w:rPr>
              <w:t xml:space="preserve">) 2026-2030, el cual se encuentra anexo al presente instrumento y forma parte integral del mismo. Sobre el Sistema de Planificación, Monitoreo y Evaluación, instruir al Comité Ejecutivo para la Implementación del Plan de Salud (CEIP) a velar por la implementación del referido sistema de planificación, monitoreo y evaluación del </w:t>
            </w:r>
            <w:proofErr w:type="spellStart"/>
            <w:r w:rsidRPr="00C61248">
              <w:rPr>
                <w:rFonts w:eastAsia="Times New Roman"/>
                <w:sz w:val="20"/>
                <w:szCs w:val="20"/>
                <w:lang w:val="es-CR" w:eastAsia="es-CR"/>
              </w:rPr>
              <w:t>PSCARD</w:t>
            </w:r>
            <w:proofErr w:type="spellEnd"/>
            <w:r w:rsidRPr="00C61248">
              <w:rPr>
                <w:rFonts w:eastAsia="Times New Roman"/>
                <w:sz w:val="20"/>
                <w:szCs w:val="20"/>
                <w:lang w:val="es-CR" w:eastAsia="es-CR"/>
              </w:rPr>
              <w:t xml:space="preserve"> 2026-2030, en coordinación con las instancias </w:t>
            </w:r>
            <w:r w:rsidRPr="00C61248">
              <w:rPr>
                <w:rFonts w:eastAsia="Times New Roman"/>
                <w:sz w:val="20"/>
                <w:szCs w:val="20"/>
                <w:lang w:val="es-CR" w:eastAsia="es-CR"/>
              </w:rPr>
              <w:lastRenderedPageBreak/>
              <w:t xml:space="preserve">técnicas operativas del COMISCA y la SE-COMISCA, a fin de garantizar el avance y cumplimiento del </w:t>
            </w:r>
            <w:proofErr w:type="spellStart"/>
            <w:r w:rsidRPr="00C61248">
              <w:rPr>
                <w:rFonts w:eastAsia="Times New Roman"/>
                <w:sz w:val="20"/>
                <w:szCs w:val="20"/>
                <w:lang w:val="es-CR" w:eastAsia="es-CR"/>
              </w:rPr>
              <w:t>PSCARD</w:t>
            </w:r>
            <w:proofErr w:type="spellEnd"/>
            <w:r w:rsidRPr="00C61248">
              <w:rPr>
                <w:rFonts w:eastAsia="Times New Roman"/>
                <w:sz w:val="20"/>
                <w:szCs w:val="20"/>
                <w:lang w:val="es-CR" w:eastAsia="es-CR"/>
              </w:rPr>
              <w:t xml:space="preserve"> 2026 -2030. Aprobar la Hoja de Ruta para fortalecer las Funciones Esenciales de Salud Pública (</w:t>
            </w:r>
            <w:proofErr w:type="spellStart"/>
            <w:r w:rsidRPr="00C61248">
              <w:rPr>
                <w:rFonts w:eastAsia="Times New Roman"/>
                <w:sz w:val="20"/>
                <w:szCs w:val="20"/>
                <w:lang w:val="es-CR" w:eastAsia="es-CR"/>
              </w:rPr>
              <w:t>FESP</w:t>
            </w:r>
            <w:proofErr w:type="spellEnd"/>
            <w:r w:rsidRPr="00C61248">
              <w:rPr>
                <w:rFonts w:eastAsia="Times New Roman"/>
                <w:sz w:val="20"/>
                <w:szCs w:val="20"/>
                <w:lang w:val="es-CR" w:eastAsia="es-CR"/>
              </w:rPr>
              <w:t>) de Centroamérica y República Dominicana 2026-2031, la cual se encuentra anexa al presente instrumento y forma parte integral del mismo. Promover la difusión y utilización de la referida Hoja de Ruta para fortalecer las Funciones Esenciales de Salud Pública (</w:t>
            </w:r>
            <w:proofErr w:type="spellStart"/>
            <w:r w:rsidRPr="00C61248">
              <w:rPr>
                <w:rFonts w:eastAsia="Times New Roman"/>
                <w:sz w:val="20"/>
                <w:szCs w:val="20"/>
                <w:lang w:val="es-CR" w:eastAsia="es-CR"/>
              </w:rPr>
              <w:t>FESP</w:t>
            </w:r>
            <w:proofErr w:type="spellEnd"/>
            <w:r w:rsidRPr="00C61248">
              <w:rPr>
                <w:rFonts w:eastAsia="Times New Roman"/>
                <w:sz w:val="20"/>
                <w:szCs w:val="20"/>
                <w:lang w:val="es-CR" w:eastAsia="es-CR"/>
              </w:rPr>
              <w:t xml:space="preserve">) en los Ministerios y Secretarías de </w:t>
            </w:r>
            <w:r w:rsidRPr="00C61248">
              <w:rPr>
                <w:rFonts w:eastAsia="Times New Roman"/>
                <w:sz w:val="20"/>
                <w:szCs w:val="20"/>
                <w:lang w:val="es-CR" w:eastAsia="es-CR"/>
              </w:rPr>
              <w:lastRenderedPageBreak/>
              <w:t xml:space="preserve">Salud de los Estados Miembros del COMISCA, a fin de que sea considerada en los procesos nacionales de fortalecimiento de las </w:t>
            </w:r>
            <w:proofErr w:type="spellStart"/>
            <w:r w:rsidRPr="00C61248">
              <w:rPr>
                <w:rFonts w:eastAsia="Times New Roman"/>
                <w:sz w:val="20"/>
                <w:szCs w:val="20"/>
                <w:lang w:val="es-CR" w:eastAsia="es-CR"/>
              </w:rPr>
              <w:t>FESP</w:t>
            </w:r>
            <w:proofErr w:type="spellEnd"/>
            <w:r w:rsidRPr="00C61248">
              <w:rPr>
                <w:rFonts w:eastAsia="Times New Roman"/>
                <w:sz w:val="20"/>
                <w:szCs w:val="20"/>
                <w:lang w:val="es-CR" w:eastAsia="es-CR"/>
              </w:rPr>
              <w:t xml:space="preserve">, particularmente por las instancias y equipos técnicos involucrados en su implementación. Impulsar, en el ámbito de las competencias de los Estados Miembros y de la Secretaría Ejecutiva del COMISCA, la gestión y movilización de recursos nacionales, regionales e internacionales que contribuyan a la implementación de la mencionada Hoja de Ruta para fortalecer las </w:t>
            </w:r>
            <w:r w:rsidRPr="00C61248">
              <w:rPr>
                <w:rFonts w:eastAsia="Times New Roman"/>
                <w:sz w:val="20"/>
                <w:szCs w:val="20"/>
                <w:lang w:val="es-CR" w:eastAsia="es-CR"/>
              </w:rPr>
              <w:lastRenderedPageBreak/>
              <w:t>Funciones Esenciales de Salud Pública (</w:t>
            </w:r>
            <w:proofErr w:type="spellStart"/>
            <w:r w:rsidRPr="00C61248">
              <w:rPr>
                <w:rFonts w:eastAsia="Times New Roman"/>
                <w:sz w:val="20"/>
                <w:szCs w:val="20"/>
                <w:lang w:val="es-CR" w:eastAsia="es-CR"/>
              </w:rPr>
              <w:t>FESP</w:t>
            </w:r>
            <w:proofErr w:type="spellEnd"/>
            <w:r w:rsidRPr="00C61248">
              <w:rPr>
                <w:rFonts w:eastAsia="Times New Roman"/>
                <w:sz w:val="20"/>
                <w:szCs w:val="20"/>
                <w:lang w:val="es-CR" w:eastAsia="es-CR"/>
              </w:rPr>
              <w:t xml:space="preserve">). La Secretaría Ejecutiva del COMISCA elaborará en conjunto con los países una propuesta de modelo híbrido de financiamiento, la cual debe ser presentada al Consejo en su sesión de diciembre de 2026. Aprobar la Agenda Regional de Prioridades de Investigación en Salud para el periodo 2026 - 2030, la cual se encuentra anexa al presente instrumento y forma parte integral del mismo. Impulsar la adopción y cumplimiento de la Agenda Regional </w:t>
            </w:r>
            <w:r w:rsidRPr="00C61248">
              <w:rPr>
                <w:rFonts w:eastAsia="Times New Roman"/>
                <w:sz w:val="20"/>
                <w:szCs w:val="20"/>
                <w:lang w:val="es-CR" w:eastAsia="es-CR"/>
              </w:rPr>
              <w:lastRenderedPageBreak/>
              <w:t>de Prioridades de Investigación en Salud, a través de la Comisión Técnica de Investigación para la Salud (</w:t>
            </w:r>
            <w:proofErr w:type="spellStart"/>
            <w:r w:rsidRPr="00C61248">
              <w:rPr>
                <w:rFonts w:eastAsia="Times New Roman"/>
                <w:sz w:val="20"/>
                <w:szCs w:val="20"/>
                <w:lang w:val="es-CR" w:eastAsia="es-CR"/>
              </w:rPr>
              <w:t>CTIS</w:t>
            </w:r>
            <w:proofErr w:type="spellEnd"/>
            <w:r w:rsidRPr="00C61248">
              <w:rPr>
                <w:rFonts w:eastAsia="Times New Roman"/>
                <w:sz w:val="20"/>
                <w:szCs w:val="20"/>
                <w:lang w:val="es-CR" w:eastAsia="es-CR"/>
              </w:rPr>
              <w:t>), en cada uno de los Estados Miembros del COMISCA. Aprobar la incorporación de la Unidad Nacional de Atención al Enfermo Renal Crónico (</w:t>
            </w:r>
            <w:proofErr w:type="spellStart"/>
            <w:r w:rsidRPr="00C61248">
              <w:rPr>
                <w:rFonts w:eastAsia="Times New Roman"/>
                <w:sz w:val="20"/>
                <w:szCs w:val="20"/>
                <w:lang w:val="es-CR" w:eastAsia="es-CR"/>
              </w:rPr>
              <w:t>UNAERC</w:t>
            </w:r>
            <w:proofErr w:type="spellEnd"/>
            <w:r w:rsidRPr="00C61248">
              <w:rPr>
                <w:rFonts w:eastAsia="Times New Roman"/>
                <w:sz w:val="20"/>
                <w:szCs w:val="20"/>
                <w:lang w:val="es-CR" w:eastAsia="es-CR"/>
              </w:rPr>
              <w:t xml:space="preserve">) de la República de Guatemala como institución usuaria del Mecanismo de Negociación Conjunta COMISCA. Instruir a la Secretaría Ejecutiva del COMISCA para que proceda a la suscripción del correspondiente Acuerdo de Incorporación y Participación con la </w:t>
            </w:r>
            <w:proofErr w:type="spellStart"/>
            <w:r w:rsidRPr="00C61248">
              <w:rPr>
                <w:rFonts w:eastAsia="Times New Roman"/>
                <w:sz w:val="20"/>
                <w:szCs w:val="20"/>
                <w:lang w:val="es-CR" w:eastAsia="es-CR"/>
              </w:rPr>
              <w:t>UNAERC</w:t>
            </w:r>
            <w:proofErr w:type="spellEnd"/>
            <w:r w:rsidRPr="00C61248">
              <w:rPr>
                <w:rFonts w:eastAsia="Times New Roman"/>
                <w:sz w:val="20"/>
                <w:szCs w:val="20"/>
                <w:lang w:val="es-CR" w:eastAsia="es-CR"/>
              </w:rPr>
              <w:t xml:space="preserve">. Se </w:t>
            </w:r>
            <w:r w:rsidRPr="00C61248">
              <w:rPr>
                <w:rFonts w:eastAsia="Times New Roman"/>
                <w:sz w:val="20"/>
                <w:szCs w:val="20"/>
                <w:lang w:val="es-CR" w:eastAsia="es-CR"/>
              </w:rPr>
              <w:lastRenderedPageBreak/>
              <w:t xml:space="preserve">considerará la incorporación efectiva al Mecanismo y su sucesiva capacidad de participación, una vez el mencionado Acuerdo entre en vigor, de conformidad con lo establecido en el artículo 29 del Reglamento COMISCA 01-2025. Aprobar los Lineamientos regionales para la donación y trasplante de órganos, tejidos y células de origen humano en Centroamérica y República Dominicana, como un instrumento orientador en el desarrollo de las normativas nacionales para fortalecer la capacidad </w:t>
            </w:r>
            <w:r w:rsidRPr="00C61248">
              <w:rPr>
                <w:rFonts w:eastAsia="Times New Roman"/>
                <w:sz w:val="20"/>
                <w:szCs w:val="20"/>
                <w:lang w:val="es-CR" w:eastAsia="es-CR"/>
              </w:rPr>
              <w:lastRenderedPageBreak/>
              <w:t xml:space="preserve">institucional los Sistemas Nacionales Donación y Trasplante en los Estados Miembros del SICA. Los referidos Lineamientos se encuentran anexos al presente instrumento y forman parte integral del mismo. Instruir a los responsables nacionales de donación y trasplante de los Estados miembros, a la Comisión Técnica de Enfermedades Crónicas y Cáncer y a la SE-COMISCA, a dar monitoreo de los avances en los Sistemas nacionales de donación y trasplante, y a realizar, durante el </w:t>
            </w:r>
            <w:r w:rsidRPr="00C61248">
              <w:rPr>
                <w:rFonts w:eastAsia="Times New Roman"/>
                <w:sz w:val="20"/>
                <w:szCs w:val="20"/>
                <w:lang w:val="es-CR" w:eastAsia="es-CR"/>
              </w:rPr>
              <w:lastRenderedPageBreak/>
              <w:t xml:space="preserve">año 2028, una actualización del diagnóstico de situación de los Estados Miembros del SICA, a fin de efectuar los análisis correspondientes y orientar las acciones de fortalecimiento regional. Instar a los Estados Miembros a que, en el marco de sus procesos nacionales de planificación y abastecimiento, maximicen la utilización de la Negociación Conjunta COMISCA® para la adquisición de medicamentos, dispositivos médicos y demás tecnologías sanitarias requeridas para las actividades de donación y </w:t>
            </w:r>
            <w:r w:rsidRPr="00C61248">
              <w:rPr>
                <w:rFonts w:eastAsia="Times New Roman"/>
                <w:sz w:val="20"/>
                <w:szCs w:val="20"/>
                <w:lang w:val="es-CR" w:eastAsia="es-CR"/>
              </w:rPr>
              <w:lastRenderedPageBreak/>
              <w:t xml:space="preserve">trasplante. Aprobar el Marco Estratégico para la promoción de la actividad física para Centroamérica y República Dominicana 2026-2036, como un instrumento que oriente acciones bajo el enfoque de determinación social de la salud e intersectorialidad, a fin de prevenir y reducir la discapacidad y mortalidad asociadas a las enfermedades crónicas no transmisibles en poblaciones de Centroamérica y República Dominicana. El referido Marco Estratégico se encuentra anexo al presente instrumento y forma parte integral del </w:t>
            </w:r>
            <w:r w:rsidRPr="00C61248">
              <w:rPr>
                <w:rFonts w:eastAsia="Times New Roman"/>
                <w:sz w:val="20"/>
                <w:szCs w:val="20"/>
                <w:lang w:val="es-CR" w:eastAsia="es-CR"/>
              </w:rPr>
              <w:lastRenderedPageBreak/>
              <w:t>mismo. Instar a los Estados Miembros del SICA a promover alianzas intersectoriales impulsadas por los Ministerios de Salud para generar condiciones para entornos que favorezcan la actividad física</w:t>
            </w:r>
            <w:r w:rsidRPr="00C61248">
              <w:rPr>
                <w:rFonts w:eastAsia="Times New Roman"/>
                <w:sz w:val="20"/>
                <w:szCs w:val="20"/>
                <w:lang w:val="es-CR" w:eastAsia="es-CR"/>
              </w:rPr>
              <w:br/>
              <w:t>Instruir a la SE-COMISCA, el INCAP y a la Comisión Técnica de Crónicas y Cáncer (</w:t>
            </w:r>
            <w:proofErr w:type="spellStart"/>
            <w:r w:rsidRPr="00C61248">
              <w:rPr>
                <w:rFonts w:eastAsia="Times New Roman"/>
                <w:sz w:val="20"/>
                <w:szCs w:val="20"/>
                <w:lang w:val="es-CR" w:eastAsia="es-CR"/>
              </w:rPr>
              <w:t>CTCC</w:t>
            </w:r>
            <w:proofErr w:type="spellEnd"/>
            <w:r w:rsidRPr="00C61248">
              <w:rPr>
                <w:rFonts w:eastAsia="Times New Roman"/>
                <w:sz w:val="20"/>
                <w:szCs w:val="20"/>
                <w:lang w:val="es-CR" w:eastAsia="es-CR"/>
              </w:rPr>
              <w:t xml:space="preserve">) a que promuevan acciones regionales en torno a la actividad física. </w:t>
            </w:r>
          </w:p>
        </w:tc>
        <w:tc>
          <w:tcPr>
            <w:tcW w:w="1828" w:type="dxa"/>
          </w:tcPr>
          <w:p w14:paraId="10314498" w14:textId="0932DCA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Ministerio de Salud de Costa Rica</w:t>
            </w:r>
          </w:p>
        </w:tc>
        <w:tc>
          <w:tcPr>
            <w:tcW w:w="1490" w:type="dxa"/>
          </w:tcPr>
          <w:p w14:paraId="4D2138A9" w14:textId="11AC8B44" w:rsidR="00C61248" w:rsidRPr="00CE624F" w:rsidRDefault="00C61248" w:rsidP="00C61248">
            <w:pPr>
              <w:spacing w:line="240" w:lineRule="auto"/>
              <w:jc w:val="right"/>
              <w:rPr>
                <w:rFonts w:eastAsia="Times New Roman"/>
                <w:sz w:val="20"/>
                <w:szCs w:val="20"/>
                <w:lang w:val="es-CR" w:eastAsia="es-CR"/>
              </w:rPr>
            </w:pPr>
            <w:r w:rsidRPr="00C61248">
              <w:rPr>
                <w:rFonts w:eastAsia="Times New Roman"/>
                <w:sz w:val="20"/>
                <w:szCs w:val="20"/>
                <w:lang w:val="es-CR" w:eastAsia="es-CR"/>
              </w:rPr>
              <w:t xml:space="preserve"> ₡ 365 889,76 </w:t>
            </w:r>
          </w:p>
        </w:tc>
        <w:tc>
          <w:tcPr>
            <w:tcW w:w="1589" w:type="dxa"/>
          </w:tcPr>
          <w:p w14:paraId="0E878324"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7A44CFE1" w14:textId="77777777" w:rsidTr="00C61248">
        <w:trPr>
          <w:trHeight w:val="50"/>
          <w:jc w:val="center"/>
        </w:trPr>
        <w:tc>
          <w:tcPr>
            <w:tcW w:w="1252" w:type="dxa"/>
          </w:tcPr>
          <w:p w14:paraId="4FA9E00B" w14:textId="04713B6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Iván Rojas Granados</w:t>
            </w:r>
          </w:p>
        </w:tc>
        <w:tc>
          <w:tcPr>
            <w:tcW w:w="1530" w:type="dxa"/>
          </w:tcPr>
          <w:p w14:paraId="4304F02B" w14:textId="06FFB29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2F7E8A39" w14:textId="1A73D14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13-jul-26</w:t>
            </w:r>
          </w:p>
        </w:tc>
        <w:tc>
          <w:tcPr>
            <w:tcW w:w="1230" w:type="dxa"/>
          </w:tcPr>
          <w:p w14:paraId="24897610" w14:textId="682F887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488316FC" w14:textId="029460D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Portugal</w:t>
            </w:r>
          </w:p>
        </w:tc>
        <w:tc>
          <w:tcPr>
            <w:tcW w:w="1812" w:type="dxa"/>
          </w:tcPr>
          <w:p w14:paraId="68158CD9" w14:textId="1153860D" w:rsidR="00C61248" w:rsidRPr="00C61248" w:rsidRDefault="00C61248" w:rsidP="00C61248">
            <w:pPr>
              <w:spacing w:line="240" w:lineRule="auto"/>
              <w:rPr>
                <w:rFonts w:eastAsia="Times New Roman"/>
                <w:sz w:val="20"/>
                <w:szCs w:val="20"/>
                <w:lang w:val="en-US" w:eastAsia="es-CR"/>
              </w:rPr>
            </w:pPr>
            <w:r w:rsidRPr="00C61248">
              <w:rPr>
                <w:rFonts w:eastAsia="Times New Roman"/>
                <w:sz w:val="20"/>
                <w:szCs w:val="20"/>
                <w:lang w:val="en-US" w:eastAsia="es-CR"/>
              </w:rPr>
              <w:t xml:space="preserve">Advancing Artificial Intelligence for Health: Inter Regional WHO Workshop and Global Event on AI </w:t>
            </w:r>
          </w:p>
        </w:tc>
        <w:tc>
          <w:tcPr>
            <w:tcW w:w="1915" w:type="dxa"/>
            <w:vAlign w:val="center"/>
          </w:tcPr>
          <w:p w14:paraId="1DC94FBA" w14:textId="68C4BE8B" w:rsidR="00C61248" w:rsidRPr="00C61248" w:rsidRDefault="00C61248" w:rsidP="00C61248">
            <w:pPr>
              <w:spacing w:line="240" w:lineRule="auto"/>
              <w:jc w:val="center"/>
              <w:rPr>
                <w:rFonts w:eastAsia="Times New Roman"/>
                <w:i/>
                <w:iCs/>
                <w:sz w:val="20"/>
                <w:szCs w:val="20"/>
                <w:lang w:eastAsia="es-CR"/>
              </w:rPr>
            </w:pPr>
            <w:r w:rsidRPr="00C61248">
              <w:rPr>
                <w:rFonts w:eastAsia="Times New Roman"/>
                <w:i/>
                <w:iCs/>
                <w:sz w:val="20"/>
                <w:szCs w:val="20"/>
                <w:lang w:eastAsia="es-CR"/>
              </w:rPr>
              <w:t>Informe pendiente.</w:t>
            </w:r>
          </w:p>
        </w:tc>
        <w:tc>
          <w:tcPr>
            <w:tcW w:w="1828" w:type="dxa"/>
          </w:tcPr>
          <w:p w14:paraId="4F0465D1" w14:textId="5BD7A25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Organización Mundial de la Salud (OMS)</w:t>
            </w:r>
          </w:p>
        </w:tc>
        <w:tc>
          <w:tcPr>
            <w:tcW w:w="1490" w:type="dxa"/>
          </w:tcPr>
          <w:p w14:paraId="76C2D532" w14:textId="7A7B59A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2B79C9F0"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55D54B58" w14:textId="77777777" w:rsidTr="00594C70">
        <w:trPr>
          <w:trHeight w:val="50"/>
          <w:jc w:val="center"/>
        </w:trPr>
        <w:tc>
          <w:tcPr>
            <w:tcW w:w="1252" w:type="dxa"/>
          </w:tcPr>
          <w:p w14:paraId="3CE7E6D2" w14:textId="692ABC5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Alejandra Chaverri Esquivel</w:t>
            </w:r>
          </w:p>
        </w:tc>
        <w:tc>
          <w:tcPr>
            <w:tcW w:w="1530" w:type="dxa"/>
          </w:tcPr>
          <w:p w14:paraId="278ED856" w14:textId="27887F2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Dirección de Regulación de Productos de Interés y </w:t>
            </w:r>
            <w:r w:rsidRPr="00C61248">
              <w:rPr>
                <w:rFonts w:eastAsia="Times New Roman"/>
                <w:sz w:val="20"/>
                <w:szCs w:val="20"/>
                <w:lang w:val="es-CR" w:eastAsia="es-CR"/>
              </w:rPr>
              <w:lastRenderedPageBreak/>
              <w:t>Riesgo Sanitario</w:t>
            </w:r>
          </w:p>
        </w:tc>
        <w:tc>
          <w:tcPr>
            <w:tcW w:w="960" w:type="dxa"/>
          </w:tcPr>
          <w:p w14:paraId="2E0E311D" w14:textId="3A83707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14-jul-26</w:t>
            </w:r>
          </w:p>
        </w:tc>
        <w:tc>
          <w:tcPr>
            <w:tcW w:w="1230" w:type="dxa"/>
          </w:tcPr>
          <w:p w14:paraId="717EDF27" w14:textId="5F7F130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2B43CF29" w14:textId="290A909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Chile </w:t>
            </w:r>
          </w:p>
        </w:tc>
        <w:tc>
          <w:tcPr>
            <w:tcW w:w="1812" w:type="dxa"/>
          </w:tcPr>
          <w:p w14:paraId="636F1243" w14:textId="1559096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Taller Regional de Integración Técnica y Fortalecimiento de </w:t>
            </w:r>
            <w:r w:rsidRPr="00C61248">
              <w:rPr>
                <w:rFonts w:eastAsia="Times New Roman"/>
                <w:sz w:val="20"/>
                <w:szCs w:val="20"/>
                <w:lang w:val="es-CR" w:eastAsia="es-CR"/>
              </w:rPr>
              <w:lastRenderedPageBreak/>
              <w:t>Capacidades en Análisis de Riesgo para la Inocuidad Alimentaria</w:t>
            </w:r>
          </w:p>
        </w:tc>
        <w:tc>
          <w:tcPr>
            <w:tcW w:w="1915" w:type="dxa"/>
          </w:tcPr>
          <w:p w14:paraId="371C8149" w14:textId="13C9AE0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 xml:space="preserve">Validación final de la hoja de ruta para Costa Rica. Envió de cartas para </w:t>
            </w:r>
            <w:r w:rsidRPr="00C61248">
              <w:rPr>
                <w:rFonts w:eastAsia="Times New Roman"/>
                <w:sz w:val="20"/>
                <w:szCs w:val="20"/>
                <w:lang w:val="es-CR" w:eastAsia="es-CR"/>
              </w:rPr>
              <w:lastRenderedPageBreak/>
              <w:t>nombramiento de participantes en la formación híbrida. Nombramiento de participantes en la formación híbrida. Solicitud de fondos de capital semilla ($5000) por país. Participación en formación híbrida, desarrollo de casos de estudio y presentación de informe final.</w:t>
            </w:r>
          </w:p>
        </w:tc>
        <w:tc>
          <w:tcPr>
            <w:tcW w:w="1828" w:type="dxa"/>
          </w:tcPr>
          <w:p w14:paraId="5B98AB67" w14:textId="3B24EEB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 xml:space="preserve">Oficina Regional de la Organización de las Naciones Unidas para la </w:t>
            </w:r>
            <w:r w:rsidRPr="00C61248">
              <w:rPr>
                <w:rFonts w:eastAsia="Times New Roman"/>
                <w:sz w:val="20"/>
                <w:szCs w:val="20"/>
                <w:lang w:val="es-CR" w:eastAsia="es-CR"/>
              </w:rPr>
              <w:lastRenderedPageBreak/>
              <w:t>Alimentación y la Agricultura (FAO) para América Latina y el Caribe</w:t>
            </w:r>
          </w:p>
        </w:tc>
        <w:tc>
          <w:tcPr>
            <w:tcW w:w="1490" w:type="dxa"/>
          </w:tcPr>
          <w:p w14:paraId="0AF47F1D" w14:textId="12E6F5F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No se giran viáticos institucionales.</w:t>
            </w:r>
          </w:p>
        </w:tc>
        <w:tc>
          <w:tcPr>
            <w:tcW w:w="1589" w:type="dxa"/>
          </w:tcPr>
          <w:p w14:paraId="60BD3634"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06A3F0DE" w14:textId="77777777" w:rsidTr="00594C70">
        <w:trPr>
          <w:trHeight w:val="50"/>
          <w:jc w:val="center"/>
        </w:trPr>
        <w:tc>
          <w:tcPr>
            <w:tcW w:w="1252" w:type="dxa"/>
          </w:tcPr>
          <w:p w14:paraId="72B862BB" w14:textId="2010D3F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Cynthia Pérez Rodríguez</w:t>
            </w:r>
          </w:p>
        </w:tc>
        <w:tc>
          <w:tcPr>
            <w:tcW w:w="1530" w:type="dxa"/>
          </w:tcPr>
          <w:p w14:paraId="26B09220" w14:textId="40A16AE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de Regulación de Productos de Interés y Riesgo Sanitario</w:t>
            </w:r>
          </w:p>
        </w:tc>
        <w:tc>
          <w:tcPr>
            <w:tcW w:w="960" w:type="dxa"/>
          </w:tcPr>
          <w:p w14:paraId="5EE2A892" w14:textId="0B8ED92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14-jul-26</w:t>
            </w:r>
          </w:p>
        </w:tc>
        <w:tc>
          <w:tcPr>
            <w:tcW w:w="1230" w:type="dxa"/>
          </w:tcPr>
          <w:p w14:paraId="3869C5CD" w14:textId="022DF16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4CD61E5E" w14:textId="3792F1C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Trinidad y Tobago</w:t>
            </w:r>
          </w:p>
        </w:tc>
        <w:tc>
          <w:tcPr>
            <w:tcW w:w="1812" w:type="dxa"/>
          </w:tcPr>
          <w:p w14:paraId="4D57CE45" w14:textId="1B516431" w:rsidR="00C61248" w:rsidRPr="00C61248"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Vigésimo séptima Reunión Regional de Autoridades Nacionales de los Estados Partes en América Latina y el Caribe</w:t>
            </w:r>
          </w:p>
        </w:tc>
        <w:tc>
          <w:tcPr>
            <w:tcW w:w="1915" w:type="dxa"/>
          </w:tcPr>
          <w:p w14:paraId="3C9109E7" w14:textId="1C7D659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asumen compromisos.</w:t>
            </w:r>
          </w:p>
        </w:tc>
        <w:tc>
          <w:tcPr>
            <w:tcW w:w="1828" w:type="dxa"/>
          </w:tcPr>
          <w:p w14:paraId="2335BEC8" w14:textId="11AE6D9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Organización para la Prohibición de Armas Químicas (OPAQ)</w:t>
            </w:r>
          </w:p>
        </w:tc>
        <w:tc>
          <w:tcPr>
            <w:tcW w:w="1490" w:type="dxa"/>
          </w:tcPr>
          <w:p w14:paraId="5FE4CCA8" w14:textId="6BAF856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678C263D"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325E9773" w14:textId="77777777" w:rsidTr="00594C70">
        <w:trPr>
          <w:trHeight w:val="50"/>
          <w:jc w:val="center"/>
        </w:trPr>
        <w:tc>
          <w:tcPr>
            <w:tcW w:w="1252" w:type="dxa"/>
          </w:tcPr>
          <w:p w14:paraId="5A5C2E0B" w14:textId="479EE10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Carlos Salguero Mendoza</w:t>
            </w:r>
          </w:p>
        </w:tc>
        <w:tc>
          <w:tcPr>
            <w:tcW w:w="1530" w:type="dxa"/>
          </w:tcPr>
          <w:p w14:paraId="1D5F3B15" w14:textId="352B53A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696A5B5C" w14:textId="5A3541E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14-jul-26</w:t>
            </w:r>
          </w:p>
        </w:tc>
        <w:tc>
          <w:tcPr>
            <w:tcW w:w="1230" w:type="dxa"/>
          </w:tcPr>
          <w:p w14:paraId="303FC43F" w14:textId="482D132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195866FA" w14:textId="0444A4C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Guatemala </w:t>
            </w:r>
          </w:p>
        </w:tc>
        <w:tc>
          <w:tcPr>
            <w:tcW w:w="1812" w:type="dxa"/>
          </w:tcPr>
          <w:p w14:paraId="6F73403C" w14:textId="5871FF1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Taller Regional de Vigilancia y Respuesta a brotes, con énfasis al Sarampión con Enfoque 7-1-7</w:t>
            </w:r>
          </w:p>
        </w:tc>
        <w:tc>
          <w:tcPr>
            <w:tcW w:w="1915" w:type="dxa"/>
          </w:tcPr>
          <w:p w14:paraId="33743F93" w14:textId="4E2130C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Socializar los principales resultados y recomendaciones con los miembros</w:t>
            </w:r>
            <w:r>
              <w:rPr>
                <w:rFonts w:eastAsia="Times New Roman"/>
                <w:sz w:val="20"/>
                <w:szCs w:val="20"/>
                <w:lang w:val="es-CR" w:eastAsia="es-CR"/>
              </w:rPr>
              <w:t xml:space="preserve"> </w:t>
            </w:r>
            <w:r w:rsidRPr="00C61248">
              <w:rPr>
                <w:rFonts w:eastAsia="Times New Roman"/>
                <w:sz w:val="20"/>
                <w:szCs w:val="20"/>
                <w:lang w:val="es-CR" w:eastAsia="es-CR"/>
              </w:rPr>
              <w:t>del CNE/</w:t>
            </w:r>
            <w:proofErr w:type="spellStart"/>
            <w:r w:rsidRPr="00C61248">
              <w:rPr>
                <w:rFonts w:eastAsia="Times New Roman"/>
                <w:sz w:val="20"/>
                <w:szCs w:val="20"/>
                <w:lang w:val="es-CR" w:eastAsia="es-CR"/>
              </w:rPr>
              <w:t>RSI</w:t>
            </w:r>
            <w:proofErr w:type="spellEnd"/>
            <w:r w:rsidRPr="00C61248">
              <w:rPr>
                <w:rFonts w:eastAsia="Times New Roman"/>
                <w:sz w:val="20"/>
                <w:szCs w:val="20"/>
                <w:lang w:val="es-CR" w:eastAsia="es-CR"/>
              </w:rPr>
              <w:t xml:space="preserve"> vinculadas a vigilancia, laboratorio, inmunización, emergencias</w:t>
            </w:r>
            <w:r w:rsidRPr="00C61248">
              <w:rPr>
                <w:rFonts w:eastAsia="Times New Roman"/>
                <w:sz w:val="20"/>
                <w:szCs w:val="20"/>
                <w:lang w:val="es-CR" w:eastAsia="es-CR"/>
              </w:rPr>
              <w:br/>
            </w:r>
            <w:r w:rsidRPr="00C61248">
              <w:rPr>
                <w:rFonts w:eastAsia="Times New Roman"/>
                <w:sz w:val="20"/>
                <w:szCs w:val="20"/>
                <w:lang w:val="es-CR" w:eastAsia="es-CR"/>
              </w:rPr>
              <w:lastRenderedPageBreak/>
              <w:t xml:space="preserve">y </w:t>
            </w:r>
            <w:proofErr w:type="spellStart"/>
            <w:r w:rsidRPr="00C61248">
              <w:rPr>
                <w:rFonts w:eastAsia="Times New Roman"/>
                <w:sz w:val="20"/>
                <w:szCs w:val="20"/>
                <w:lang w:val="es-CR" w:eastAsia="es-CR"/>
              </w:rPr>
              <w:t>RSI</w:t>
            </w:r>
            <w:proofErr w:type="spellEnd"/>
            <w:r w:rsidRPr="00C61248">
              <w:rPr>
                <w:rFonts w:eastAsia="Times New Roman"/>
                <w:sz w:val="20"/>
                <w:szCs w:val="20"/>
                <w:lang w:val="es-CR" w:eastAsia="es-CR"/>
              </w:rPr>
              <w:t>. Apoyo continuo a la incorporación progresiva del enfoque 7-1-7 para medir</w:t>
            </w:r>
            <w:r>
              <w:rPr>
                <w:rFonts w:eastAsia="Times New Roman"/>
                <w:sz w:val="20"/>
                <w:szCs w:val="20"/>
                <w:lang w:val="es-CR" w:eastAsia="es-CR"/>
              </w:rPr>
              <w:t xml:space="preserve"> </w:t>
            </w:r>
            <w:r w:rsidRPr="00C61248">
              <w:rPr>
                <w:rFonts w:eastAsia="Times New Roman"/>
                <w:sz w:val="20"/>
                <w:szCs w:val="20"/>
                <w:lang w:val="es-CR" w:eastAsia="es-CR"/>
              </w:rPr>
              <w:t xml:space="preserve">la oportunidad de la detección, notificación y respuesta ante eventos prioritario. Participar en el seguimiento y aportar insumos para institucionalización de la herramienta 7-1-7. </w:t>
            </w:r>
          </w:p>
        </w:tc>
        <w:tc>
          <w:tcPr>
            <w:tcW w:w="1828" w:type="dxa"/>
          </w:tcPr>
          <w:p w14:paraId="0DB7B4F6" w14:textId="3D80F87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n-US" w:eastAsia="es-CR"/>
              </w:rPr>
              <w:lastRenderedPageBreak/>
              <w:t>Johns Hopkins Program for International Education</w:t>
            </w:r>
            <w:r w:rsidRPr="00C61248">
              <w:rPr>
                <w:rFonts w:eastAsia="Times New Roman"/>
                <w:sz w:val="20"/>
                <w:szCs w:val="20"/>
                <w:lang w:val="en-US" w:eastAsia="es-CR"/>
              </w:rPr>
              <w:br/>
              <w:t>in Gynecology and Obstetrics (Jhpiego)</w:t>
            </w:r>
          </w:p>
        </w:tc>
        <w:tc>
          <w:tcPr>
            <w:tcW w:w="1490" w:type="dxa"/>
          </w:tcPr>
          <w:p w14:paraId="5BA5EA94" w14:textId="17C91C4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072505DD"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068BE9F6" w14:textId="77777777" w:rsidTr="004D6FCF">
        <w:trPr>
          <w:trHeight w:val="50"/>
          <w:jc w:val="center"/>
        </w:trPr>
        <w:tc>
          <w:tcPr>
            <w:tcW w:w="1252" w:type="dxa"/>
          </w:tcPr>
          <w:p w14:paraId="71E4D80A" w14:textId="194E1C2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Keylor Castro Chacón </w:t>
            </w:r>
          </w:p>
        </w:tc>
        <w:tc>
          <w:tcPr>
            <w:tcW w:w="1530" w:type="dxa"/>
          </w:tcPr>
          <w:p w14:paraId="7340D97D" w14:textId="649B71B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General de Salud</w:t>
            </w:r>
          </w:p>
        </w:tc>
        <w:tc>
          <w:tcPr>
            <w:tcW w:w="960" w:type="dxa"/>
          </w:tcPr>
          <w:p w14:paraId="19E472F2" w14:textId="3A65657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14-jul-26</w:t>
            </w:r>
          </w:p>
        </w:tc>
        <w:tc>
          <w:tcPr>
            <w:tcW w:w="1230" w:type="dxa"/>
          </w:tcPr>
          <w:p w14:paraId="6C1A5BFE" w14:textId="5EF39CF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4A481450" w14:textId="42D8A14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Guatemala </w:t>
            </w:r>
          </w:p>
        </w:tc>
        <w:tc>
          <w:tcPr>
            <w:tcW w:w="1812" w:type="dxa"/>
          </w:tcPr>
          <w:p w14:paraId="4A401069" w14:textId="0BB088A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Taller Regional de Vigilancia y Respuesta a brotes, con énfasis al Sarampión con Enfoque 7-1-7</w:t>
            </w:r>
          </w:p>
        </w:tc>
        <w:tc>
          <w:tcPr>
            <w:tcW w:w="1915" w:type="dxa"/>
            <w:vAlign w:val="center"/>
          </w:tcPr>
          <w:p w14:paraId="16C273B3" w14:textId="2A1B9556" w:rsidR="00C61248" w:rsidRPr="00CE624F" w:rsidRDefault="00C61248" w:rsidP="00C61248">
            <w:pPr>
              <w:spacing w:line="240" w:lineRule="auto"/>
              <w:rPr>
                <w:rFonts w:eastAsia="Times New Roman"/>
                <w:sz w:val="20"/>
                <w:szCs w:val="20"/>
                <w:lang w:val="es-CR" w:eastAsia="es-CR"/>
              </w:rPr>
            </w:pPr>
            <w:r w:rsidRPr="00C61248">
              <w:rPr>
                <w:rFonts w:eastAsia="Times New Roman"/>
                <w:i/>
                <w:iCs/>
                <w:sz w:val="20"/>
                <w:szCs w:val="20"/>
                <w:lang w:eastAsia="es-CR"/>
              </w:rPr>
              <w:t>Informe pendiente.</w:t>
            </w:r>
          </w:p>
        </w:tc>
        <w:tc>
          <w:tcPr>
            <w:tcW w:w="1828" w:type="dxa"/>
          </w:tcPr>
          <w:p w14:paraId="3CDD4E8D" w14:textId="5BA52E5F" w:rsidR="00C61248" w:rsidRPr="00C61248" w:rsidRDefault="00C61248" w:rsidP="00C61248">
            <w:pPr>
              <w:spacing w:line="240" w:lineRule="auto"/>
              <w:rPr>
                <w:rFonts w:eastAsia="Times New Roman"/>
                <w:sz w:val="20"/>
                <w:szCs w:val="20"/>
                <w:lang w:val="en-US" w:eastAsia="es-CR"/>
              </w:rPr>
            </w:pPr>
            <w:r w:rsidRPr="00C61248">
              <w:rPr>
                <w:rFonts w:eastAsia="Times New Roman"/>
                <w:sz w:val="20"/>
                <w:szCs w:val="20"/>
                <w:lang w:val="en-US" w:eastAsia="es-CR"/>
              </w:rPr>
              <w:t>Johns Hopkins Program for International Education</w:t>
            </w:r>
            <w:r>
              <w:rPr>
                <w:rFonts w:eastAsia="Times New Roman"/>
                <w:sz w:val="20"/>
                <w:szCs w:val="20"/>
                <w:lang w:val="en-US" w:eastAsia="es-CR"/>
              </w:rPr>
              <w:t xml:space="preserve"> </w:t>
            </w:r>
            <w:r w:rsidRPr="00C61248">
              <w:rPr>
                <w:rFonts w:eastAsia="Times New Roman"/>
                <w:sz w:val="20"/>
                <w:szCs w:val="20"/>
                <w:lang w:val="en-US" w:eastAsia="es-CR"/>
              </w:rPr>
              <w:t>in Gynecology and Obstetrics (Jhpiego)</w:t>
            </w:r>
          </w:p>
        </w:tc>
        <w:tc>
          <w:tcPr>
            <w:tcW w:w="1490" w:type="dxa"/>
          </w:tcPr>
          <w:p w14:paraId="111B5DBA" w14:textId="21D7610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61E76EA0"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55A89BBA" w14:textId="77777777" w:rsidTr="00594C70">
        <w:trPr>
          <w:trHeight w:val="50"/>
          <w:jc w:val="center"/>
        </w:trPr>
        <w:tc>
          <w:tcPr>
            <w:tcW w:w="1252" w:type="dxa"/>
          </w:tcPr>
          <w:p w14:paraId="409B432E" w14:textId="5EB1573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Pamela Domínguez Saavedra</w:t>
            </w:r>
          </w:p>
        </w:tc>
        <w:tc>
          <w:tcPr>
            <w:tcW w:w="1530" w:type="dxa"/>
          </w:tcPr>
          <w:p w14:paraId="1F6D1A1F" w14:textId="546B38A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Dirección de Vigilancia de la Salud </w:t>
            </w:r>
          </w:p>
        </w:tc>
        <w:tc>
          <w:tcPr>
            <w:tcW w:w="960" w:type="dxa"/>
          </w:tcPr>
          <w:p w14:paraId="378FEC02" w14:textId="306A86C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14-jul-26</w:t>
            </w:r>
          </w:p>
        </w:tc>
        <w:tc>
          <w:tcPr>
            <w:tcW w:w="1230" w:type="dxa"/>
          </w:tcPr>
          <w:p w14:paraId="275DCCEA" w14:textId="01C0C3F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04" w:type="dxa"/>
          </w:tcPr>
          <w:p w14:paraId="548AEBB9" w14:textId="5B2B1F3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Guatemala </w:t>
            </w:r>
          </w:p>
        </w:tc>
        <w:tc>
          <w:tcPr>
            <w:tcW w:w="1812" w:type="dxa"/>
          </w:tcPr>
          <w:p w14:paraId="7081F351" w14:textId="20587EA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Taller Regional de Vigilancia y Respuesta a brotes, con énfasis al Sarampión con Enfoque 7-1-7</w:t>
            </w:r>
          </w:p>
        </w:tc>
        <w:tc>
          <w:tcPr>
            <w:tcW w:w="1915" w:type="dxa"/>
          </w:tcPr>
          <w:p w14:paraId="446065D5" w14:textId="7E00CEE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asumen compromisos.</w:t>
            </w:r>
          </w:p>
        </w:tc>
        <w:tc>
          <w:tcPr>
            <w:tcW w:w="1828" w:type="dxa"/>
          </w:tcPr>
          <w:p w14:paraId="412F7C83" w14:textId="000F1B4A" w:rsidR="00C61248" w:rsidRPr="00C61248" w:rsidRDefault="00C61248" w:rsidP="00C61248">
            <w:pPr>
              <w:spacing w:line="240" w:lineRule="auto"/>
              <w:rPr>
                <w:rFonts w:eastAsia="Times New Roman"/>
                <w:sz w:val="20"/>
                <w:szCs w:val="20"/>
                <w:lang w:val="en-US" w:eastAsia="es-CR"/>
              </w:rPr>
            </w:pPr>
            <w:r w:rsidRPr="00C61248">
              <w:rPr>
                <w:rFonts w:eastAsia="Times New Roman"/>
                <w:sz w:val="20"/>
                <w:szCs w:val="20"/>
                <w:lang w:val="en-US" w:eastAsia="es-CR"/>
              </w:rPr>
              <w:t>Johns Hopkins Program for International Education</w:t>
            </w:r>
            <w:r w:rsidRPr="00C61248">
              <w:rPr>
                <w:rFonts w:eastAsia="Times New Roman"/>
                <w:sz w:val="20"/>
                <w:szCs w:val="20"/>
                <w:lang w:val="en-US" w:eastAsia="es-CR"/>
              </w:rPr>
              <w:br/>
              <w:t>in Gynecology and Obstetrics (Jhpiego)</w:t>
            </w:r>
          </w:p>
        </w:tc>
        <w:tc>
          <w:tcPr>
            <w:tcW w:w="1490" w:type="dxa"/>
          </w:tcPr>
          <w:p w14:paraId="55C88927" w14:textId="5E969A8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094275A9"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4EDA6087" w14:textId="77777777" w:rsidTr="00A32B93">
        <w:trPr>
          <w:trHeight w:val="50"/>
          <w:jc w:val="center"/>
        </w:trPr>
        <w:tc>
          <w:tcPr>
            <w:tcW w:w="1252" w:type="dxa"/>
          </w:tcPr>
          <w:p w14:paraId="406B056A" w14:textId="52B42E0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Juan Carlos Esquivel Sánchez</w:t>
            </w:r>
          </w:p>
        </w:tc>
        <w:tc>
          <w:tcPr>
            <w:tcW w:w="1530" w:type="dxa"/>
          </w:tcPr>
          <w:p w14:paraId="64BB7AFD" w14:textId="65568DF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076A20B1" w14:textId="4492461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16-jul-26</w:t>
            </w:r>
          </w:p>
        </w:tc>
        <w:tc>
          <w:tcPr>
            <w:tcW w:w="1230" w:type="dxa"/>
          </w:tcPr>
          <w:p w14:paraId="0D74E58B" w14:textId="3A9844D0"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18-jul-26</w:t>
            </w:r>
          </w:p>
        </w:tc>
        <w:tc>
          <w:tcPr>
            <w:tcW w:w="1204" w:type="dxa"/>
          </w:tcPr>
          <w:p w14:paraId="5896C4A9" w14:textId="7E94B29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Honduras</w:t>
            </w:r>
          </w:p>
        </w:tc>
        <w:tc>
          <w:tcPr>
            <w:tcW w:w="1812" w:type="dxa"/>
          </w:tcPr>
          <w:p w14:paraId="2B0365F5" w14:textId="2993E1D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V Foro de Alto Nivel</w:t>
            </w:r>
            <w:r w:rsidRPr="00C61248">
              <w:rPr>
                <w:rFonts w:eastAsia="Times New Roman"/>
                <w:sz w:val="20"/>
                <w:szCs w:val="20"/>
                <w:lang w:val="es-CR" w:eastAsia="es-CR"/>
              </w:rPr>
              <w:br/>
              <w:t>XIII Congreso Iberoamericano de la Alianza Iberoamericana de Enfermedades Raras (</w:t>
            </w:r>
            <w:proofErr w:type="spellStart"/>
            <w:r w:rsidRPr="00C61248">
              <w:rPr>
                <w:rFonts w:eastAsia="Times New Roman"/>
                <w:sz w:val="20"/>
                <w:szCs w:val="20"/>
                <w:lang w:val="es-CR" w:eastAsia="es-CR"/>
              </w:rPr>
              <w:t>ALIBER</w:t>
            </w:r>
            <w:proofErr w:type="spellEnd"/>
            <w:r w:rsidRPr="00C61248">
              <w:rPr>
                <w:rFonts w:eastAsia="Times New Roman"/>
                <w:sz w:val="20"/>
                <w:szCs w:val="20"/>
                <w:lang w:val="es-CR" w:eastAsia="es-CR"/>
              </w:rPr>
              <w:t>)</w:t>
            </w:r>
          </w:p>
        </w:tc>
        <w:tc>
          <w:tcPr>
            <w:tcW w:w="1915" w:type="dxa"/>
            <w:vAlign w:val="center"/>
          </w:tcPr>
          <w:p w14:paraId="3C6B2452" w14:textId="64AB2B81" w:rsidR="00C61248" w:rsidRPr="00CE624F" w:rsidRDefault="00C61248" w:rsidP="00C61248">
            <w:pPr>
              <w:spacing w:line="240" w:lineRule="auto"/>
              <w:rPr>
                <w:rFonts w:eastAsia="Times New Roman"/>
                <w:sz w:val="20"/>
                <w:szCs w:val="20"/>
                <w:lang w:val="es-CR" w:eastAsia="es-CR"/>
              </w:rPr>
            </w:pPr>
            <w:r w:rsidRPr="00C61248">
              <w:rPr>
                <w:rFonts w:eastAsia="Times New Roman"/>
                <w:i/>
                <w:iCs/>
                <w:sz w:val="20"/>
                <w:szCs w:val="20"/>
                <w:lang w:eastAsia="es-CR"/>
              </w:rPr>
              <w:t>Informe pendiente.</w:t>
            </w:r>
          </w:p>
        </w:tc>
        <w:tc>
          <w:tcPr>
            <w:tcW w:w="1828" w:type="dxa"/>
          </w:tcPr>
          <w:p w14:paraId="755D4018" w14:textId="77B4B00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Alianza Iberoamericana de Enfermedades Raras (</w:t>
            </w:r>
            <w:proofErr w:type="spellStart"/>
            <w:r w:rsidRPr="00C61248">
              <w:rPr>
                <w:rFonts w:eastAsia="Times New Roman"/>
                <w:sz w:val="20"/>
                <w:szCs w:val="20"/>
                <w:lang w:val="es-CR" w:eastAsia="es-CR"/>
              </w:rPr>
              <w:t>ALIBER</w:t>
            </w:r>
            <w:proofErr w:type="spellEnd"/>
            <w:r w:rsidRPr="00C61248">
              <w:rPr>
                <w:rFonts w:eastAsia="Times New Roman"/>
                <w:sz w:val="20"/>
                <w:szCs w:val="20"/>
                <w:lang w:val="es-CR" w:eastAsia="es-CR"/>
              </w:rPr>
              <w:t>)</w:t>
            </w:r>
          </w:p>
        </w:tc>
        <w:tc>
          <w:tcPr>
            <w:tcW w:w="1490" w:type="dxa"/>
          </w:tcPr>
          <w:p w14:paraId="1570BE8D" w14:textId="69D1F81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214AD502"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01F78F10" w14:textId="77777777" w:rsidTr="00594C70">
        <w:trPr>
          <w:trHeight w:val="50"/>
          <w:jc w:val="center"/>
        </w:trPr>
        <w:tc>
          <w:tcPr>
            <w:tcW w:w="1252" w:type="dxa"/>
          </w:tcPr>
          <w:p w14:paraId="2AB5FABA" w14:textId="655A6A4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Erika Ramírez Brenes</w:t>
            </w:r>
          </w:p>
        </w:tc>
        <w:tc>
          <w:tcPr>
            <w:tcW w:w="1530" w:type="dxa"/>
          </w:tcPr>
          <w:p w14:paraId="226089B0" w14:textId="58ABF37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de Regulación de Productos de Interés y Riesgo Sanitario</w:t>
            </w:r>
          </w:p>
        </w:tc>
        <w:tc>
          <w:tcPr>
            <w:tcW w:w="960" w:type="dxa"/>
          </w:tcPr>
          <w:p w14:paraId="6C8EEFCA" w14:textId="57A9107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19-jul-26</w:t>
            </w:r>
          </w:p>
        </w:tc>
        <w:tc>
          <w:tcPr>
            <w:tcW w:w="1230" w:type="dxa"/>
          </w:tcPr>
          <w:p w14:paraId="429203D5" w14:textId="0BE9DAC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25-jul-26</w:t>
            </w:r>
          </w:p>
        </w:tc>
        <w:tc>
          <w:tcPr>
            <w:tcW w:w="1204" w:type="dxa"/>
          </w:tcPr>
          <w:p w14:paraId="76A9C822" w14:textId="257B08E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EE.UU.</w:t>
            </w:r>
          </w:p>
        </w:tc>
        <w:tc>
          <w:tcPr>
            <w:tcW w:w="1812" w:type="dxa"/>
          </w:tcPr>
          <w:p w14:paraId="6A6FC4AC" w14:textId="7C11E62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International </w:t>
            </w:r>
            <w:proofErr w:type="spellStart"/>
            <w:r w:rsidRPr="00C61248">
              <w:rPr>
                <w:rFonts w:eastAsia="Times New Roman"/>
                <w:sz w:val="20"/>
                <w:szCs w:val="20"/>
                <w:lang w:val="es-CR" w:eastAsia="es-CR"/>
              </w:rPr>
              <w:t>Food</w:t>
            </w:r>
            <w:proofErr w:type="spellEnd"/>
            <w:r w:rsidRPr="00C61248">
              <w:rPr>
                <w:rFonts w:eastAsia="Times New Roman"/>
                <w:sz w:val="20"/>
                <w:szCs w:val="20"/>
                <w:lang w:val="es-CR" w:eastAsia="es-CR"/>
              </w:rPr>
              <w:t xml:space="preserve"> Safety </w:t>
            </w:r>
            <w:proofErr w:type="spellStart"/>
            <w:r w:rsidRPr="00C61248">
              <w:rPr>
                <w:rFonts w:eastAsia="Times New Roman"/>
                <w:sz w:val="20"/>
                <w:szCs w:val="20"/>
                <w:lang w:val="es-CR" w:eastAsia="es-CR"/>
              </w:rPr>
              <w:t>Program</w:t>
            </w:r>
            <w:proofErr w:type="spellEnd"/>
          </w:p>
        </w:tc>
        <w:tc>
          <w:tcPr>
            <w:tcW w:w="1915" w:type="dxa"/>
          </w:tcPr>
          <w:p w14:paraId="5CD8F24B" w14:textId="55B83F2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asumen compromisos.</w:t>
            </w:r>
          </w:p>
        </w:tc>
        <w:tc>
          <w:tcPr>
            <w:tcW w:w="1828" w:type="dxa"/>
          </w:tcPr>
          <w:p w14:paraId="09D41219" w14:textId="185B060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Universidad de Michigan</w:t>
            </w:r>
          </w:p>
        </w:tc>
        <w:tc>
          <w:tcPr>
            <w:tcW w:w="1490" w:type="dxa"/>
          </w:tcPr>
          <w:p w14:paraId="27C6FD4F" w14:textId="7703B62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17F08A55"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7592A579" w14:textId="77777777" w:rsidTr="008C6041">
        <w:trPr>
          <w:trHeight w:val="50"/>
          <w:jc w:val="center"/>
        </w:trPr>
        <w:tc>
          <w:tcPr>
            <w:tcW w:w="1252" w:type="dxa"/>
          </w:tcPr>
          <w:p w14:paraId="1138046D" w14:textId="646FCE0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Julieta Cambronero Mora</w:t>
            </w:r>
          </w:p>
        </w:tc>
        <w:tc>
          <w:tcPr>
            <w:tcW w:w="1530" w:type="dxa"/>
          </w:tcPr>
          <w:p w14:paraId="2D0E7223" w14:textId="3040F1D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de Regulación de Productos de Interés y Riesgo Sanitario</w:t>
            </w:r>
          </w:p>
        </w:tc>
        <w:tc>
          <w:tcPr>
            <w:tcW w:w="960" w:type="dxa"/>
          </w:tcPr>
          <w:p w14:paraId="1E3D7D76" w14:textId="468A772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22-jul-26</w:t>
            </w:r>
          </w:p>
        </w:tc>
        <w:tc>
          <w:tcPr>
            <w:tcW w:w="1230" w:type="dxa"/>
          </w:tcPr>
          <w:p w14:paraId="3802DC0E" w14:textId="490A204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23-jul-26</w:t>
            </w:r>
          </w:p>
        </w:tc>
        <w:tc>
          <w:tcPr>
            <w:tcW w:w="1204" w:type="dxa"/>
          </w:tcPr>
          <w:p w14:paraId="60C0C3CD" w14:textId="24845EF1"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Honduras</w:t>
            </w:r>
          </w:p>
        </w:tc>
        <w:tc>
          <w:tcPr>
            <w:tcW w:w="1812" w:type="dxa"/>
          </w:tcPr>
          <w:p w14:paraId="5E246A95" w14:textId="053B0AA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IX Aniversario de la Agencia de Regulación Sanitaria (ARSA)</w:t>
            </w:r>
          </w:p>
        </w:tc>
        <w:tc>
          <w:tcPr>
            <w:tcW w:w="1915" w:type="dxa"/>
            <w:vAlign w:val="center"/>
          </w:tcPr>
          <w:p w14:paraId="3619D189" w14:textId="241E98D2" w:rsidR="00C61248" w:rsidRPr="00D45095" w:rsidRDefault="00C61248" w:rsidP="00C61248">
            <w:pPr>
              <w:spacing w:line="240" w:lineRule="auto"/>
              <w:jc w:val="center"/>
              <w:rPr>
                <w:rFonts w:eastAsia="Times New Roman"/>
                <w:i/>
                <w:iCs/>
                <w:sz w:val="20"/>
                <w:szCs w:val="20"/>
                <w:lang w:val="es-CR" w:eastAsia="es-CR"/>
              </w:rPr>
            </w:pPr>
            <w:r w:rsidRPr="00C61248">
              <w:rPr>
                <w:rFonts w:eastAsia="Times New Roman"/>
                <w:i/>
                <w:iCs/>
                <w:sz w:val="20"/>
                <w:szCs w:val="20"/>
                <w:lang w:eastAsia="es-CR"/>
              </w:rPr>
              <w:t>Informe pendiente.</w:t>
            </w:r>
          </w:p>
        </w:tc>
        <w:tc>
          <w:tcPr>
            <w:tcW w:w="1828" w:type="dxa"/>
          </w:tcPr>
          <w:p w14:paraId="178854D5" w14:textId="46CA0BB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Agencia de Regulación Sanitaria (ARSA)</w:t>
            </w:r>
          </w:p>
        </w:tc>
        <w:tc>
          <w:tcPr>
            <w:tcW w:w="1490" w:type="dxa"/>
          </w:tcPr>
          <w:p w14:paraId="642B1D9C" w14:textId="50309BDC"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651BC648"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6B6D19A5" w14:textId="77777777" w:rsidTr="001D0CAC">
        <w:trPr>
          <w:trHeight w:val="50"/>
          <w:jc w:val="center"/>
        </w:trPr>
        <w:tc>
          <w:tcPr>
            <w:tcW w:w="1252" w:type="dxa"/>
          </w:tcPr>
          <w:p w14:paraId="15E313B0" w14:textId="73D8371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Allan Mora Vargas</w:t>
            </w:r>
          </w:p>
        </w:tc>
        <w:tc>
          <w:tcPr>
            <w:tcW w:w="1530" w:type="dxa"/>
          </w:tcPr>
          <w:p w14:paraId="4376FCD0" w14:textId="48C643F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46CD820B" w14:textId="792A806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27-jul-26</w:t>
            </w:r>
          </w:p>
        </w:tc>
        <w:tc>
          <w:tcPr>
            <w:tcW w:w="1230" w:type="dxa"/>
          </w:tcPr>
          <w:p w14:paraId="5502A89A" w14:textId="6E8C93D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30-jul-26</w:t>
            </w:r>
          </w:p>
        </w:tc>
        <w:tc>
          <w:tcPr>
            <w:tcW w:w="1204" w:type="dxa"/>
          </w:tcPr>
          <w:p w14:paraId="620AF628" w14:textId="2210370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Panamá</w:t>
            </w:r>
          </w:p>
        </w:tc>
        <w:tc>
          <w:tcPr>
            <w:tcW w:w="1812" w:type="dxa"/>
          </w:tcPr>
          <w:p w14:paraId="5992510B" w14:textId="631B1F7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Reunión Regional y </w:t>
            </w:r>
            <w:proofErr w:type="spellStart"/>
            <w:r w:rsidRPr="00C61248">
              <w:rPr>
                <w:rFonts w:eastAsia="Times New Roman"/>
                <w:sz w:val="20"/>
                <w:szCs w:val="20"/>
                <w:lang w:val="es-CR" w:eastAsia="es-CR"/>
              </w:rPr>
              <w:t>5ta</w:t>
            </w:r>
            <w:proofErr w:type="spellEnd"/>
            <w:r w:rsidRPr="00C61248">
              <w:rPr>
                <w:rFonts w:eastAsia="Times New Roman"/>
                <w:sz w:val="20"/>
                <w:szCs w:val="20"/>
                <w:lang w:val="es-CR" w:eastAsia="es-CR"/>
              </w:rPr>
              <w:t xml:space="preserve"> </w:t>
            </w:r>
            <w:proofErr w:type="spellStart"/>
            <w:r w:rsidRPr="00C61248">
              <w:rPr>
                <w:rFonts w:eastAsia="Times New Roman"/>
                <w:sz w:val="20"/>
                <w:szCs w:val="20"/>
                <w:lang w:val="es-CR" w:eastAsia="es-CR"/>
              </w:rPr>
              <w:t>Conectatón</w:t>
            </w:r>
            <w:proofErr w:type="spellEnd"/>
            <w:r w:rsidRPr="00C61248">
              <w:rPr>
                <w:rFonts w:eastAsia="Times New Roman"/>
                <w:sz w:val="20"/>
                <w:szCs w:val="20"/>
                <w:lang w:val="es-CR" w:eastAsia="es-CR"/>
              </w:rPr>
              <w:t xml:space="preserve"> de la Ruta Panamericana de Salud</w:t>
            </w:r>
            <w:r w:rsidRPr="00C61248">
              <w:rPr>
                <w:rFonts w:eastAsia="Times New Roman"/>
                <w:sz w:val="20"/>
                <w:szCs w:val="20"/>
                <w:lang w:val="es-CR" w:eastAsia="es-CR"/>
              </w:rPr>
              <w:br/>
              <w:t>Digital</w:t>
            </w:r>
          </w:p>
        </w:tc>
        <w:tc>
          <w:tcPr>
            <w:tcW w:w="1915" w:type="dxa"/>
          </w:tcPr>
          <w:p w14:paraId="5D3BFE24" w14:textId="22930CF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Colaboración con el BID para ayudas técnicas. Colaboración con COMISCA para cooperación técnica. </w:t>
            </w:r>
          </w:p>
        </w:tc>
        <w:tc>
          <w:tcPr>
            <w:tcW w:w="1828" w:type="dxa"/>
          </w:tcPr>
          <w:p w14:paraId="6191A18A" w14:textId="7E655FC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Banco Interamericano de Desarrollo (BID)</w:t>
            </w:r>
          </w:p>
        </w:tc>
        <w:tc>
          <w:tcPr>
            <w:tcW w:w="1490" w:type="dxa"/>
          </w:tcPr>
          <w:p w14:paraId="2AEF0BA4" w14:textId="121865C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2F9E6A9F"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55C41E55" w14:textId="77777777" w:rsidTr="001D0CAC">
        <w:trPr>
          <w:trHeight w:val="50"/>
          <w:jc w:val="center"/>
        </w:trPr>
        <w:tc>
          <w:tcPr>
            <w:tcW w:w="1252" w:type="dxa"/>
          </w:tcPr>
          <w:p w14:paraId="24F8F869" w14:textId="4D047EB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Alejandra Venegas Solano</w:t>
            </w:r>
          </w:p>
        </w:tc>
        <w:tc>
          <w:tcPr>
            <w:tcW w:w="1530" w:type="dxa"/>
          </w:tcPr>
          <w:p w14:paraId="7E5E8DE9" w14:textId="407F32D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0C772593" w14:textId="6ACF1B1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27-jul-26</w:t>
            </w:r>
          </w:p>
        </w:tc>
        <w:tc>
          <w:tcPr>
            <w:tcW w:w="1230" w:type="dxa"/>
          </w:tcPr>
          <w:p w14:paraId="51E92AAE" w14:textId="264EC375"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30-jul-26</w:t>
            </w:r>
          </w:p>
        </w:tc>
        <w:tc>
          <w:tcPr>
            <w:tcW w:w="1204" w:type="dxa"/>
          </w:tcPr>
          <w:p w14:paraId="79172A7A" w14:textId="36AD164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Panamá</w:t>
            </w:r>
          </w:p>
        </w:tc>
        <w:tc>
          <w:tcPr>
            <w:tcW w:w="1812" w:type="dxa"/>
          </w:tcPr>
          <w:p w14:paraId="08C57F49" w14:textId="293C732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Reunión Regional y </w:t>
            </w:r>
            <w:proofErr w:type="spellStart"/>
            <w:r w:rsidRPr="00C61248">
              <w:rPr>
                <w:rFonts w:eastAsia="Times New Roman"/>
                <w:sz w:val="20"/>
                <w:szCs w:val="20"/>
                <w:lang w:val="es-CR" w:eastAsia="es-CR"/>
              </w:rPr>
              <w:t>5ta</w:t>
            </w:r>
            <w:proofErr w:type="spellEnd"/>
            <w:r w:rsidRPr="00C61248">
              <w:rPr>
                <w:rFonts w:eastAsia="Times New Roman"/>
                <w:sz w:val="20"/>
                <w:szCs w:val="20"/>
                <w:lang w:val="es-CR" w:eastAsia="es-CR"/>
              </w:rPr>
              <w:t xml:space="preserve"> </w:t>
            </w:r>
            <w:proofErr w:type="spellStart"/>
            <w:r w:rsidRPr="00C61248">
              <w:rPr>
                <w:rFonts w:eastAsia="Times New Roman"/>
                <w:sz w:val="20"/>
                <w:szCs w:val="20"/>
                <w:lang w:val="es-CR" w:eastAsia="es-CR"/>
              </w:rPr>
              <w:t>Conectatón</w:t>
            </w:r>
            <w:proofErr w:type="spellEnd"/>
            <w:r w:rsidRPr="00C61248">
              <w:rPr>
                <w:rFonts w:eastAsia="Times New Roman"/>
                <w:sz w:val="20"/>
                <w:szCs w:val="20"/>
                <w:lang w:val="es-CR" w:eastAsia="es-CR"/>
              </w:rPr>
              <w:t xml:space="preserve"> de la Ruta Panamericana de </w:t>
            </w:r>
            <w:r w:rsidRPr="00C61248">
              <w:rPr>
                <w:rFonts w:eastAsia="Times New Roman"/>
                <w:sz w:val="20"/>
                <w:szCs w:val="20"/>
                <w:lang w:val="es-CR" w:eastAsia="es-CR"/>
              </w:rPr>
              <w:lastRenderedPageBreak/>
              <w:t>Salud</w:t>
            </w:r>
            <w:r w:rsidRPr="00C61248">
              <w:rPr>
                <w:rFonts w:eastAsia="Times New Roman"/>
                <w:sz w:val="20"/>
                <w:szCs w:val="20"/>
                <w:lang w:val="es-CR" w:eastAsia="es-CR"/>
              </w:rPr>
              <w:br/>
              <w:t>Digital</w:t>
            </w:r>
          </w:p>
        </w:tc>
        <w:tc>
          <w:tcPr>
            <w:tcW w:w="1915" w:type="dxa"/>
          </w:tcPr>
          <w:p w14:paraId="1BB0DBD4" w14:textId="0F1AF62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lastRenderedPageBreak/>
              <w:t>No se asumen compromisos.</w:t>
            </w:r>
          </w:p>
        </w:tc>
        <w:tc>
          <w:tcPr>
            <w:tcW w:w="1828" w:type="dxa"/>
          </w:tcPr>
          <w:p w14:paraId="6AEE125B" w14:textId="18617B6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Banco Interamericano de Desarrollo (BID)</w:t>
            </w:r>
          </w:p>
        </w:tc>
        <w:tc>
          <w:tcPr>
            <w:tcW w:w="1490" w:type="dxa"/>
          </w:tcPr>
          <w:p w14:paraId="4A430BB1" w14:textId="6EC8CED9"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09246F07"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5B27E839" w14:textId="77777777" w:rsidTr="00D03405">
        <w:trPr>
          <w:trHeight w:val="50"/>
          <w:jc w:val="center"/>
        </w:trPr>
        <w:tc>
          <w:tcPr>
            <w:tcW w:w="1252" w:type="dxa"/>
          </w:tcPr>
          <w:p w14:paraId="326E56EE" w14:textId="19F88F52"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Deivert Guiltrichs Cordero</w:t>
            </w:r>
          </w:p>
        </w:tc>
        <w:tc>
          <w:tcPr>
            <w:tcW w:w="1530" w:type="dxa"/>
          </w:tcPr>
          <w:p w14:paraId="4E09AB99" w14:textId="6F9EFFFF"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Dirección de Transformación y Salud Digital</w:t>
            </w:r>
          </w:p>
        </w:tc>
        <w:tc>
          <w:tcPr>
            <w:tcW w:w="960" w:type="dxa"/>
          </w:tcPr>
          <w:p w14:paraId="6408DCD4" w14:textId="41CFD737"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27-jul-26</w:t>
            </w:r>
          </w:p>
        </w:tc>
        <w:tc>
          <w:tcPr>
            <w:tcW w:w="1230" w:type="dxa"/>
          </w:tcPr>
          <w:p w14:paraId="430C9F76" w14:textId="5D80434D"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30-jul-26</w:t>
            </w:r>
          </w:p>
        </w:tc>
        <w:tc>
          <w:tcPr>
            <w:tcW w:w="1204" w:type="dxa"/>
          </w:tcPr>
          <w:p w14:paraId="564E41AA" w14:textId="1CA2D78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Panamá</w:t>
            </w:r>
          </w:p>
        </w:tc>
        <w:tc>
          <w:tcPr>
            <w:tcW w:w="1812" w:type="dxa"/>
          </w:tcPr>
          <w:p w14:paraId="133A01C2" w14:textId="2E327DB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Reunión Regional y </w:t>
            </w:r>
            <w:proofErr w:type="spellStart"/>
            <w:r w:rsidRPr="00C61248">
              <w:rPr>
                <w:rFonts w:eastAsia="Times New Roman"/>
                <w:sz w:val="20"/>
                <w:szCs w:val="20"/>
                <w:lang w:val="es-CR" w:eastAsia="es-CR"/>
              </w:rPr>
              <w:t>5ta</w:t>
            </w:r>
            <w:proofErr w:type="spellEnd"/>
            <w:r w:rsidRPr="00C61248">
              <w:rPr>
                <w:rFonts w:eastAsia="Times New Roman"/>
                <w:sz w:val="20"/>
                <w:szCs w:val="20"/>
                <w:lang w:val="es-CR" w:eastAsia="es-CR"/>
              </w:rPr>
              <w:t xml:space="preserve"> </w:t>
            </w:r>
            <w:proofErr w:type="spellStart"/>
            <w:r w:rsidRPr="00C61248">
              <w:rPr>
                <w:rFonts w:eastAsia="Times New Roman"/>
                <w:sz w:val="20"/>
                <w:szCs w:val="20"/>
                <w:lang w:val="es-CR" w:eastAsia="es-CR"/>
              </w:rPr>
              <w:t>Conectatón</w:t>
            </w:r>
            <w:proofErr w:type="spellEnd"/>
            <w:r w:rsidRPr="00C61248">
              <w:rPr>
                <w:rFonts w:eastAsia="Times New Roman"/>
                <w:sz w:val="20"/>
                <w:szCs w:val="20"/>
                <w:lang w:val="es-CR" w:eastAsia="es-CR"/>
              </w:rPr>
              <w:t xml:space="preserve"> de la Ruta Panamericana de Salud</w:t>
            </w:r>
            <w:r w:rsidRPr="00C61248">
              <w:rPr>
                <w:rFonts w:eastAsia="Times New Roman"/>
                <w:sz w:val="20"/>
                <w:szCs w:val="20"/>
                <w:lang w:val="es-CR" w:eastAsia="es-CR"/>
              </w:rPr>
              <w:br/>
              <w:t>Digital</w:t>
            </w:r>
          </w:p>
        </w:tc>
        <w:tc>
          <w:tcPr>
            <w:tcW w:w="1915" w:type="dxa"/>
            <w:vAlign w:val="center"/>
          </w:tcPr>
          <w:p w14:paraId="336231A4" w14:textId="3BBE9BED" w:rsidR="00C61248" w:rsidRPr="00CE624F" w:rsidRDefault="00C61248" w:rsidP="00C61248">
            <w:pPr>
              <w:spacing w:line="240" w:lineRule="auto"/>
              <w:rPr>
                <w:rFonts w:eastAsia="Times New Roman"/>
                <w:sz w:val="20"/>
                <w:szCs w:val="20"/>
                <w:lang w:val="es-CR" w:eastAsia="es-CR"/>
              </w:rPr>
            </w:pPr>
            <w:r w:rsidRPr="00C61248">
              <w:rPr>
                <w:rFonts w:eastAsia="Times New Roman"/>
                <w:i/>
                <w:iCs/>
                <w:sz w:val="20"/>
                <w:szCs w:val="20"/>
                <w:lang w:eastAsia="es-CR"/>
              </w:rPr>
              <w:t>Informe pendiente.</w:t>
            </w:r>
          </w:p>
        </w:tc>
        <w:tc>
          <w:tcPr>
            <w:tcW w:w="1828" w:type="dxa"/>
          </w:tcPr>
          <w:p w14:paraId="591722F7" w14:textId="2FE95F53"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Banco Interamericano de Desarrollo (BID)</w:t>
            </w:r>
          </w:p>
        </w:tc>
        <w:tc>
          <w:tcPr>
            <w:tcW w:w="1490" w:type="dxa"/>
          </w:tcPr>
          <w:p w14:paraId="67A53505" w14:textId="26FAB8D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47EFF21C"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3AF86AB5" w14:textId="77777777" w:rsidTr="00D03405">
        <w:trPr>
          <w:trHeight w:val="50"/>
          <w:jc w:val="center"/>
        </w:trPr>
        <w:tc>
          <w:tcPr>
            <w:tcW w:w="1252" w:type="dxa"/>
          </w:tcPr>
          <w:p w14:paraId="3F61D2B2" w14:textId="7B91C0BB"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Iván Rojas Granados</w:t>
            </w:r>
          </w:p>
        </w:tc>
        <w:tc>
          <w:tcPr>
            <w:tcW w:w="1530" w:type="dxa"/>
          </w:tcPr>
          <w:p w14:paraId="26DCC138" w14:textId="219BC1B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Despacho Ministerial </w:t>
            </w:r>
          </w:p>
        </w:tc>
        <w:tc>
          <w:tcPr>
            <w:tcW w:w="960" w:type="dxa"/>
          </w:tcPr>
          <w:p w14:paraId="7DED50EA" w14:textId="6F636604"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27-jul-26</w:t>
            </w:r>
          </w:p>
        </w:tc>
        <w:tc>
          <w:tcPr>
            <w:tcW w:w="1230" w:type="dxa"/>
          </w:tcPr>
          <w:p w14:paraId="14461D77" w14:textId="534D8DC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30-jul-26</w:t>
            </w:r>
          </w:p>
        </w:tc>
        <w:tc>
          <w:tcPr>
            <w:tcW w:w="1204" w:type="dxa"/>
          </w:tcPr>
          <w:p w14:paraId="60E52CD4" w14:textId="6145F678"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Panamá</w:t>
            </w:r>
          </w:p>
        </w:tc>
        <w:tc>
          <w:tcPr>
            <w:tcW w:w="1812" w:type="dxa"/>
          </w:tcPr>
          <w:p w14:paraId="52F5AF9C" w14:textId="540D433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 xml:space="preserve">Reunión Regional y </w:t>
            </w:r>
            <w:proofErr w:type="spellStart"/>
            <w:r w:rsidRPr="00C61248">
              <w:rPr>
                <w:rFonts w:eastAsia="Times New Roman"/>
                <w:sz w:val="20"/>
                <w:szCs w:val="20"/>
                <w:lang w:val="es-CR" w:eastAsia="es-CR"/>
              </w:rPr>
              <w:t>5ta</w:t>
            </w:r>
            <w:proofErr w:type="spellEnd"/>
            <w:r w:rsidRPr="00C61248">
              <w:rPr>
                <w:rFonts w:eastAsia="Times New Roman"/>
                <w:sz w:val="20"/>
                <w:szCs w:val="20"/>
                <w:lang w:val="es-CR" w:eastAsia="es-CR"/>
              </w:rPr>
              <w:t xml:space="preserve"> </w:t>
            </w:r>
            <w:proofErr w:type="spellStart"/>
            <w:r w:rsidRPr="00C61248">
              <w:rPr>
                <w:rFonts w:eastAsia="Times New Roman"/>
                <w:sz w:val="20"/>
                <w:szCs w:val="20"/>
                <w:lang w:val="es-CR" w:eastAsia="es-CR"/>
              </w:rPr>
              <w:t>Conectatón</w:t>
            </w:r>
            <w:proofErr w:type="spellEnd"/>
            <w:r w:rsidRPr="00C61248">
              <w:rPr>
                <w:rFonts w:eastAsia="Times New Roman"/>
                <w:sz w:val="20"/>
                <w:szCs w:val="20"/>
                <w:lang w:val="es-CR" w:eastAsia="es-CR"/>
              </w:rPr>
              <w:t xml:space="preserve"> de la Ruta Panamericana de Salud</w:t>
            </w:r>
            <w:r w:rsidRPr="00C61248">
              <w:rPr>
                <w:rFonts w:eastAsia="Times New Roman"/>
                <w:sz w:val="20"/>
                <w:szCs w:val="20"/>
                <w:lang w:val="es-CR" w:eastAsia="es-CR"/>
              </w:rPr>
              <w:br/>
              <w:t>Digital</w:t>
            </w:r>
          </w:p>
        </w:tc>
        <w:tc>
          <w:tcPr>
            <w:tcW w:w="1915" w:type="dxa"/>
            <w:vAlign w:val="center"/>
          </w:tcPr>
          <w:p w14:paraId="365ED168" w14:textId="7145323C" w:rsidR="00C61248" w:rsidRPr="00CE624F" w:rsidRDefault="00C61248" w:rsidP="00C61248">
            <w:pPr>
              <w:spacing w:line="240" w:lineRule="auto"/>
              <w:rPr>
                <w:rFonts w:eastAsia="Times New Roman"/>
                <w:sz w:val="20"/>
                <w:szCs w:val="20"/>
                <w:lang w:val="es-CR" w:eastAsia="es-CR"/>
              </w:rPr>
            </w:pPr>
            <w:r w:rsidRPr="00C61248">
              <w:rPr>
                <w:rFonts w:eastAsia="Times New Roman"/>
                <w:i/>
                <w:iCs/>
                <w:sz w:val="20"/>
                <w:szCs w:val="20"/>
                <w:lang w:eastAsia="es-CR"/>
              </w:rPr>
              <w:t>Informe pendiente.</w:t>
            </w:r>
          </w:p>
        </w:tc>
        <w:tc>
          <w:tcPr>
            <w:tcW w:w="1828" w:type="dxa"/>
          </w:tcPr>
          <w:p w14:paraId="6E946589" w14:textId="020528F6"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Banco Interamericano de Desarrollo (BID)</w:t>
            </w:r>
          </w:p>
        </w:tc>
        <w:tc>
          <w:tcPr>
            <w:tcW w:w="1490" w:type="dxa"/>
          </w:tcPr>
          <w:p w14:paraId="4E08220B" w14:textId="1B010F8E" w:rsidR="00C61248" w:rsidRPr="00CE624F" w:rsidRDefault="00C61248" w:rsidP="00C61248">
            <w:pPr>
              <w:spacing w:line="240" w:lineRule="auto"/>
              <w:rPr>
                <w:rFonts w:eastAsia="Times New Roman"/>
                <w:sz w:val="20"/>
                <w:szCs w:val="20"/>
                <w:lang w:val="es-CR" w:eastAsia="es-CR"/>
              </w:rPr>
            </w:pPr>
            <w:r w:rsidRPr="00C61248">
              <w:rPr>
                <w:rFonts w:eastAsia="Times New Roman"/>
                <w:sz w:val="20"/>
                <w:szCs w:val="20"/>
                <w:lang w:val="es-CR" w:eastAsia="es-CR"/>
              </w:rPr>
              <w:t>No se giran viáticos institucionales.</w:t>
            </w:r>
          </w:p>
        </w:tc>
        <w:tc>
          <w:tcPr>
            <w:tcW w:w="1589" w:type="dxa"/>
          </w:tcPr>
          <w:p w14:paraId="290EE1C7" w14:textId="77777777" w:rsidR="00C61248" w:rsidRPr="00CE624F" w:rsidRDefault="00C61248" w:rsidP="00C61248">
            <w:pPr>
              <w:spacing w:line="240" w:lineRule="auto"/>
              <w:rPr>
                <w:rFonts w:eastAsia="Times New Roman"/>
                <w:sz w:val="20"/>
                <w:szCs w:val="20"/>
                <w:lang w:val="es-CR" w:eastAsia="es-CR"/>
              </w:rPr>
            </w:pPr>
          </w:p>
        </w:tc>
      </w:tr>
      <w:tr w:rsidR="00C61248" w:rsidRPr="00CE624F" w14:paraId="74E1075F" w14:textId="77777777" w:rsidTr="00594C70">
        <w:trPr>
          <w:trHeight w:val="50"/>
          <w:jc w:val="center"/>
        </w:trPr>
        <w:tc>
          <w:tcPr>
            <w:tcW w:w="14810" w:type="dxa"/>
            <w:gridSpan w:val="10"/>
            <w:shd w:val="clear" w:color="auto" w:fill="0F4761" w:themeFill="accent1" w:themeFillShade="BF"/>
          </w:tcPr>
          <w:p w14:paraId="19628DA7" w14:textId="77777777" w:rsidR="00C61248" w:rsidRPr="00CE624F" w:rsidRDefault="00C61248" w:rsidP="00C61248">
            <w:pPr>
              <w:spacing w:line="240" w:lineRule="auto"/>
              <w:jc w:val="center"/>
              <w:rPr>
                <w:rFonts w:eastAsia="Times New Roman"/>
                <w:b/>
                <w:bCs/>
                <w:color w:val="FFFFFF" w:themeColor="background1"/>
                <w:sz w:val="20"/>
                <w:szCs w:val="20"/>
                <w:lang w:val="es-ES_tradnl" w:eastAsia="es-CR"/>
              </w:rPr>
            </w:pPr>
            <w:r w:rsidRPr="00CE624F">
              <w:rPr>
                <w:rFonts w:eastAsia="Times New Roman"/>
                <w:b/>
                <w:bCs/>
                <w:color w:val="FFFFFF" w:themeColor="background1"/>
                <w:sz w:val="20"/>
                <w:szCs w:val="20"/>
                <w:lang w:val="es-ES_tradnl" w:eastAsia="es-CR"/>
              </w:rPr>
              <w:t>Última línea</w:t>
            </w:r>
          </w:p>
        </w:tc>
      </w:tr>
    </w:tbl>
    <w:p w14:paraId="77E4C131" w14:textId="77777777" w:rsidR="00D8699C" w:rsidRPr="00D63D83" w:rsidRDefault="00D8699C" w:rsidP="00D8699C">
      <w:pPr>
        <w:spacing w:line="240" w:lineRule="auto"/>
        <w:rPr>
          <w:sz w:val="20"/>
          <w:szCs w:val="20"/>
          <w:lang w:val="es-ES_tradnl"/>
        </w:rPr>
      </w:pPr>
    </w:p>
    <w:p w14:paraId="1DD47468" w14:textId="77777777" w:rsidR="00D8699C" w:rsidRPr="00003613" w:rsidRDefault="00D8699C" w:rsidP="00D8699C">
      <w:pPr>
        <w:spacing w:line="240" w:lineRule="auto"/>
      </w:pPr>
      <w:r w:rsidRPr="00D63D83">
        <w:rPr>
          <w:sz w:val="20"/>
          <w:szCs w:val="20"/>
          <w:lang w:val="es-ES_tradnl"/>
        </w:rPr>
        <w:t xml:space="preserve">Actualizado: </w:t>
      </w:r>
      <w:r>
        <w:rPr>
          <w:sz w:val="20"/>
          <w:szCs w:val="20"/>
          <w:lang w:val="es-ES_tradnl"/>
        </w:rPr>
        <w:t>14 de setiembre, 2026.</w:t>
      </w:r>
    </w:p>
    <w:p w14:paraId="6090E659" w14:textId="77777777" w:rsidR="0065321F" w:rsidRDefault="0065321F"/>
    <w:sectPr w:rsidR="0065321F" w:rsidSect="00D8699C">
      <w:headerReference w:type="default" r:id="rId4"/>
      <w:footerReference w:type="default" r:id="rId5"/>
      <w:pgSz w:w="15840" w:h="12240" w:orient="landscape"/>
      <w:pgMar w:top="1440" w:right="1276" w:bottom="1440" w:left="1701" w:header="703" w:footer="956"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42CF1" w14:textId="77777777" w:rsidR="00D8699C" w:rsidRDefault="00D8699C" w:rsidP="004D61A4">
    <w:pPr>
      <w:spacing w:line="240" w:lineRule="auto"/>
      <w:ind w:right="-40"/>
      <w:jc w:val="center"/>
      <w:rPr>
        <w:b/>
        <w:color w:val="004691"/>
        <w:sz w:val="18"/>
        <w:szCs w:val="18"/>
      </w:rPr>
    </w:pPr>
  </w:p>
  <w:p w14:paraId="3BDCE18F" w14:textId="77777777" w:rsidR="00D8699C" w:rsidRPr="00976BED" w:rsidRDefault="00D8699C" w:rsidP="004D61A4">
    <w:pPr>
      <w:spacing w:line="240" w:lineRule="auto"/>
      <w:jc w:val="center"/>
      <w:rPr>
        <w:rFonts w:eastAsia="Calibri"/>
        <w:b/>
        <w:color w:val="0E2841" w:themeColor="text2"/>
        <w:sz w:val="15"/>
        <w:szCs w:val="15"/>
      </w:rPr>
    </w:pPr>
    <w:r>
      <w:rPr>
        <w:rFonts w:eastAsia="Calibri"/>
        <w:b/>
        <w:color w:val="0E2841" w:themeColor="text2"/>
        <w:sz w:val="15"/>
        <w:szCs w:val="15"/>
      </w:rPr>
      <w:t xml:space="preserve">Unidad de Relaciones Internacionales </w:t>
    </w:r>
  </w:p>
  <w:p w14:paraId="23C5F3C8" w14:textId="77777777" w:rsidR="00D8699C" w:rsidRPr="00976BED" w:rsidRDefault="00D8699C" w:rsidP="004D61A4">
    <w:pPr>
      <w:spacing w:line="240" w:lineRule="auto"/>
      <w:jc w:val="center"/>
      <w:rPr>
        <w:rFonts w:eastAsia="Calibri"/>
        <w:color w:val="0E2841" w:themeColor="text2"/>
        <w:sz w:val="15"/>
        <w:szCs w:val="15"/>
      </w:rPr>
    </w:pPr>
    <w:hyperlink r:id="rId1" w:history="1">
      <w:r w:rsidRPr="00A83DCD">
        <w:rPr>
          <w:rStyle w:val="Hipervnculo"/>
          <w:rFonts w:eastAsia="Calibri"/>
          <w:sz w:val="15"/>
          <w:szCs w:val="15"/>
        </w:rPr>
        <w:t>internacionales@misalud.go.cr</w:t>
      </w:r>
    </w:hyperlink>
  </w:p>
  <w:p w14:paraId="7C260869" w14:textId="77777777" w:rsidR="00D8699C" w:rsidRDefault="00D8699C" w:rsidP="004D61A4">
    <w:pPr>
      <w:spacing w:line="240" w:lineRule="auto"/>
      <w:jc w:val="center"/>
      <w:rPr>
        <w:rFonts w:eastAsia="Calibri"/>
        <w:color w:val="0E2841" w:themeColor="text2"/>
        <w:sz w:val="15"/>
        <w:szCs w:val="15"/>
      </w:rPr>
    </w:pPr>
    <w:r w:rsidRPr="00976BED">
      <w:rPr>
        <w:rFonts w:eastAsia="Calibri"/>
        <w:color w:val="0E2841" w:themeColor="text2"/>
        <w:sz w:val="15"/>
        <w:szCs w:val="15"/>
      </w:rPr>
      <w:t xml:space="preserve">Tel. </w:t>
    </w:r>
    <w:r>
      <w:rPr>
        <w:rFonts w:eastAsia="Calibri"/>
        <w:color w:val="0E2841" w:themeColor="text2"/>
        <w:sz w:val="15"/>
        <w:szCs w:val="15"/>
      </w:rPr>
      <w:t>4003-5182</w:t>
    </w:r>
  </w:p>
  <w:p w14:paraId="5A1D8C4B" w14:textId="77777777" w:rsidR="00D8699C" w:rsidRDefault="00D8699C" w:rsidP="004D61A4">
    <w:pPr>
      <w:spacing w:line="240" w:lineRule="auto"/>
      <w:jc w:val="center"/>
      <w:rPr>
        <w:rFonts w:eastAsia="Calibri"/>
        <w:color w:val="0E2841" w:themeColor="text2"/>
        <w:sz w:val="15"/>
        <w:szCs w:val="15"/>
      </w:rPr>
    </w:pPr>
    <w:r>
      <w:rPr>
        <w:noProof/>
      </w:rPr>
      <w:drawing>
        <wp:anchor distT="0" distB="0" distL="114300" distR="114300" simplePos="0" relativeHeight="251660288" behindDoc="0" locked="0" layoutInCell="1" allowOverlap="1" wp14:anchorId="0E924498" wp14:editId="1C5E3C09">
          <wp:simplePos x="0" y="0"/>
          <wp:positionH relativeFrom="page">
            <wp:align>left</wp:align>
          </wp:positionH>
          <wp:positionV relativeFrom="paragraph">
            <wp:posOffset>229870</wp:posOffset>
          </wp:positionV>
          <wp:extent cx="10052685" cy="545465"/>
          <wp:effectExtent l="0" t="0" r="5715" b="6985"/>
          <wp:wrapSquare wrapText="bothSides"/>
          <wp:docPr id="1034257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10052685" cy="5454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631DD50" wp14:editId="2204412C">
          <wp:simplePos x="0" y="0"/>
          <wp:positionH relativeFrom="page">
            <wp:align>right</wp:align>
          </wp:positionH>
          <wp:positionV relativeFrom="paragraph">
            <wp:posOffset>1120140</wp:posOffset>
          </wp:positionV>
          <wp:extent cx="7766685" cy="545465"/>
          <wp:effectExtent l="0" t="0" r="5715" b="6985"/>
          <wp:wrapNone/>
          <wp:docPr id="936501021" name="Imagen 93650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7766685" cy="545465"/>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3350A" w14:textId="77777777" w:rsidR="00D8699C" w:rsidRPr="00C617CA" w:rsidRDefault="00D8699C" w:rsidP="00A343F7">
    <w:pPr>
      <w:pStyle w:val="Encabezado"/>
      <w:rPr>
        <w:sz w:val="2"/>
        <w:szCs w:val="2"/>
      </w:rPr>
    </w:pPr>
    <w:r>
      <w:rPr>
        <w:noProof/>
      </w:rPr>
      <w:drawing>
        <wp:anchor distT="0" distB="0" distL="114300" distR="114300" simplePos="0" relativeHeight="251659264" behindDoc="0" locked="0" layoutInCell="1" allowOverlap="1" wp14:anchorId="68A576B3" wp14:editId="2EC79176">
          <wp:simplePos x="0" y="0"/>
          <wp:positionH relativeFrom="page">
            <wp:align>left</wp:align>
          </wp:positionH>
          <wp:positionV relativeFrom="paragraph">
            <wp:posOffset>-436880</wp:posOffset>
          </wp:positionV>
          <wp:extent cx="10052685" cy="1269365"/>
          <wp:effectExtent l="0" t="0" r="5715" b="6985"/>
          <wp:wrapSquare wrapText="bothSides"/>
          <wp:docPr id="1259221905" name="Imagen 1259221905"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1113" name="Picture 1" descr="A white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52685" cy="1269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9C"/>
    <w:rsid w:val="001351F6"/>
    <w:rsid w:val="0065321F"/>
    <w:rsid w:val="00662483"/>
    <w:rsid w:val="00A9784E"/>
    <w:rsid w:val="00C61248"/>
    <w:rsid w:val="00D8699C"/>
    <w:rsid w:val="00DB43D6"/>
    <w:rsid w:val="00EA5BF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D98D"/>
  <w15:chartTrackingRefBased/>
  <w15:docId w15:val="{21B29F3E-BB8E-4FAE-963A-571CF8EC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9C"/>
    <w:pPr>
      <w:spacing w:after="0" w:line="276" w:lineRule="auto"/>
    </w:pPr>
    <w:rPr>
      <w:rFonts w:ascii="Arial" w:eastAsia="Arial" w:hAnsi="Arial" w:cs="Arial"/>
      <w:kern w:val="0"/>
      <w:lang w:val="es-419" w:eastAsia="es-ES"/>
      <w14:ligatures w14:val="none"/>
    </w:rPr>
  </w:style>
  <w:style w:type="paragraph" w:styleId="Ttulo1">
    <w:name w:val="heading 1"/>
    <w:basedOn w:val="Normal"/>
    <w:next w:val="Normal"/>
    <w:link w:val="Ttulo1Car"/>
    <w:uiPriority w:val="9"/>
    <w:qFormat/>
    <w:rsid w:val="00D8699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CR" w:eastAsia="en-US"/>
      <w14:ligatures w14:val="standardContextual"/>
    </w:rPr>
  </w:style>
  <w:style w:type="paragraph" w:styleId="Ttulo2">
    <w:name w:val="heading 2"/>
    <w:basedOn w:val="Normal"/>
    <w:next w:val="Normal"/>
    <w:link w:val="Ttulo2Car"/>
    <w:uiPriority w:val="9"/>
    <w:semiHidden/>
    <w:unhideWhenUsed/>
    <w:qFormat/>
    <w:rsid w:val="00D8699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CR" w:eastAsia="en-US"/>
      <w14:ligatures w14:val="standardContextual"/>
    </w:rPr>
  </w:style>
  <w:style w:type="paragraph" w:styleId="Ttulo3">
    <w:name w:val="heading 3"/>
    <w:basedOn w:val="Normal"/>
    <w:next w:val="Normal"/>
    <w:link w:val="Ttulo3Car"/>
    <w:uiPriority w:val="9"/>
    <w:semiHidden/>
    <w:unhideWhenUsed/>
    <w:qFormat/>
    <w:rsid w:val="00D8699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CR" w:eastAsia="en-US"/>
      <w14:ligatures w14:val="standardContextual"/>
    </w:rPr>
  </w:style>
  <w:style w:type="paragraph" w:styleId="Ttulo4">
    <w:name w:val="heading 4"/>
    <w:basedOn w:val="Normal"/>
    <w:next w:val="Normal"/>
    <w:link w:val="Ttulo4Car"/>
    <w:uiPriority w:val="9"/>
    <w:semiHidden/>
    <w:unhideWhenUsed/>
    <w:qFormat/>
    <w:rsid w:val="00D8699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s-CR" w:eastAsia="en-US"/>
      <w14:ligatures w14:val="standardContextual"/>
    </w:rPr>
  </w:style>
  <w:style w:type="paragraph" w:styleId="Ttulo5">
    <w:name w:val="heading 5"/>
    <w:basedOn w:val="Normal"/>
    <w:next w:val="Normal"/>
    <w:link w:val="Ttulo5Car"/>
    <w:uiPriority w:val="9"/>
    <w:semiHidden/>
    <w:unhideWhenUsed/>
    <w:qFormat/>
    <w:rsid w:val="00D8699C"/>
    <w:pPr>
      <w:keepNext/>
      <w:keepLines/>
      <w:spacing w:before="80" w:after="40" w:line="259" w:lineRule="auto"/>
      <w:outlineLvl w:val="4"/>
    </w:pPr>
    <w:rPr>
      <w:rFonts w:asciiTheme="minorHAnsi" w:eastAsiaTheme="majorEastAsia" w:hAnsiTheme="minorHAnsi" w:cstheme="majorBidi"/>
      <w:color w:val="0F4761" w:themeColor="accent1" w:themeShade="BF"/>
      <w:kern w:val="2"/>
      <w:lang w:val="es-CR" w:eastAsia="en-US"/>
      <w14:ligatures w14:val="standardContextual"/>
    </w:rPr>
  </w:style>
  <w:style w:type="paragraph" w:styleId="Ttulo6">
    <w:name w:val="heading 6"/>
    <w:basedOn w:val="Normal"/>
    <w:next w:val="Normal"/>
    <w:link w:val="Ttulo6Car"/>
    <w:uiPriority w:val="9"/>
    <w:semiHidden/>
    <w:unhideWhenUsed/>
    <w:qFormat/>
    <w:rsid w:val="00D8699C"/>
    <w:pPr>
      <w:keepNext/>
      <w:keepLines/>
      <w:spacing w:before="40" w:line="259" w:lineRule="auto"/>
      <w:outlineLvl w:val="5"/>
    </w:pPr>
    <w:rPr>
      <w:rFonts w:asciiTheme="minorHAnsi" w:eastAsiaTheme="majorEastAsia" w:hAnsiTheme="minorHAnsi" w:cstheme="majorBidi"/>
      <w:i/>
      <w:iCs/>
      <w:color w:val="595959" w:themeColor="text1" w:themeTint="A6"/>
      <w:kern w:val="2"/>
      <w:lang w:val="es-CR" w:eastAsia="en-US"/>
      <w14:ligatures w14:val="standardContextual"/>
    </w:rPr>
  </w:style>
  <w:style w:type="paragraph" w:styleId="Ttulo7">
    <w:name w:val="heading 7"/>
    <w:basedOn w:val="Normal"/>
    <w:next w:val="Normal"/>
    <w:link w:val="Ttulo7Car"/>
    <w:uiPriority w:val="9"/>
    <w:semiHidden/>
    <w:unhideWhenUsed/>
    <w:qFormat/>
    <w:rsid w:val="00D8699C"/>
    <w:pPr>
      <w:keepNext/>
      <w:keepLines/>
      <w:spacing w:before="40" w:line="259" w:lineRule="auto"/>
      <w:outlineLvl w:val="6"/>
    </w:pPr>
    <w:rPr>
      <w:rFonts w:asciiTheme="minorHAnsi" w:eastAsiaTheme="majorEastAsia" w:hAnsiTheme="minorHAnsi" w:cstheme="majorBidi"/>
      <w:color w:val="595959" w:themeColor="text1" w:themeTint="A6"/>
      <w:kern w:val="2"/>
      <w:lang w:val="es-CR" w:eastAsia="en-US"/>
      <w14:ligatures w14:val="standardContextual"/>
    </w:rPr>
  </w:style>
  <w:style w:type="paragraph" w:styleId="Ttulo8">
    <w:name w:val="heading 8"/>
    <w:basedOn w:val="Normal"/>
    <w:next w:val="Normal"/>
    <w:link w:val="Ttulo8Car"/>
    <w:uiPriority w:val="9"/>
    <w:semiHidden/>
    <w:unhideWhenUsed/>
    <w:qFormat/>
    <w:rsid w:val="00D8699C"/>
    <w:pPr>
      <w:keepNext/>
      <w:keepLines/>
      <w:spacing w:line="259" w:lineRule="auto"/>
      <w:outlineLvl w:val="7"/>
    </w:pPr>
    <w:rPr>
      <w:rFonts w:asciiTheme="minorHAnsi" w:eastAsiaTheme="majorEastAsia" w:hAnsiTheme="minorHAnsi" w:cstheme="majorBidi"/>
      <w:i/>
      <w:iCs/>
      <w:color w:val="272727" w:themeColor="text1" w:themeTint="D8"/>
      <w:kern w:val="2"/>
      <w:lang w:val="es-CR" w:eastAsia="en-US"/>
      <w14:ligatures w14:val="standardContextual"/>
    </w:rPr>
  </w:style>
  <w:style w:type="paragraph" w:styleId="Ttulo9">
    <w:name w:val="heading 9"/>
    <w:basedOn w:val="Normal"/>
    <w:next w:val="Normal"/>
    <w:link w:val="Ttulo9Car"/>
    <w:uiPriority w:val="9"/>
    <w:semiHidden/>
    <w:unhideWhenUsed/>
    <w:qFormat/>
    <w:rsid w:val="00D8699C"/>
    <w:pPr>
      <w:keepNext/>
      <w:keepLines/>
      <w:spacing w:line="259" w:lineRule="auto"/>
      <w:outlineLvl w:val="8"/>
    </w:pPr>
    <w:rPr>
      <w:rFonts w:asciiTheme="minorHAnsi" w:eastAsiaTheme="majorEastAsia" w:hAnsiTheme="minorHAnsi" w:cstheme="majorBidi"/>
      <w:color w:val="272727" w:themeColor="text1" w:themeTint="D8"/>
      <w:kern w:val="2"/>
      <w:lang w:val="es-CR"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869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869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869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869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869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869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869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869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8699C"/>
    <w:rPr>
      <w:rFonts w:eastAsiaTheme="majorEastAsia" w:cstheme="majorBidi"/>
      <w:color w:val="272727" w:themeColor="text1" w:themeTint="D8"/>
    </w:rPr>
  </w:style>
  <w:style w:type="paragraph" w:styleId="Ttulo">
    <w:name w:val="Title"/>
    <w:basedOn w:val="Normal"/>
    <w:next w:val="Normal"/>
    <w:link w:val="TtuloCar"/>
    <w:uiPriority w:val="10"/>
    <w:qFormat/>
    <w:rsid w:val="00D8699C"/>
    <w:pPr>
      <w:spacing w:after="80" w:line="240" w:lineRule="auto"/>
      <w:contextualSpacing/>
    </w:pPr>
    <w:rPr>
      <w:rFonts w:asciiTheme="majorHAnsi" w:eastAsiaTheme="majorEastAsia" w:hAnsiTheme="majorHAnsi" w:cstheme="majorBidi"/>
      <w:spacing w:val="-10"/>
      <w:kern w:val="28"/>
      <w:sz w:val="56"/>
      <w:szCs w:val="56"/>
      <w:lang w:val="es-CR" w:eastAsia="en-US"/>
      <w14:ligatures w14:val="standardContextual"/>
    </w:rPr>
  </w:style>
  <w:style w:type="character" w:customStyle="1" w:styleId="TtuloCar">
    <w:name w:val="Título Car"/>
    <w:basedOn w:val="Fuentedeprrafopredeter"/>
    <w:link w:val="Ttulo"/>
    <w:uiPriority w:val="10"/>
    <w:rsid w:val="00D869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8699C"/>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R" w:eastAsia="en-US"/>
      <w14:ligatures w14:val="standardContextual"/>
    </w:rPr>
  </w:style>
  <w:style w:type="character" w:customStyle="1" w:styleId="SubttuloCar">
    <w:name w:val="Subtítulo Car"/>
    <w:basedOn w:val="Fuentedeprrafopredeter"/>
    <w:link w:val="Subttulo"/>
    <w:uiPriority w:val="11"/>
    <w:rsid w:val="00D869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8699C"/>
    <w:pPr>
      <w:spacing w:before="160" w:after="160" w:line="259" w:lineRule="auto"/>
      <w:jc w:val="center"/>
    </w:pPr>
    <w:rPr>
      <w:rFonts w:asciiTheme="minorHAnsi" w:eastAsiaTheme="minorHAnsi" w:hAnsiTheme="minorHAnsi" w:cstheme="minorBidi"/>
      <w:i/>
      <w:iCs/>
      <w:color w:val="404040" w:themeColor="text1" w:themeTint="BF"/>
      <w:kern w:val="2"/>
      <w:lang w:val="es-CR" w:eastAsia="en-US"/>
      <w14:ligatures w14:val="standardContextual"/>
    </w:rPr>
  </w:style>
  <w:style w:type="character" w:customStyle="1" w:styleId="CitaCar">
    <w:name w:val="Cita Car"/>
    <w:basedOn w:val="Fuentedeprrafopredeter"/>
    <w:link w:val="Cita"/>
    <w:uiPriority w:val="29"/>
    <w:rsid w:val="00D8699C"/>
    <w:rPr>
      <w:i/>
      <w:iCs/>
      <w:color w:val="404040" w:themeColor="text1" w:themeTint="BF"/>
    </w:rPr>
  </w:style>
  <w:style w:type="paragraph" w:styleId="Prrafodelista">
    <w:name w:val="List Paragraph"/>
    <w:basedOn w:val="Normal"/>
    <w:uiPriority w:val="34"/>
    <w:qFormat/>
    <w:rsid w:val="00D8699C"/>
    <w:pPr>
      <w:spacing w:after="160" w:line="259" w:lineRule="auto"/>
      <w:ind w:left="720"/>
      <w:contextualSpacing/>
    </w:pPr>
    <w:rPr>
      <w:rFonts w:asciiTheme="minorHAnsi" w:eastAsiaTheme="minorHAnsi" w:hAnsiTheme="minorHAnsi" w:cstheme="minorBidi"/>
      <w:kern w:val="2"/>
      <w:lang w:val="es-CR" w:eastAsia="en-US"/>
      <w14:ligatures w14:val="standardContextual"/>
    </w:rPr>
  </w:style>
  <w:style w:type="character" w:styleId="nfasisintenso">
    <w:name w:val="Intense Emphasis"/>
    <w:basedOn w:val="Fuentedeprrafopredeter"/>
    <w:uiPriority w:val="21"/>
    <w:qFormat/>
    <w:rsid w:val="00D8699C"/>
    <w:rPr>
      <w:i/>
      <w:iCs/>
      <w:color w:val="0F4761" w:themeColor="accent1" w:themeShade="BF"/>
    </w:rPr>
  </w:style>
  <w:style w:type="paragraph" w:styleId="Citadestacada">
    <w:name w:val="Intense Quote"/>
    <w:basedOn w:val="Normal"/>
    <w:next w:val="Normal"/>
    <w:link w:val="CitadestacadaCar"/>
    <w:uiPriority w:val="30"/>
    <w:qFormat/>
    <w:rsid w:val="00D8699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CR" w:eastAsia="en-US"/>
      <w14:ligatures w14:val="standardContextual"/>
    </w:rPr>
  </w:style>
  <w:style w:type="character" w:customStyle="1" w:styleId="CitadestacadaCar">
    <w:name w:val="Cita destacada Car"/>
    <w:basedOn w:val="Fuentedeprrafopredeter"/>
    <w:link w:val="Citadestacada"/>
    <w:uiPriority w:val="30"/>
    <w:rsid w:val="00D8699C"/>
    <w:rPr>
      <w:i/>
      <w:iCs/>
      <w:color w:val="0F4761" w:themeColor="accent1" w:themeShade="BF"/>
    </w:rPr>
  </w:style>
  <w:style w:type="character" w:styleId="Referenciaintensa">
    <w:name w:val="Intense Reference"/>
    <w:basedOn w:val="Fuentedeprrafopredeter"/>
    <w:uiPriority w:val="32"/>
    <w:qFormat/>
    <w:rsid w:val="00D8699C"/>
    <w:rPr>
      <w:b/>
      <w:bCs/>
      <w:smallCaps/>
      <w:color w:val="0F4761" w:themeColor="accent1" w:themeShade="BF"/>
      <w:spacing w:val="5"/>
    </w:rPr>
  </w:style>
  <w:style w:type="paragraph" w:styleId="Encabezado">
    <w:name w:val="header"/>
    <w:basedOn w:val="Normal"/>
    <w:link w:val="EncabezadoCar"/>
    <w:uiPriority w:val="99"/>
    <w:unhideWhenUsed/>
    <w:rsid w:val="00D8699C"/>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8699C"/>
    <w:rPr>
      <w:rFonts w:ascii="Arial" w:eastAsia="Arial" w:hAnsi="Arial" w:cs="Arial"/>
      <w:kern w:val="0"/>
      <w:lang w:val="es-419" w:eastAsia="es-ES"/>
      <w14:ligatures w14:val="none"/>
    </w:rPr>
  </w:style>
  <w:style w:type="character" w:styleId="Hipervnculo">
    <w:name w:val="Hyperlink"/>
    <w:basedOn w:val="Fuentedeprrafopredeter"/>
    <w:uiPriority w:val="99"/>
    <w:unhideWhenUsed/>
    <w:rsid w:val="00D8699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internacionales@misalud.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21</Pages>
  <Words>2270</Words>
  <Characters>12491</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Salazar González</dc:creator>
  <cp:keywords/>
  <dc:description/>
  <cp:lastModifiedBy>Adriana Salazar González</cp:lastModifiedBy>
  <cp:revision>1</cp:revision>
  <dcterms:created xsi:type="dcterms:W3CDTF">2026-09-14T14:16:00Z</dcterms:created>
  <dcterms:modified xsi:type="dcterms:W3CDTF">2026-09-14T14:53:00Z</dcterms:modified>
</cp:coreProperties>
</file>