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1507" w14:textId="77777777" w:rsidR="007C6A0B" w:rsidRPr="00D63D83" w:rsidRDefault="007C6A0B" w:rsidP="007C6A0B">
      <w:pPr>
        <w:spacing w:line="240" w:lineRule="auto"/>
        <w:jc w:val="center"/>
        <w:rPr>
          <w:b/>
          <w:bCs/>
          <w:sz w:val="24"/>
          <w:szCs w:val="24"/>
          <w:lang w:val="es-ES_tradnl"/>
        </w:rPr>
      </w:pPr>
      <w:r w:rsidRPr="00D63D83">
        <w:rPr>
          <w:b/>
          <w:bCs/>
          <w:sz w:val="24"/>
          <w:szCs w:val="24"/>
          <w:lang w:val="es-ES_tradnl"/>
        </w:rPr>
        <w:t>Participación de funcionarios del Ministerio de Salud en actividades fuera del país</w:t>
      </w:r>
    </w:p>
    <w:p w14:paraId="23AEB0AB" w14:textId="05D1F6B4" w:rsidR="007C6A0B" w:rsidRPr="00D63D83" w:rsidRDefault="007C6A0B" w:rsidP="007C6A0B">
      <w:pPr>
        <w:spacing w:line="240" w:lineRule="auto"/>
        <w:jc w:val="center"/>
        <w:rPr>
          <w:b/>
          <w:bCs/>
          <w:sz w:val="24"/>
          <w:szCs w:val="24"/>
          <w:lang w:val="es-ES_tradnl"/>
        </w:rPr>
      </w:pPr>
      <w:r>
        <w:rPr>
          <w:b/>
          <w:bCs/>
          <w:sz w:val="24"/>
          <w:szCs w:val="24"/>
          <w:lang w:val="es-ES_tradnl"/>
        </w:rPr>
        <w:t>Junio</w:t>
      </w:r>
      <w:r>
        <w:rPr>
          <w:b/>
          <w:bCs/>
          <w:sz w:val="24"/>
          <w:szCs w:val="24"/>
          <w:lang w:val="es-ES_tradnl"/>
        </w:rPr>
        <w:t xml:space="preserve"> </w:t>
      </w:r>
      <w:r w:rsidRPr="00D63D83">
        <w:rPr>
          <w:b/>
          <w:bCs/>
          <w:sz w:val="24"/>
          <w:szCs w:val="24"/>
          <w:lang w:val="es-ES_tradnl"/>
        </w:rPr>
        <w:t>202</w:t>
      </w:r>
      <w:r>
        <w:rPr>
          <w:b/>
          <w:bCs/>
          <w:sz w:val="24"/>
          <w:szCs w:val="24"/>
          <w:lang w:val="es-ES_tradnl"/>
        </w:rPr>
        <w:t>6</w:t>
      </w:r>
    </w:p>
    <w:p w14:paraId="7FBC6529" w14:textId="77777777" w:rsidR="007C6A0B" w:rsidRDefault="007C6A0B" w:rsidP="007C6A0B">
      <w:pPr>
        <w:spacing w:line="240" w:lineRule="auto"/>
        <w:jc w:val="center"/>
        <w:rPr>
          <w:b/>
          <w:bCs/>
          <w:sz w:val="20"/>
          <w:szCs w:val="20"/>
          <w:lang w:val="es-ES_tradnl"/>
        </w:rPr>
      </w:pPr>
    </w:p>
    <w:p w14:paraId="6FB17926" w14:textId="77777777" w:rsidR="00EB56CA" w:rsidRPr="00D63D83" w:rsidRDefault="00EB56CA" w:rsidP="007C6A0B">
      <w:pPr>
        <w:spacing w:line="240" w:lineRule="auto"/>
        <w:jc w:val="center"/>
        <w:rPr>
          <w:b/>
          <w:bCs/>
          <w:sz w:val="20"/>
          <w:szCs w:val="20"/>
          <w:lang w:val="es-ES_tradnl"/>
        </w:rPr>
      </w:pPr>
    </w:p>
    <w:tbl>
      <w:tblPr>
        <w:tblW w:w="14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2"/>
        <w:gridCol w:w="1530"/>
        <w:gridCol w:w="960"/>
        <w:gridCol w:w="1230"/>
        <w:gridCol w:w="1204"/>
        <w:gridCol w:w="1812"/>
        <w:gridCol w:w="1915"/>
        <w:gridCol w:w="1828"/>
        <w:gridCol w:w="1490"/>
        <w:gridCol w:w="1589"/>
      </w:tblGrid>
      <w:tr w:rsidR="007C6A0B" w:rsidRPr="00CE624F" w14:paraId="04B0305A" w14:textId="77777777" w:rsidTr="00594C70">
        <w:trPr>
          <w:trHeight w:val="697"/>
          <w:tblHeader/>
          <w:jc w:val="center"/>
        </w:trPr>
        <w:tc>
          <w:tcPr>
            <w:tcW w:w="1252" w:type="dxa"/>
            <w:shd w:val="clear" w:color="000000" w:fill="B4C6E7"/>
            <w:vAlign w:val="center"/>
            <w:hideMark/>
          </w:tcPr>
          <w:p w14:paraId="7981DC50"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Nombre</w:t>
            </w:r>
          </w:p>
        </w:tc>
        <w:tc>
          <w:tcPr>
            <w:tcW w:w="1530" w:type="dxa"/>
            <w:shd w:val="clear" w:color="000000" w:fill="B4C6E7"/>
            <w:vAlign w:val="center"/>
            <w:hideMark/>
          </w:tcPr>
          <w:p w14:paraId="05EDE42C"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Dirección</w:t>
            </w:r>
          </w:p>
        </w:tc>
        <w:tc>
          <w:tcPr>
            <w:tcW w:w="960" w:type="dxa"/>
            <w:shd w:val="clear" w:color="000000" w:fill="B4C6E7"/>
            <w:vAlign w:val="center"/>
            <w:hideMark/>
          </w:tcPr>
          <w:p w14:paraId="1257303F"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Fecha de inicio</w:t>
            </w:r>
          </w:p>
        </w:tc>
        <w:tc>
          <w:tcPr>
            <w:tcW w:w="1230" w:type="dxa"/>
            <w:shd w:val="clear" w:color="000000" w:fill="B4C6E7"/>
            <w:vAlign w:val="center"/>
            <w:hideMark/>
          </w:tcPr>
          <w:p w14:paraId="35E2A692"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Fecha de finalización</w:t>
            </w:r>
          </w:p>
        </w:tc>
        <w:tc>
          <w:tcPr>
            <w:tcW w:w="1204" w:type="dxa"/>
            <w:shd w:val="clear" w:color="000000" w:fill="B4C6E7"/>
            <w:vAlign w:val="center"/>
            <w:hideMark/>
          </w:tcPr>
          <w:p w14:paraId="531D0608"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Lugar</w:t>
            </w:r>
          </w:p>
        </w:tc>
        <w:tc>
          <w:tcPr>
            <w:tcW w:w="1812" w:type="dxa"/>
            <w:shd w:val="clear" w:color="000000" w:fill="B4C6E7"/>
            <w:vAlign w:val="center"/>
            <w:hideMark/>
          </w:tcPr>
          <w:p w14:paraId="1B7D3654"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Actividad</w:t>
            </w:r>
          </w:p>
        </w:tc>
        <w:tc>
          <w:tcPr>
            <w:tcW w:w="1915" w:type="dxa"/>
            <w:shd w:val="clear" w:color="000000" w:fill="B4C6E7"/>
            <w:vAlign w:val="center"/>
            <w:hideMark/>
          </w:tcPr>
          <w:p w14:paraId="2D99EAB1"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Compromisos</w:t>
            </w:r>
          </w:p>
        </w:tc>
        <w:tc>
          <w:tcPr>
            <w:tcW w:w="1828" w:type="dxa"/>
            <w:shd w:val="clear" w:color="000000" w:fill="B4C6E7"/>
            <w:vAlign w:val="center"/>
            <w:hideMark/>
          </w:tcPr>
          <w:p w14:paraId="04CD484B"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Financiado por</w:t>
            </w:r>
          </w:p>
        </w:tc>
        <w:tc>
          <w:tcPr>
            <w:tcW w:w="1490" w:type="dxa"/>
            <w:shd w:val="clear" w:color="000000" w:fill="B4C6E7"/>
            <w:vAlign w:val="center"/>
            <w:hideMark/>
          </w:tcPr>
          <w:p w14:paraId="525B1D5E"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Viáticos</w:t>
            </w:r>
          </w:p>
        </w:tc>
        <w:tc>
          <w:tcPr>
            <w:tcW w:w="1589" w:type="dxa"/>
            <w:shd w:val="clear" w:color="000000" w:fill="B4C6E7"/>
            <w:vAlign w:val="center"/>
            <w:hideMark/>
          </w:tcPr>
          <w:p w14:paraId="0C827ADD" w14:textId="77777777" w:rsidR="007C6A0B" w:rsidRPr="00CE624F" w:rsidRDefault="007C6A0B"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Observaciones</w:t>
            </w:r>
          </w:p>
        </w:tc>
      </w:tr>
      <w:tr w:rsidR="00EB56CA" w:rsidRPr="00CE624F" w14:paraId="484844BA" w14:textId="77777777" w:rsidTr="00594C70">
        <w:trPr>
          <w:trHeight w:val="50"/>
          <w:jc w:val="center"/>
        </w:trPr>
        <w:tc>
          <w:tcPr>
            <w:tcW w:w="1252" w:type="dxa"/>
          </w:tcPr>
          <w:p w14:paraId="763BABC8" w14:textId="279DC63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Adrián Brenes Bolaños</w:t>
            </w:r>
          </w:p>
        </w:tc>
        <w:tc>
          <w:tcPr>
            <w:tcW w:w="1530" w:type="dxa"/>
          </w:tcPr>
          <w:p w14:paraId="6A3A159C" w14:textId="6AC9BC7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Regulación de Productos de Interés y Riesgo Sanitario </w:t>
            </w:r>
          </w:p>
        </w:tc>
        <w:tc>
          <w:tcPr>
            <w:tcW w:w="960" w:type="dxa"/>
          </w:tcPr>
          <w:p w14:paraId="515BE88C" w14:textId="5850109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1-jun-26</w:t>
            </w:r>
          </w:p>
        </w:tc>
        <w:tc>
          <w:tcPr>
            <w:tcW w:w="1230" w:type="dxa"/>
          </w:tcPr>
          <w:p w14:paraId="4DF52BC2" w14:textId="1298AE3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3-jun-26</w:t>
            </w:r>
          </w:p>
        </w:tc>
        <w:tc>
          <w:tcPr>
            <w:tcW w:w="1204" w:type="dxa"/>
          </w:tcPr>
          <w:p w14:paraId="519C96B4" w14:textId="06616E5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Dominicana </w:t>
            </w:r>
          </w:p>
        </w:tc>
        <w:tc>
          <w:tcPr>
            <w:tcW w:w="1812" w:type="dxa"/>
          </w:tcPr>
          <w:p w14:paraId="7F4E6070" w14:textId="62D3F0E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Segundo Taller Regional para el intercambio de experiencias sobre el uso de la guía de evaluación técnica de medicamentos biotecnológicos y biosimilares</w:t>
            </w:r>
          </w:p>
        </w:tc>
        <w:tc>
          <w:tcPr>
            <w:tcW w:w="1915" w:type="dxa"/>
          </w:tcPr>
          <w:p w14:paraId="7CD69BD9" w14:textId="77CE99B3" w:rsidR="00EB56CA" w:rsidRPr="00CE624F" w:rsidRDefault="00EB56CA" w:rsidP="00EB56CA">
            <w:pPr>
              <w:spacing w:line="240" w:lineRule="auto"/>
              <w:rPr>
                <w:rFonts w:eastAsia="Times New Roman"/>
                <w:i/>
                <w:iCs/>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1A4C0ACA" w14:textId="77777777" w:rsid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Fundación Estatal, Salud, Infancia y Bienestar Social </w:t>
            </w:r>
            <w:proofErr w:type="spellStart"/>
            <w:r w:rsidRPr="00EB56CA">
              <w:rPr>
                <w:rFonts w:eastAsia="Times New Roman"/>
                <w:sz w:val="20"/>
                <w:szCs w:val="20"/>
                <w:lang w:val="es-CR" w:eastAsia="es-CR"/>
              </w:rPr>
              <w:t>F.S.P</w:t>
            </w:r>
            <w:proofErr w:type="spellEnd"/>
            <w:r w:rsidRPr="00EB56CA">
              <w:rPr>
                <w:rFonts w:eastAsia="Times New Roman"/>
                <w:sz w:val="20"/>
                <w:szCs w:val="20"/>
                <w:lang w:val="es-CR" w:eastAsia="es-CR"/>
              </w:rPr>
              <w:t xml:space="preserve"> (</w:t>
            </w:r>
            <w:proofErr w:type="spellStart"/>
            <w:r w:rsidRPr="00EB56CA">
              <w:rPr>
                <w:rFonts w:eastAsia="Times New Roman"/>
                <w:sz w:val="20"/>
                <w:szCs w:val="20"/>
                <w:lang w:val="es-CR" w:eastAsia="es-CR"/>
              </w:rPr>
              <w:t>FCSAI</w:t>
            </w:r>
            <w:proofErr w:type="spellEnd"/>
            <w:r w:rsidRPr="00EB56CA">
              <w:rPr>
                <w:rFonts w:eastAsia="Times New Roman"/>
                <w:sz w:val="20"/>
                <w:szCs w:val="20"/>
                <w:lang w:val="es-CR" w:eastAsia="es-CR"/>
              </w:rPr>
              <w:t>)</w:t>
            </w:r>
          </w:p>
          <w:p w14:paraId="3A2EE69F" w14:textId="51C5549E" w:rsid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Agencia Española de Cooperación Internacional para el Desarrollo (AECID)</w:t>
            </w:r>
          </w:p>
          <w:p w14:paraId="5025DB14" w14:textId="3D42792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Fondo España-SICA</w:t>
            </w:r>
          </w:p>
        </w:tc>
        <w:tc>
          <w:tcPr>
            <w:tcW w:w="1490" w:type="dxa"/>
          </w:tcPr>
          <w:p w14:paraId="575262DC" w14:textId="1D0B1F3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0EA76E89"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750B1128" w14:textId="77777777" w:rsidTr="00594C70">
        <w:trPr>
          <w:trHeight w:val="50"/>
          <w:jc w:val="center"/>
        </w:trPr>
        <w:tc>
          <w:tcPr>
            <w:tcW w:w="1252" w:type="dxa"/>
          </w:tcPr>
          <w:p w14:paraId="17816DF0" w14:textId="4EB990F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Stephanny Sánchez Vargas</w:t>
            </w:r>
          </w:p>
        </w:tc>
        <w:tc>
          <w:tcPr>
            <w:tcW w:w="1530" w:type="dxa"/>
          </w:tcPr>
          <w:p w14:paraId="5B6345E9" w14:textId="3FFC3E7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Regulación de Productos de Interés y Riesgo Sanitario </w:t>
            </w:r>
          </w:p>
        </w:tc>
        <w:tc>
          <w:tcPr>
            <w:tcW w:w="960" w:type="dxa"/>
          </w:tcPr>
          <w:p w14:paraId="0A7DDE8E" w14:textId="4AF4F4B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1-jun-26</w:t>
            </w:r>
          </w:p>
        </w:tc>
        <w:tc>
          <w:tcPr>
            <w:tcW w:w="1230" w:type="dxa"/>
          </w:tcPr>
          <w:p w14:paraId="19CF9813" w14:textId="325C944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3-jun-26</w:t>
            </w:r>
          </w:p>
        </w:tc>
        <w:tc>
          <w:tcPr>
            <w:tcW w:w="1204" w:type="dxa"/>
          </w:tcPr>
          <w:p w14:paraId="4C09C401" w14:textId="24B231E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Dominicana </w:t>
            </w:r>
          </w:p>
        </w:tc>
        <w:tc>
          <w:tcPr>
            <w:tcW w:w="1812" w:type="dxa"/>
          </w:tcPr>
          <w:p w14:paraId="2DB12F8F" w14:textId="633236C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Segundo Taller Regional para el intercambio de experiencias sobre el uso de la guía de evaluación técnica de medicamentos biotecnológicos y biosimilares</w:t>
            </w:r>
          </w:p>
        </w:tc>
        <w:tc>
          <w:tcPr>
            <w:tcW w:w="1915" w:type="dxa"/>
          </w:tcPr>
          <w:p w14:paraId="017A4896" w14:textId="186C366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7DFCF49C" w14:textId="77777777" w:rsid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Fundación Estatal, Salud, Infancia y Bienestar Social </w:t>
            </w:r>
            <w:proofErr w:type="spellStart"/>
            <w:r w:rsidRPr="00EB56CA">
              <w:rPr>
                <w:rFonts w:eastAsia="Times New Roman"/>
                <w:sz w:val="20"/>
                <w:szCs w:val="20"/>
                <w:lang w:val="es-CR" w:eastAsia="es-CR"/>
              </w:rPr>
              <w:t>F.S.P</w:t>
            </w:r>
            <w:proofErr w:type="spellEnd"/>
            <w:r w:rsidRPr="00EB56CA">
              <w:rPr>
                <w:rFonts w:eastAsia="Times New Roman"/>
                <w:sz w:val="20"/>
                <w:szCs w:val="20"/>
                <w:lang w:val="es-CR" w:eastAsia="es-CR"/>
              </w:rPr>
              <w:t xml:space="preserve"> (</w:t>
            </w:r>
            <w:proofErr w:type="spellStart"/>
            <w:r w:rsidRPr="00EB56CA">
              <w:rPr>
                <w:rFonts w:eastAsia="Times New Roman"/>
                <w:sz w:val="20"/>
                <w:szCs w:val="20"/>
                <w:lang w:val="es-CR" w:eastAsia="es-CR"/>
              </w:rPr>
              <w:t>FCSAI</w:t>
            </w:r>
            <w:proofErr w:type="spellEnd"/>
            <w:r w:rsidRPr="00EB56CA">
              <w:rPr>
                <w:rFonts w:eastAsia="Times New Roman"/>
                <w:sz w:val="20"/>
                <w:szCs w:val="20"/>
                <w:lang w:val="es-CR" w:eastAsia="es-CR"/>
              </w:rPr>
              <w:t>)</w:t>
            </w:r>
          </w:p>
          <w:p w14:paraId="00ED9203" w14:textId="6F85E05B" w:rsid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Agencia Española de Cooperación Internacional para el Desarrollo (AECID) </w:t>
            </w:r>
          </w:p>
          <w:p w14:paraId="4B3F487B" w14:textId="049FC8F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Fondo España-SICA</w:t>
            </w:r>
          </w:p>
        </w:tc>
        <w:tc>
          <w:tcPr>
            <w:tcW w:w="1490" w:type="dxa"/>
          </w:tcPr>
          <w:p w14:paraId="55CC740B" w14:textId="249D125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1F8CBBBD"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43B60D53" w14:textId="77777777" w:rsidTr="00594C70">
        <w:trPr>
          <w:trHeight w:val="50"/>
          <w:jc w:val="center"/>
        </w:trPr>
        <w:tc>
          <w:tcPr>
            <w:tcW w:w="1252" w:type="dxa"/>
          </w:tcPr>
          <w:p w14:paraId="449E2105" w14:textId="38D4D8F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María José Lafuente González</w:t>
            </w:r>
          </w:p>
        </w:tc>
        <w:tc>
          <w:tcPr>
            <w:tcW w:w="1530" w:type="dxa"/>
          </w:tcPr>
          <w:p w14:paraId="01658F77" w14:textId="5893406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Vigilancia de la Salud</w:t>
            </w:r>
          </w:p>
        </w:tc>
        <w:tc>
          <w:tcPr>
            <w:tcW w:w="960" w:type="dxa"/>
          </w:tcPr>
          <w:p w14:paraId="303D891F" w14:textId="241AD21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1-jun-26</w:t>
            </w:r>
          </w:p>
        </w:tc>
        <w:tc>
          <w:tcPr>
            <w:tcW w:w="1230" w:type="dxa"/>
          </w:tcPr>
          <w:p w14:paraId="43C22947" w14:textId="33FA7CF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4-jun-26</w:t>
            </w:r>
          </w:p>
        </w:tc>
        <w:tc>
          <w:tcPr>
            <w:tcW w:w="1204" w:type="dxa"/>
          </w:tcPr>
          <w:p w14:paraId="0AB664EC" w14:textId="2B98196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Panamá</w:t>
            </w:r>
          </w:p>
        </w:tc>
        <w:tc>
          <w:tcPr>
            <w:tcW w:w="1812" w:type="dxa"/>
          </w:tcPr>
          <w:p w14:paraId="124A5E8B" w14:textId="0513FEF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Taller para el fortalecimiento de la vigilancia de los hantavirus y </w:t>
            </w:r>
            <w:proofErr w:type="spellStart"/>
            <w:r w:rsidRPr="00EB56CA">
              <w:rPr>
                <w:rFonts w:eastAsia="Times New Roman"/>
                <w:sz w:val="20"/>
                <w:szCs w:val="20"/>
                <w:lang w:val="es-CR" w:eastAsia="es-CR"/>
              </w:rPr>
              <w:t>arenavirus</w:t>
            </w:r>
            <w:proofErr w:type="spellEnd"/>
            <w:r w:rsidRPr="00EB56CA">
              <w:rPr>
                <w:rFonts w:eastAsia="Times New Roman"/>
                <w:sz w:val="20"/>
                <w:szCs w:val="20"/>
                <w:lang w:val="es-CR" w:eastAsia="es-CR"/>
              </w:rPr>
              <w:t xml:space="preserve"> del nuevo mundo</w:t>
            </w:r>
          </w:p>
        </w:tc>
        <w:tc>
          <w:tcPr>
            <w:tcW w:w="1915" w:type="dxa"/>
          </w:tcPr>
          <w:p w14:paraId="4A19C5CC" w14:textId="6B29A63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59C61201" w14:textId="37DB882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Organización Panamericana de la Salud (OPS)</w:t>
            </w:r>
          </w:p>
        </w:tc>
        <w:tc>
          <w:tcPr>
            <w:tcW w:w="1490" w:type="dxa"/>
          </w:tcPr>
          <w:p w14:paraId="1EAD839C" w14:textId="7C03A5F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019EC9F3"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7EBDDE0D" w14:textId="77777777" w:rsidTr="00340298">
        <w:trPr>
          <w:trHeight w:val="50"/>
          <w:jc w:val="center"/>
        </w:trPr>
        <w:tc>
          <w:tcPr>
            <w:tcW w:w="1252" w:type="dxa"/>
          </w:tcPr>
          <w:p w14:paraId="3A29FCC6" w14:textId="33031ED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Erika Herrera Delgado</w:t>
            </w:r>
          </w:p>
        </w:tc>
        <w:tc>
          <w:tcPr>
            <w:tcW w:w="1530" w:type="dxa"/>
          </w:tcPr>
          <w:p w14:paraId="77D31224" w14:textId="19C21E5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Servicios de Salud</w:t>
            </w:r>
          </w:p>
        </w:tc>
        <w:tc>
          <w:tcPr>
            <w:tcW w:w="960" w:type="dxa"/>
          </w:tcPr>
          <w:p w14:paraId="776BE397" w14:textId="4713482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1-jun-26</w:t>
            </w:r>
          </w:p>
        </w:tc>
        <w:tc>
          <w:tcPr>
            <w:tcW w:w="1230" w:type="dxa"/>
          </w:tcPr>
          <w:p w14:paraId="01070315" w14:textId="49C3B16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5-jun-26</w:t>
            </w:r>
          </w:p>
        </w:tc>
        <w:tc>
          <w:tcPr>
            <w:tcW w:w="1204" w:type="dxa"/>
          </w:tcPr>
          <w:p w14:paraId="050DED69" w14:textId="7379567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Austria</w:t>
            </w:r>
          </w:p>
        </w:tc>
        <w:tc>
          <w:tcPr>
            <w:tcW w:w="1812" w:type="dxa"/>
          </w:tcPr>
          <w:p w14:paraId="02599224" w14:textId="10F801B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Taller nacional de coordinadores de RASIMS</w:t>
            </w:r>
          </w:p>
        </w:tc>
        <w:tc>
          <w:tcPr>
            <w:tcW w:w="1915" w:type="dxa"/>
          </w:tcPr>
          <w:p w14:paraId="41482882" w14:textId="15663FD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0846CAFE" w14:textId="0EAAFE3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Organismo Internacional de Energía Atómica (OIEA)</w:t>
            </w:r>
          </w:p>
        </w:tc>
        <w:tc>
          <w:tcPr>
            <w:tcW w:w="1490" w:type="dxa"/>
          </w:tcPr>
          <w:p w14:paraId="1EE61711" w14:textId="50E7037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7C0FA1C4"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17EE0EE" w14:textId="77777777" w:rsidTr="00594C70">
        <w:trPr>
          <w:trHeight w:val="50"/>
          <w:jc w:val="center"/>
        </w:trPr>
        <w:tc>
          <w:tcPr>
            <w:tcW w:w="1252" w:type="dxa"/>
          </w:tcPr>
          <w:p w14:paraId="54FC90AF" w14:textId="497C6EE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Lady Fonseca Castro</w:t>
            </w:r>
          </w:p>
        </w:tc>
        <w:tc>
          <w:tcPr>
            <w:tcW w:w="1530" w:type="dxa"/>
          </w:tcPr>
          <w:p w14:paraId="78475C11" w14:textId="45B8689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Planificación </w:t>
            </w:r>
          </w:p>
        </w:tc>
        <w:tc>
          <w:tcPr>
            <w:tcW w:w="960" w:type="dxa"/>
          </w:tcPr>
          <w:p w14:paraId="64A3F7DA" w14:textId="4E924C2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8-jun-26</w:t>
            </w:r>
          </w:p>
        </w:tc>
        <w:tc>
          <w:tcPr>
            <w:tcW w:w="1230" w:type="dxa"/>
          </w:tcPr>
          <w:p w14:paraId="016853D2" w14:textId="5D80CE2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9-jun-26</w:t>
            </w:r>
          </w:p>
        </w:tc>
        <w:tc>
          <w:tcPr>
            <w:tcW w:w="1204" w:type="dxa"/>
          </w:tcPr>
          <w:p w14:paraId="1A6448CD" w14:textId="3170D74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Brasil</w:t>
            </w:r>
          </w:p>
        </w:tc>
        <w:tc>
          <w:tcPr>
            <w:tcW w:w="1812" w:type="dxa"/>
          </w:tcPr>
          <w:p w14:paraId="1449AC14" w14:textId="50FE977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Gobernanza para la seguridad alimentaria y la nutrición: marcos institucionales, avances y desafíos en América Latina y el Caribe</w:t>
            </w:r>
          </w:p>
        </w:tc>
        <w:tc>
          <w:tcPr>
            <w:tcW w:w="1915" w:type="dxa"/>
          </w:tcPr>
          <w:p w14:paraId="695B44CE" w14:textId="52060C5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Envío de observaciones al documento elaborado por la FAO “Gobernanza para la Seguridad Alimentaria y la Nutrición en América Latina y el Caribe: Marcos institucionales y desafíos”.</w:t>
            </w:r>
          </w:p>
        </w:tc>
        <w:tc>
          <w:tcPr>
            <w:tcW w:w="1828" w:type="dxa"/>
          </w:tcPr>
          <w:p w14:paraId="6D6B8A9B" w14:textId="4D15655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Organización de las Naciones Unidas para la Alimentación y la Agricultura (FAO)</w:t>
            </w:r>
          </w:p>
        </w:tc>
        <w:tc>
          <w:tcPr>
            <w:tcW w:w="1490" w:type="dxa"/>
          </w:tcPr>
          <w:p w14:paraId="51B156E4" w14:textId="48DC8ED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1B5F48F7"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4C30C34F" w14:textId="77777777" w:rsidTr="00340298">
        <w:trPr>
          <w:trHeight w:val="50"/>
          <w:jc w:val="center"/>
        </w:trPr>
        <w:tc>
          <w:tcPr>
            <w:tcW w:w="1252" w:type="dxa"/>
          </w:tcPr>
          <w:p w14:paraId="6B87E2F3" w14:textId="5061CE9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Andrea Badilla Jiménez</w:t>
            </w:r>
          </w:p>
        </w:tc>
        <w:tc>
          <w:tcPr>
            <w:tcW w:w="1530" w:type="dxa"/>
          </w:tcPr>
          <w:p w14:paraId="571A71F9" w14:textId="533E441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Regulación de Productos de Interés y Riesgo Sanitario </w:t>
            </w:r>
          </w:p>
        </w:tc>
        <w:tc>
          <w:tcPr>
            <w:tcW w:w="960" w:type="dxa"/>
          </w:tcPr>
          <w:p w14:paraId="2C93344D" w14:textId="16C67DF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8-jun-26</w:t>
            </w:r>
          </w:p>
        </w:tc>
        <w:tc>
          <w:tcPr>
            <w:tcW w:w="1230" w:type="dxa"/>
          </w:tcPr>
          <w:p w14:paraId="264A3575" w14:textId="57DB709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12-jun-26</w:t>
            </w:r>
          </w:p>
        </w:tc>
        <w:tc>
          <w:tcPr>
            <w:tcW w:w="1204" w:type="dxa"/>
          </w:tcPr>
          <w:p w14:paraId="07F187EC" w14:textId="187BB82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Suiza</w:t>
            </w:r>
          </w:p>
        </w:tc>
        <w:tc>
          <w:tcPr>
            <w:tcW w:w="1812" w:type="dxa"/>
          </w:tcPr>
          <w:p w14:paraId="57F827F9" w14:textId="5D54CC2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Curso de formación regulatoria en colaboración con la </w:t>
            </w:r>
            <w:proofErr w:type="spellStart"/>
            <w:r w:rsidRPr="00EB56CA">
              <w:rPr>
                <w:rFonts w:eastAsia="Times New Roman"/>
                <w:sz w:val="20"/>
                <w:szCs w:val="20"/>
                <w:lang w:val="es-CR" w:eastAsia="es-CR"/>
              </w:rPr>
              <w:t>Swissmedic</w:t>
            </w:r>
            <w:proofErr w:type="spellEnd"/>
          </w:p>
        </w:tc>
        <w:tc>
          <w:tcPr>
            <w:tcW w:w="1915" w:type="dxa"/>
          </w:tcPr>
          <w:p w14:paraId="662260FC" w14:textId="7C0C9E3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Dado que la actividad correspondió a una capacitación técnica orientada al fortalecimiento de capacidades regulatorias, no se generaron acuerdos formales entre las partes. No obstante, los conocimientos y buenas prácticas adquiridas constituyen insumos relevantes </w:t>
            </w:r>
            <w:r w:rsidRPr="00EB56CA">
              <w:rPr>
                <w:rFonts w:eastAsia="Times New Roman"/>
                <w:sz w:val="20"/>
                <w:szCs w:val="20"/>
                <w:lang w:val="es-CR" w:eastAsia="es-CR"/>
              </w:rPr>
              <w:lastRenderedPageBreak/>
              <w:t xml:space="preserve">para la mejora continua de los procesos </w:t>
            </w:r>
            <w:r w:rsidRPr="00EB56CA">
              <w:rPr>
                <w:rFonts w:eastAsia="Times New Roman"/>
                <w:sz w:val="20"/>
                <w:szCs w:val="20"/>
                <w:lang w:val="es-CR" w:eastAsia="es-CR"/>
              </w:rPr>
              <w:t>institucionales,</w:t>
            </w:r>
            <w:r w:rsidRPr="00EB56CA">
              <w:rPr>
                <w:rFonts w:eastAsia="Times New Roman"/>
                <w:sz w:val="20"/>
                <w:szCs w:val="20"/>
                <w:lang w:val="es-CR" w:eastAsia="es-CR"/>
              </w:rPr>
              <w:t xml:space="preserve"> así como para el proceso de fortalecimiento institucional en el marco de la </w:t>
            </w:r>
            <w:proofErr w:type="spellStart"/>
            <w:r w:rsidRPr="00EB56CA">
              <w:rPr>
                <w:rFonts w:eastAsia="Times New Roman"/>
                <w:sz w:val="20"/>
                <w:szCs w:val="20"/>
                <w:lang w:val="es-CR" w:eastAsia="es-CR"/>
              </w:rPr>
              <w:t>GBT</w:t>
            </w:r>
            <w:proofErr w:type="spellEnd"/>
            <w:r w:rsidRPr="00EB56CA">
              <w:rPr>
                <w:rFonts w:eastAsia="Times New Roman"/>
                <w:sz w:val="20"/>
                <w:szCs w:val="20"/>
                <w:lang w:val="es-CR" w:eastAsia="es-CR"/>
              </w:rPr>
              <w:t xml:space="preserve"> de la OMS. </w:t>
            </w:r>
          </w:p>
        </w:tc>
        <w:tc>
          <w:tcPr>
            <w:tcW w:w="1828" w:type="dxa"/>
          </w:tcPr>
          <w:p w14:paraId="4FEF821B" w14:textId="65759FE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Organización Mundial de la Salud (OMS)</w:t>
            </w:r>
          </w:p>
        </w:tc>
        <w:tc>
          <w:tcPr>
            <w:tcW w:w="1490" w:type="dxa"/>
          </w:tcPr>
          <w:p w14:paraId="325F287E" w14:textId="6C8420A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07A125B8"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422A1AF7" w14:textId="77777777" w:rsidTr="00594C70">
        <w:trPr>
          <w:trHeight w:val="50"/>
          <w:jc w:val="center"/>
        </w:trPr>
        <w:tc>
          <w:tcPr>
            <w:tcW w:w="1252" w:type="dxa"/>
          </w:tcPr>
          <w:p w14:paraId="05C181C6" w14:textId="23E6A32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Álvaro Bogantes Villalobos</w:t>
            </w:r>
          </w:p>
        </w:tc>
        <w:tc>
          <w:tcPr>
            <w:tcW w:w="1530" w:type="dxa"/>
          </w:tcPr>
          <w:p w14:paraId="6B9C34C3" w14:textId="620DF76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Regulación de Productos de Interés y Riesgo Sanitario </w:t>
            </w:r>
          </w:p>
        </w:tc>
        <w:tc>
          <w:tcPr>
            <w:tcW w:w="960" w:type="dxa"/>
          </w:tcPr>
          <w:p w14:paraId="62A100A4" w14:textId="4CD8AA9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8-jun-26</w:t>
            </w:r>
          </w:p>
        </w:tc>
        <w:tc>
          <w:tcPr>
            <w:tcW w:w="1230" w:type="dxa"/>
          </w:tcPr>
          <w:p w14:paraId="55A291AE" w14:textId="2F14647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12-jun-26</w:t>
            </w:r>
          </w:p>
        </w:tc>
        <w:tc>
          <w:tcPr>
            <w:tcW w:w="1204" w:type="dxa"/>
          </w:tcPr>
          <w:p w14:paraId="58BBB4F3" w14:textId="3C5E7F9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Suiza</w:t>
            </w:r>
          </w:p>
        </w:tc>
        <w:tc>
          <w:tcPr>
            <w:tcW w:w="1812" w:type="dxa"/>
          </w:tcPr>
          <w:p w14:paraId="3419A7F8" w14:textId="1050DE2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Curso de formación regulatoria en colaboración con la </w:t>
            </w:r>
            <w:proofErr w:type="spellStart"/>
            <w:r w:rsidRPr="00EB56CA">
              <w:rPr>
                <w:rFonts w:eastAsia="Times New Roman"/>
                <w:sz w:val="20"/>
                <w:szCs w:val="20"/>
                <w:lang w:val="es-CR" w:eastAsia="es-CR"/>
              </w:rPr>
              <w:t>Swissmedic</w:t>
            </w:r>
            <w:proofErr w:type="spellEnd"/>
          </w:p>
        </w:tc>
        <w:tc>
          <w:tcPr>
            <w:tcW w:w="1915" w:type="dxa"/>
          </w:tcPr>
          <w:p w14:paraId="574D98D4" w14:textId="099EFC2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Dado que la actividad correspondió a una capacitación técnica orientada al fortalecimiento de capacidades regulatorias, no se generaron acuerdos formales entre las partes. No obstante, los conocimientos y buenas prácticas adquiridas constituyen insumos relevantes para la mejora continua de los procesos </w:t>
            </w:r>
            <w:r w:rsidRPr="00EB56CA">
              <w:rPr>
                <w:rFonts w:eastAsia="Times New Roman"/>
                <w:sz w:val="20"/>
                <w:szCs w:val="20"/>
                <w:lang w:val="es-CR" w:eastAsia="es-CR"/>
              </w:rPr>
              <w:t>institucionales,</w:t>
            </w:r>
            <w:r w:rsidRPr="00EB56CA">
              <w:rPr>
                <w:rFonts w:eastAsia="Times New Roman"/>
                <w:sz w:val="20"/>
                <w:szCs w:val="20"/>
                <w:lang w:val="es-CR" w:eastAsia="es-CR"/>
              </w:rPr>
              <w:t xml:space="preserve"> así como para el proceso de </w:t>
            </w:r>
            <w:r w:rsidRPr="00EB56CA">
              <w:rPr>
                <w:rFonts w:eastAsia="Times New Roman"/>
                <w:sz w:val="20"/>
                <w:szCs w:val="20"/>
                <w:lang w:val="es-CR" w:eastAsia="es-CR"/>
              </w:rPr>
              <w:lastRenderedPageBreak/>
              <w:t xml:space="preserve">fortalecimiento institucional en el marco de la </w:t>
            </w:r>
            <w:proofErr w:type="spellStart"/>
            <w:r w:rsidRPr="00EB56CA">
              <w:rPr>
                <w:rFonts w:eastAsia="Times New Roman"/>
                <w:sz w:val="20"/>
                <w:szCs w:val="20"/>
                <w:lang w:val="es-CR" w:eastAsia="es-CR"/>
              </w:rPr>
              <w:t>GBT</w:t>
            </w:r>
            <w:proofErr w:type="spellEnd"/>
            <w:r w:rsidRPr="00EB56CA">
              <w:rPr>
                <w:rFonts w:eastAsia="Times New Roman"/>
                <w:sz w:val="20"/>
                <w:szCs w:val="20"/>
                <w:lang w:val="es-CR" w:eastAsia="es-CR"/>
              </w:rPr>
              <w:t xml:space="preserve"> de la OMS. </w:t>
            </w:r>
          </w:p>
        </w:tc>
        <w:tc>
          <w:tcPr>
            <w:tcW w:w="1828" w:type="dxa"/>
          </w:tcPr>
          <w:p w14:paraId="56ECDEA5" w14:textId="021A871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Organización Mundial de la Salud (OMS)</w:t>
            </w:r>
          </w:p>
        </w:tc>
        <w:tc>
          <w:tcPr>
            <w:tcW w:w="1490" w:type="dxa"/>
          </w:tcPr>
          <w:p w14:paraId="582653C8" w14:textId="4EBD99C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5168F274"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289C2045" w14:textId="77777777" w:rsidTr="00594C70">
        <w:trPr>
          <w:trHeight w:val="50"/>
          <w:jc w:val="center"/>
        </w:trPr>
        <w:tc>
          <w:tcPr>
            <w:tcW w:w="1252" w:type="dxa"/>
          </w:tcPr>
          <w:p w14:paraId="645952DD" w14:textId="0B38476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Ileana Roverssi Picado</w:t>
            </w:r>
          </w:p>
        </w:tc>
        <w:tc>
          <w:tcPr>
            <w:tcW w:w="1530" w:type="dxa"/>
          </w:tcPr>
          <w:p w14:paraId="51CCE005" w14:textId="0917055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Regulación de Productos de Interés y Riesgo Sanitario </w:t>
            </w:r>
          </w:p>
        </w:tc>
        <w:tc>
          <w:tcPr>
            <w:tcW w:w="960" w:type="dxa"/>
          </w:tcPr>
          <w:p w14:paraId="3BBB03B2" w14:textId="5333CD4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8-jun-26</w:t>
            </w:r>
          </w:p>
        </w:tc>
        <w:tc>
          <w:tcPr>
            <w:tcW w:w="1230" w:type="dxa"/>
          </w:tcPr>
          <w:p w14:paraId="1089A260" w14:textId="05577A0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12-jun-26</w:t>
            </w:r>
          </w:p>
        </w:tc>
        <w:tc>
          <w:tcPr>
            <w:tcW w:w="1204" w:type="dxa"/>
          </w:tcPr>
          <w:p w14:paraId="0B270722" w14:textId="07F253B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Suiza</w:t>
            </w:r>
          </w:p>
        </w:tc>
        <w:tc>
          <w:tcPr>
            <w:tcW w:w="1812" w:type="dxa"/>
          </w:tcPr>
          <w:p w14:paraId="7349570D" w14:textId="7681504A"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Curso de formación regulatoria en colaboración con la </w:t>
            </w:r>
            <w:proofErr w:type="spellStart"/>
            <w:r w:rsidRPr="00EB56CA">
              <w:rPr>
                <w:rFonts w:eastAsia="Times New Roman"/>
                <w:sz w:val="20"/>
                <w:szCs w:val="20"/>
                <w:lang w:val="es-CR" w:eastAsia="es-CR"/>
              </w:rPr>
              <w:t>Swissmedic</w:t>
            </w:r>
            <w:proofErr w:type="spellEnd"/>
          </w:p>
        </w:tc>
        <w:tc>
          <w:tcPr>
            <w:tcW w:w="1915" w:type="dxa"/>
          </w:tcPr>
          <w:p w14:paraId="5F9D744C" w14:textId="7E984CC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Dado que la actividad correspondió a una capacitación técnica orientada al fortalecimiento de capacidades regulatorias, no se generaron acuerdos formales entre las partes. No obstante, los conocimientos y buenas prácticas adquiridas constituyen insumos relevantes para la mejora continua de los procesos </w:t>
            </w:r>
            <w:r w:rsidRPr="00EB56CA">
              <w:rPr>
                <w:rFonts w:eastAsia="Times New Roman"/>
                <w:sz w:val="20"/>
                <w:szCs w:val="20"/>
                <w:lang w:val="es-CR" w:eastAsia="es-CR"/>
              </w:rPr>
              <w:t>institucionales,</w:t>
            </w:r>
            <w:r w:rsidRPr="00EB56CA">
              <w:rPr>
                <w:rFonts w:eastAsia="Times New Roman"/>
                <w:sz w:val="20"/>
                <w:szCs w:val="20"/>
                <w:lang w:val="es-CR" w:eastAsia="es-CR"/>
              </w:rPr>
              <w:t xml:space="preserve"> así como para el proceso de fortalecimiento institucional en el marco de la </w:t>
            </w:r>
            <w:proofErr w:type="spellStart"/>
            <w:r w:rsidRPr="00EB56CA">
              <w:rPr>
                <w:rFonts w:eastAsia="Times New Roman"/>
                <w:sz w:val="20"/>
                <w:szCs w:val="20"/>
                <w:lang w:val="es-CR" w:eastAsia="es-CR"/>
              </w:rPr>
              <w:t>GBT</w:t>
            </w:r>
            <w:proofErr w:type="spellEnd"/>
            <w:r w:rsidRPr="00EB56CA">
              <w:rPr>
                <w:rFonts w:eastAsia="Times New Roman"/>
                <w:sz w:val="20"/>
                <w:szCs w:val="20"/>
                <w:lang w:val="es-CR" w:eastAsia="es-CR"/>
              </w:rPr>
              <w:t xml:space="preserve"> de la OMS. </w:t>
            </w:r>
          </w:p>
        </w:tc>
        <w:tc>
          <w:tcPr>
            <w:tcW w:w="1828" w:type="dxa"/>
          </w:tcPr>
          <w:p w14:paraId="36837B13" w14:textId="38D2745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Organización Mundial de la Salud (OMS)</w:t>
            </w:r>
          </w:p>
        </w:tc>
        <w:tc>
          <w:tcPr>
            <w:tcW w:w="1490" w:type="dxa"/>
          </w:tcPr>
          <w:p w14:paraId="6D155E38" w14:textId="7CC56A9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67CC6DC6"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51C5AF53" w14:textId="77777777" w:rsidTr="00594C70">
        <w:trPr>
          <w:trHeight w:val="50"/>
          <w:jc w:val="center"/>
        </w:trPr>
        <w:tc>
          <w:tcPr>
            <w:tcW w:w="1252" w:type="dxa"/>
          </w:tcPr>
          <w:p w14:paraId="088EBAA8" w14:textId="3C9820C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Roselyn Serrano Vargas</w:t>
            </w:r>
          </w:p>
        </w:tc>
        <w:tc>
          <w:tcPr>
            <w:tcW w:w="1530" w:type="dxa"/>
          </w:tcPr>
          <w:p w14:paraId="669B6C5C" w14:textId="332DD24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Servicios de Salud</w:t>
            </w:r>
          </w:p>
        </w:tc>
        <w:tc>
          <w:tcPr>
            <w:tcW w:w="960" w:type="dxa"/>
          </w:tcPr>
          <w:p w14:paraId="73990180" w14:textId="7FE9984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9-jun-26</w:t>
            </w:r>
          </w:p>
        </w:tc>
        <w:tc>
          <w:tcPr>
            <w:tcW w:w="1230" w:type="dxa"/>
          </w:tcPr>
          <w:p w14:paraId="4FDB83E9" w14:textId="3F84DB5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04" w:type="dxa"/>
          </w:tcPr>
          <w:p w14:paraId="33605797" w14:textId="66DFDEA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Francia</w:t>
            </w:r>
          </w:p>
        </w:tc>
        <w:tc>
          <w:tcPr>
            <w:tcW w:w="1812" w:type="dxa"/>
          </w:tcPr>
          <w:p w14:paraId="120CFC72" w14:textId="356D165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Octava reunión del Comité de las Partes en la Convención contra el Tráfico de Órganos Humanos</w:t>
            </w:r>
          </w:p>
        </w:tc>
        <w:tc>
          <w:tcPr>
            <w:tcW w:w="1915" w:type="dxa"/>
          </w:tcPr>
          <w:p w14:paraId="173D6AEC" w14:textId="34FEDC8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Remitir a la Secretaría del Convenio observaciones o propuestas escritas relacionadas con el desarrollo futuro de criterios de reporte previstos en el artículo 22 del Convenio, en caso de que Costa Rica estime pertinente participar en el proceso de consulta. Mantener la participación de Costa Rica en las actividades de seguimiento y monitoreo del Convenio de Santiago de Compostela. Facilitar a la Secretaría del Convenio el contacto de la Fiscalía especializada en Trata de Personas de Costa Rica para apoyar las </w:t>
            </w:r>
            <w:r w:rsidRPr="00EB56CA">
              <w:rPr>
                <w:rFonts w:eastAsia="Times New Roman"/>
                <w:sz w:val="20"/>
                <w:szCs w:val="20"/>
                <w:lang w:val="es-CR" w:eastAsia="es-CR"/>
              </w:rPr>
              <w:lastRenderedPageBreak/>
              <w:t>investigaciones y trabajos que desarrolla la Plataforma Europea sobre Aspectos Éticos, Legales y Psicosociales del Trasplante de Órganos (</w:t>
            </w:r>
            <w:proofErr w:type="spellStart"/>
            <w:r w:rsidRPr="00EB56CA">
              <w:rPr>
                <w:rFonts w:eastAsia="Times New Roman"/>
                <w:sz w:val="20"/>
                <w:szCs w:val="20"/>
                <w:lang w:val="es-CR" w:eastAsia="es-CR"/>
              </w:rPr>
              <w:t>ELPAT</w:t>
            </w:r>
            <w:proofErr w:type="spellEnd"/>
            <w:r w:rsidRPr="00EB56CA">
              <w:rPr>
                <w:rFonts w:eastAsia="Times New Roman"/>
                <w:sz w:val="20"/>
                <w:szCs w:val="20"/>
                <w:lang w:val="es-CR" w:eastAsia="es-CR"/>
              </w:rPr>
              <w:t>), en relación con la identificación y análisis de casos vinculados al tráfico de órganos. Compartir internamente los conocimientos</w:t>
            </w:r>
            <w:r w:rsidRPr="00EB56CA">
              <w:rPr>
                <w:rFonts w:eastAsia="Times New Roman"/>
                <w:sz w:val="20"/>
                <w:szCs w:val="20"/>
                <w:lang w:val="es-CR" w:eastAsia="es-CR"/>
              </w:rPr>
              <w:br/>
              <w:t>adquiridos durante la reunión con funcionarios vinculados a la donación, trasplante y funcionarios de las regiones y áreas que participan en comisión de tráfico ilícito de personas.</w:t>
            </w:r>
          </w:p>
        </w:tc>
        <w:tc>
          <w:tcPr>
            <w:tcW w:w="1828" w:type="dxa"/>
          </w:tcPr>
          <w:p w14:paraId="2A3B9A7B" w14:textId="305DEC9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Consejo de Europa</w:t>
            </w:r>
          </w:p>
        </w:tc>
        <w:tc>
          <w:tcPr>
            <w:tcW w:w="1490" w:type="dxa"/>
          </w:tcPr>
          <w:p w14:paraId="4BA223BE" w14:textId="1E4B6C9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26421FAB"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03CCB52B" w14:textId="77777777" w:rsidTr="00594C70">
        <w:trPr>
          <w:trHeight w:val="50"/>
          <w:jc w:val="center"/>
        </w:trPr>
        <w:tc>
          <w:tcPr>
            <w:tcW w:w="1252" w:type="dxa"/>
          </w:tcPr>
          <w:p w14:paraId="27E3D294" w14:textId="4E92057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Jennyffer González Luna</w:t>
            </w:r>
          </w:p>
        </w:tc>
        <w:tc>
          <w:tcPr>
            <w:tcW w:w="1530" w:type="dxa"/>
          </w:tcPr>
          <w:p w14:paraId="6A123FEB" w14:textId="52E7B46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Vigilancia de la Salud</w:t>
            </w:r>
          </w:p>
        </w:tc>
        <w:tc>
          <w:tcPr>
            <w:tcW w:w="960" w:type="dxa"/>
          </w:tcPr>
          <w:p w14:paraId="592B1780" w14:textId="1E0123B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30" w:type="dxa"/>
          </w:tcPr>
          <w:p w14:paraId="65317060" w14:textId="2CC4223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11-jun-26</w:t>
            </w:r>
          </w:p>
        </w:tc>
        <w:tc>
          <w:tcPr>
            <w:tcW w:w="1204" w:type="dxa"/>
          </w:tcPr>
          <w:p w14:paraId="34B0FBC7" w14:textId="7B6044D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Dominicana </w:t>
            </w:r>
          </w:p>
        </w:tc>
        <w:tc>
          <w:tcPr>
            <w:tcW w:w="1812" w:type="dxa"/>
          </w:tcPr>
          <w:p w14:paraId="04B7C029" w14:textId="373D7E7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Encuentro regional de aprendizaje para </w:t>
            </w:r>
            <w:r w:rsidRPr="00EB56CA">
              <w:rPr>
                <w:rFonts w:eastAsia="Times New Roman"/>
                <w:sz w:val="20"/>
                <w:szCs w:val="20"/>
                <w:lang w:val="es-CR" w:eastAsia="es-CR"/>
              </w:rPr>
              <w:lastRenderedPageBreak/>
              <w:t>la eliminación de la malaria</w:t>
            </w:r>
          </w:p>
        </w:tc>
        <w:tc>
          <w:tcPr>
            <w:tcW w:w="1915" w:type="dxa"/>
          </w:tcPr>
          <w:p w14:paraId="1853A795" w14:textId="4D29620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Elaboración de un informe regional de resultados de la IREM. Elaboración </w:t>
            </w:r>
            <w:r w:rsidRPr="00EB56CA">
              <w:rPr>
                <w:rFonts w:eastAsia="Times New Roman"/>
                <w:sz w:val="20"/>
                <w:szCs w:val="20"/>
                <w:lang w:val="es-CR" w:eastAsia="es-CR"/>
              </w:rPr>
              <w:lastRenderedPageBreak/>
              <w:t>de un documento de lecciones aprendidas que recopile las mejores prácticas, las innovaciones y las recomendaciones de los nueve países participantes.</w:t>
            </w:r>
          </w:p>
        </w:tc>
        <w:tc>
          <w:tcPr>
            <w:tcW w:w="1828" w:type="dxa"/>
          </w:tcPr>
          <w:p w14:paraId="5C50CBEE" w14:textId="47A2E60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Banco Interamericano de Desarrollo (BID)</w:t>
            </w:r>
          </w:p>
        </w:tc>
        <w:tc>
          <w:tcPr>
            <w:tcW w:w="1490" w:type="dxa"/>
          </w:tcPr>
          <w:p w14:paraId="22AC4A45" w14:textId="4F60B1C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46AA069E"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211341AA" w14:textId="77777777" w:rsidTr="00594C70">
        <w:trPr>
          <w:trHeight w:val="50"/>
          <w:jc w:val="center"/>
        </w:trPr>
        <w:tc>
          <w:tcPr>
            <w:tcW w:w="1252" w:type="dxa"/>
          </w:tcPr>
          <w:p w14:paraId="5F4ED6F6" w14:textId="6EA7EB6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Rodrigo Marín Rodríguez</w:t>
            </w:r>
          </w:p>
        </w:tc>
        <w:tc>
          <w:tcPr>
            <w:tcW w:w="1530" w:type="dxa"/>
          </w:tcPr>
          <w:p w14:paraId="6E9978E0" w14:textId="3AFDBCE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Vigilancia de la Salud</w:t>
            </w:r>
          </w:p>
        </w:tc>
        <w:tc>
          <w:tcPr>
            <w:tcW w:w="960" w:type="dxa"/>
          </w:tcPr>
          <w:p w14:paraId="10BF1D98" w14:textId="3344F40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30" w:type="dxa"/>
          </w:tcPr>
          <w:p w14:paraId="0EDEF935" w14:textId="7751E7D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11-jun-26</w:t>
            </w:r>
          </w:p>
        </w:tc>
        <w:tc>
          <w:tcPr>
            <w:tcW w:w="1204" w:type="dxa"/>
          </w:tcPr>
          <w:p w14:paraId="1B0B2772" w14:textId="1C38DBC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Dominicana </w:t>
            </w:r>
          </w:p>
        </w:tc>
        <w:tc>
          <w:tcPr>
            <w:tcW w:w="1812" w:type="dxa"/>
          </w:tcPr>
          <w:p w14:paraId="15F4F4F1" w14:textId="4C54610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Encuentro regional de aprendizaje para la eliminación de la malaria</w:t>
            </w:r>
          </w:p>
        </w:tc>
        <w:tc>
          <w:tcPr>
            <w:tcW w:w="1915" w:type="dxa"/>
          </w:tcPr>
          <w:p w14:paraId="716581B0" w14:textId="5C1BD79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Elaboración de un informe regional de resultados de la IREM. Elaboración de un documento de lecciones aprendidas que recopile las mejores prácticas, las innovaciones y las recomendaciones de los nueve países participantes. </w:t>
            </w:r>
          </w:p>
        </w:tc>
        <w:tc>
          <w:tcPr>
            <w:tcW w:w="1828" w:type="dxa"/>
          </w:tcPr>
          <w:p w14:paraId="5E2D295B" w14:textId="332A613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Banco Interamericano de Desarrollo (BID)</w:t>
            </w:r>
          </w:p>
        </w:tc>
        <w:tc>
          <w:tcPr>
            <w:tcW w:w="1490" w:type="dxa"/>
          </w:tcPr>
          <w:p w14:paraId="059881F9" w14:textId="7BE179D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46BECEE0"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4762F637" w14:textId="77777777" w:rsidTr="00EB56CA">
        <w:trPr>
          <w:trHeight w:val="50"/>
          <w:jc w:val="center"/>
        </w:trPr>
        <w:tc>
          <w:tcPr>
            <w:tcW w:w="1252" w:type="dxa"/>
          </w:tcPr>
          <w:p w14:paraId="7ACAEBE0" w14:textId="140CF42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Hazel Herra Bogantes</w:t>
            </w:r>
          </w:p>
        </w:tc>
        <w:tc>
          <w:tcPr>
            <w:tcW w:w="1530" w:type="dxa"/>
          </w:tcPr>
          <w:p w14:paraId="55C7D767" w14:textId="4FFFEA3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Huetar Norte</w:t>
            </w:r>
          </w:p>
        </w:tc>
        <w:tc>
          <w:tcPr>
            <w:tcW w:w="960" w:type="dxa"/>
          </w:tcPr>
          <w:p w14:paraId="6E9F5AF7" w14:textId="27C91C9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30" w:type="dxa"/>
          </w:tcPr>
          <w:p w14:paraId="727199AF" w14:textId="695ABA2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11-jun-26</w:t>
            </w:r>
          </w:p>
        </w:tc>
        <w:tc>
          <w:tcPr>
            <w:tcW w:w="1204" w:type="dxa"/>
          </w:tcPr>
          <w:p w14:paraId="0B21B468" w14:textId="58A52AB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Dominicana </w:t>
            </w:r>
          </w:p>
        </w:tc>
        <w:tc>
          <w:tcPr>
            <w:tcW w:w="1812" w:type="dxa"/>
          </w:tcPr>
          <w:p w14:paraId="2712A790" w14:textId="5364643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Encuentro regional de aprendizaje para la eliminación de la malaria</w:t>
            </w:r>
          </w:p>
        </w:tc>
        <w:tc>
          <w:tcPr>
            <w:tcW w:w="1915" w:type="dxa"/>
            <w:vAlign w:val="center"/>
          </w:tcPr>
          <w:p w14:paraId="11B3187B" w14:textId="6BFCE1A6" w:rsidR="00EB56CA" w:rsidRPr="00EB56CA" w:rsidRDefault="00EB56CA" w:rsidP="00EB56CA">
            <w:pPr>
              <w:spacing w:line="240" w:lineRule="auto"/>
              <w:jc w:val="center"/>
              <w:rPr>
                <w:rFonts w:eastAsia="Times New Roman"/>
                <w:i/>
                <w:iCs/>
                <w:sz w:val="20"/>
                <w:szCs w:val="20"/>
                <w:lang w:val="es-CR" w:eastAsia="es-CR"/>
              </w:rPr>
            </w:pPr>
            <w:r w:rsidRPr="00EB56CA">
              <w:rPr>
                <w:rFonts w:eastAsia="Times New Roman"/>
                <w:i/>
                <w:iCs/>
                <w:sz w:val="20"/>
                <w:szCs w:val="20"/>
                <w:lang w:val="es-CR" w:eastAsia="es-CR"/>
              </w:rPr>
              <w:t>Informe pendiente.</w:t>
            </w:r>
          </w:p>
        </w:tc>
        <w:tc>
          <w:tcPr>
            <w:tcW w:w="1828" w:type="dxa"/>
          </w:tcPr>
          <w:p w14:paraId="1EBEE002" w14:textId="3702BFF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Banco Interamericano de Desarrollo (BID)</w:t>
            </w:r>
          </w:p>
        </w:tc>
        <w:tc>
          <w:tcPr>
            <w:tcW w:w="1490" w:type="dxa"/>
          </w:tcPr>
          <w:p w14:paraId="1BA45E7B" w14:textId="7F8AF37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0BC95F8A"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1DFCB1C" w14:textId="77777777" w:rsidTr="00594C70">
        <w:trPr>
          <w:trHeight w:val="50"/>
          <w:jc w:val="center"/>
        </w:trPr>
        <w:tc>
          <w:tcPr>
            <w:tcW w:w="1252" w:type="dxa"/>
          </w:tcPr>
          <w:p w14:paraId="3A8C87F4" w14:textId="10AB17C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Fiorella Fait Wong</w:t>
            </w:r>
          </w:p>
        </w:tc>
        <w:tc>
          <w:tcPr>
            <w:tcW w:w="1530" w:type="dxa"/>
          </w:tcPr>
          <w:p w14:paraId="3C486BAA" w14:textId="0EBC681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Área Rectora de Salud Oreamuno</w:t>
            </w:r>
          </w:p>
        </w:tc>
        <w:tc>
          <w:tcPr>
            <w:tcW w:w="960" w:type="dxa"/>
          </w:tcPr>
          <w:p w14:paraId="4157324C" w14:textId="6CF20DA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30" w:type="dxa"/>
          </w:tcPr>
          <w:p w14:paraId="493169C5" w14:textId="1D037F1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12-jun-26</w:t>
            </w:r>
          </w:p>
        </w:tc>
        <w:tc>
          <w:tcPr>
            <w:tcW w:w="1204" w:type="dxa"/>
          </w:tcPr>
          <w:p w14:paraId="07B39472" w14:textId="2A2F55B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El Salvador</w:t>
            </w:r>
          </w:p>
        </w:tc>
        <w:tc>
          <w:tcPr>
            <w:tcW w:w="1812" w:type="dxa"/>
          </w:tcPr>
          <w:p w14:paraId="0F527FC8" w14:textId="74F84EC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Taller Regional Presencial de Tutores del </w:t>
            </w:r>
            <w:proofErr w:type="spellStart"/>
            <w:r w:rsidRPr="00EB56CA">
              <w:rPr>
                <w:rFonts w:eastAsia="Times New Roman"/>
                <w:sz w:val="20"/>
                <w:szCs w:val="20"/>
                <w:lang w:val="es-CR" w:eastAsia="es-CR"/>
              </w:rPr>
              <w:t>FETP</w:t>
            </w:r>
            <w:proofErr w:type="spellEnd"/>
            <w:r w:rsidRPr="00EB56CA">
              <w:rPr>
                <w:rFonts w:eastAsia="Times New Roman"/>
                <w:sz w:val="20"/>
                <w:szCs w:val="20"/>
                <w:lang w:val="es-CR" w:eastAsia="es-CR"/>
              </w:rPr>
              <w:t xml:space="preserve"> de la Red Centroamericana de Epidemiología de Campo (</w:t>
            </w:r>
            <w:proofErr w:type="spellStart"/>
            <w:r w:rsidRPr="00EB56CA">
              <w:rPr>
                <w:rFonts w:eastAsia="Times New Roman"/>
                <w:sz w:val="20"/>
                <w:szCs w:val="20"/>
                <w:lang w:val="es-CR" w:eastAsia="es-CR"/>
              </w:rPr>
              <w:t>RedCEC</w:t>
            </w:r>
            <w:proofErr w:type="spellEnd"/>
            <w:r w:rsidRPr="00EB56CA">
              <w:rPr>
                <w:rFonts w:eastAsia="Times New Roman"/>
                <w:sz w:val="20"/>
                <w:szCs w:val="20"/>
                <w:lang w:val="es-CR" w:eastAsia="es-CR"/>
              </w:rPr>
              <w:t>)</w:t>
            </w:r>
          </w:p>
        </w:tc>
        <w:tc>
          <w:tcPr>
            <w:tcW w:w="1915" w:type="dxa"/>
          </w:tcPr>
          <w:p w14:paraId="6AFCCF21" w14:textId="74F4224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7FA31D05" w14:textId="54D4F2B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Secretaría Ejecutiva del Consejo de Ministros de Salud de Centroamérica y República Dominicana (SE-COMISCA)</w:t>
            </w:r>
          </w:p>
        </w:tc>
        <w:tc>
          <w:tcPr>
            <w:tcW w:w="1490" w:type="dxa"/>
          </w:tcPr>
          <w:p w14:paraId="2F9D48B8" w14:textId="08700B0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3FFB9715"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1B3C0DC" w14:textId="77777777" w:rsidTr="00910863">
        <w:trPr>
          <w:trHeight w:val="50"/>
          <w:jc w:val="center"/>
        </w:trPr>
        <w:tc>
          <w:tcPr>
            <w:tcW w:w="1252" w:type="dxa"/>
          </w:tcPr>
          <w:p w14:paraId="717FB9C6" w14:textId="4D630BD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Franchina Murillo Picado </w:t>
            </w:r>
          </w:p>
        </w:tc>
        <w:tc>
          <w:tcPr>
            <w:tcW w:w="1530" w:type="dxa"/>
          </w:tcPr>
          <w:p w14:paraId="4C06E182" w14:textId="6BCB09B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Vigilancia de la Salud</w:t>
            </w:r>
          </w:p>
        </w:tc>
        <w:tc>
          <w:tcPr>
            <w:tcW w:w="960" w:type="dxa"/>
          </w:tcPr>
          <w:p w14:paraId="3F060661" w14:textId="6740383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30" w:type="dxa"/>
          </w:tcPr>
          <w:p w14:paraId="652F7C05" w14:textId="25B9CA0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12-jun-26</w:t>
            </w:r>
          </w:p>
        </w:tc>
        <w:tc>
          <w:tcPr>
            <w:tcW w:w="1204" w:type="dxa"/>
          </w:tcPr>
          <w:p w14:paraId="69B5C247" w14:textId="6388814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El Salvador</w:t>
            </w:r>
          </w:p>
        </w:tc>
        <w:tc>
          <w:tcPr>
            <w:tcW w:w="1812" w:type="dxa"/>
          </w:tcPr>
          <w:p w14:paraId="7CEAFE4C" w14:textId="06D3671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Taller Regional Presencial de Tutores del </w:t>
            </w:r>
            <w:proofErr w:type="spellStart"/>
            <w:r w:rsidRPr="00EB56CA">
              <w:rPr>
                <w:rFonts w:eastAsia="Times New Roman"/>
                <w:sz w:val="20"/>
                <w:szCs w:val="20"/>
                <w:lang w:val="es-CR" w:eastAsia="es-CR"/>
              </w:rPr>
              <w:t>FETP</w:t>
            </w:r>
            <w:proofErr w:type="spellEnd"/>
            <w:r w:rsidRPr="00EB56CA">
              <w:rPr>
                <w:rFonts w:eastAsia="Times New Roman"/>
                <w:sz w:val="20"/>
                <w:szCs w:val="20"/>
                <w:lang w:val="es-CR" w:eastAsia="es-CR"/>
              </w:rPr>
              <w:t xml:space="preserve"> de la Red Centroamericana de Epidemiología de Campo (</w:t>
            </w:r>
            <w:proofErr w:type="spellStart"/>
            <w:r w:rsidRPr="00EB56CA">
              <w:rPr>
                <w:rFonts w:eastAsia="Times New Roman"/>
                <w:sz w:val="20"/>
                <w:szCs w:val="20"/>
                <w:lang w:val="es-CR" w:eastAsia="es-CR"/>
              </w:rPr>
              <w:t>RedCEC</w:t>
            </w:r>
            <w:proofErr w:type="spellEnd"/>
            <w:r w:rsidRPr="00EB56CA">
              <w:rPr>
                <w:rFonts w:eastAsia="Times New Roman"/>
                <w:sz w:val="20"/>
                <w:szCs w:val="20"/>
                <w:lang w:val="es-CR" w:eastAsia="es-CR"/>
              </w:rPr>
              <w:t>)</w:t>
            </w:r>
          </w:p>
        </w:tc>
        <w:tc>
          <w:tcPr>
            <w:tcW w:w="1915" w:type="dxa"/>
          </w:tcPr>
          <w:p w14:paraId="5E2AA803" w14:textId="7727AED4" w:rsidR="00EB56CA" w:rsidRPr="00D45095" w:rsidRDefault="00EB56CA" w:rsidP="00EB56CA">
            <w:pPr>
              <w:spacing w:line="240" w:lineRule="auto"/>
              <w:jc w:val="center"/>
              <w:rPr>
                <w:rFonts w:eastAsia="Times New Roman"/>
                <w:i/>
                <w:iCs/>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257C656A" w14:textId="486AFF6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Secretaría Ejecutiva del Consejo de Ministros de Salud de Centroamérica y República Dominicana (SE-COMISCA)</w:t>
            </w:r>
          </w:p>
        </w:tc>
        <w:tc>
          <w:tcPr>
            <w:tcW w:w="1490" w:type="dxa"/>
          </w:tcPr>
          <w:p w14:paraId="304B63AF" w14:textId="4BD55DD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573BF1B0"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26CE9767" w14:textId="77777777" w:rsidTr="00910863">
        <w:trPr>
          <w:trHeight w:val="50"/>
          <w:jc w:val="center"/>
        </w:trPr>
        <w:tc>
          <w:tcPr>
            <w:tcW w:w="1252" w:type="dxa"/>
          </w:tcPr>
          <w:p w14:paraId="57FA7C2E" w14:textId="537E2D9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Esteban Mora Coto </w:t>
            </w:r>
          </w:p>
        </w:tc>
        <w:tc>
          <w:tcPr>
            <w:tcW w:w="1530" w:type="dxa"/>
          </w:tcPr>
          <w:p w14:paraId="3F7ADCC2" w14:textId="2AA7D8F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Área Rectora de Salud Los Chiles</w:t>
            </w:r>
          </w:p>
        </w:tc>
        <w:tc>
          <w:tcPr>
            <w:tcW w:w="960" w:type="dxa"/>
          </w:tcPr>
          <w:p w14:paraId="6773D577" w14:textId="043A5C4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10-jun-26</w:t>
            </w:r>
          </w:p>
        </w:tc>
        <w:tc>
          <w:tcPr>
            <w:tcW w:w="1230" w:type="dxa"/>
          </w:tcPr>
          <w:p w14:paraId="61D13203" w14:textId="4DF321F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12-jun-26</w:t>
            </w:r>
          </w:p>
        </w:tc>
        <w:tc>
          <w:tcPr>
            <w:tcW w:w="1204" w:type="dxa"/>
          </w:tcPr>
          <w:p w14:paraId="317879A1" w14:textId="036B5C4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El Salvador</w:t>
            </w:r>
          </w:p>
        </w:tc>
        <w:tc>
          <w:tcPr>
            <w:tcW w:w="1812" w:type="dxa"/>
          </w:tcPr>
          <w:p w14:paraId="75DED579" w14:textId="48BFA4D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Taller Regional Presencial de Tutores del </w:t>
            </w:r>
            <w:proofErr w:type="spellStart"/>
            <w:r w:rsidRPr="00EB56CA">
              <w:rPr>
                <w:rFonts w:eastAsia="Times New Roman"/>
                <w:sz w:val="20"/>
                <w:szCs w:val="20"/>
                <w:lang w:val="es-CR" w:eastAsia="es-CR"/>
              </w:rPr>
              <w:t>FETP</w:t>
            </w:r>
            <w:proofErr w:type="spellEnd"/>
            <w:r w:rsidRPr="00EB56CA">
              <w:rPr>
                <w:rFonts w:eastAsia="Times New Roman"/>
                <w:sz w:val="20"/>
                <w:szCs w:val="20"/>
                <w:lang w:val="es-CR" w:eastAsia="es-CR"/>
              </w:rPr>
              <w:t xml:space="preserve"> de la Red Centroamericana de Epidemiología de Campo (</w:t>
            </w:r>
            <w:proofErr w:type="spellStart"/>
            <w:r w:rsidRPr="00EB56CA">
              <w:rPr>
                <w:rFonts w:eastAsia="Times New Roman"/>
                <w:sz w:val="20"/>
                <w:szCs w:val="20"/>
                <w:lang w:val="es-CR" w:eastAsia="es-CR"/>
              </w:rPr>
              <w:t>RedCEC</w:t>
            </w:r>
            <w:proofErr w:type="spellEnd"/>
            <w:r w:rsidRPr="00EB56CA">
              <w:rPr>
                <w:rFonts w:eastAsia="Times New Roman"/>
                <w:sz w:val="20"/>
                <w:szCs w:val="20"/>
                <w:lang w:val="es-CR" w:eastAsia="es-CR"/>
              </w:rPr>
              <w:t>)</w:t>
            </w:r>
          </w:p>
        </w:tc>
        <w:tc>
          <w:tcPr>
            <w:tcW w:w="1915" w:type="dxa"/>
          </w:tcPr>
          <w:p w14:paraId="00B087CF" w14:textId="7B23F43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0F56C5A0" w14:textId="2D5DDF7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Secretaría Ejecutiva del Consejo de Ministros de Salud de Centroamérica y República Dominicana (SE-COMISCA)</w:t>
            </w:r>
          </w:p>
        </w:tc>
        <w:tc>
          <w:tcPr>
            <w:tcW w:w="1490" w:type="dxa"/>
          </w:tcPr>
          <w:p w14:paraId="0EE85229" w14:textId="0551C1B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01A4B55E"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0E24D1E1" w14:textId="77777777" w:rsidTr="00910863">
        <w:trPr>
          <w:trHeight w:val="50"/>
          <w:jc w:val="center"/>
        </w:trPr>
        <w:tc>
          <w:tcPr>
            <w:tcW w:w="1252" w:type="dxa"/>
          </w:tcPr>
          <w:p w14:paraId="16280545" w14:textId="0C1F98A5"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Flor Murillo Rodríguez</w:t>
            </w:r>
          </w:p>
        </w:tc>
        <w:tc>
          <w:tcPr>
            <w:tcW w:w="1530" w:type="dxa"/>
          </w:tcPr>
          <w:p w14:paraId="185EE9C8" w14:textId="332F97EE"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de Planificación </w:t>
            </w:r>
          </w:p>
        </w:tc>
        <w:tc>
          <w:tcPr>
            <w:tcW w:w="960" w:type="dxa"/>
          </w:tcPr>
          <w:p w14:paraId="0C3B5C99" w14:textId="43E462D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16-jun-26</w:t>
            </w:r>
          </w:p>
        </w:tc>
        <w:tc>
          <w:tcPr>
            <w:tcW w:w="1230" w:type="dxa"/>
          </w:tcPr>
          <w:p w14:paraId="5C5C233C" w14:textId="2BAFF891"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18-jun-26</w:t>
            </w:r>
          </w:p>
        </w:tc>
        <w:tc>
          <w:tcPr>
            <w:tcW w:w="1204" w:type="dxa"/>
          </w:tcPr>
          <w:p w14:paraId="55C0A3D7" w14:textId="18DFAA3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España</w:t>
            </w:r>
          </w:p>
        </w:tc>
        <w:tc>
          <w:tcPr>
            <w:tcW w:w="1812" w:type="dxa"/>
          </w:tcPr>
          <w:p w14:paraId="5A5A5049" w14:textId="5790F9A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Congreso Mundial de Ciudades Amigables con las Personas Mayores</w:t>
            </w:r>
          </w:p>
        </w:tc>
        <w:tc>
          <w:tcPr>
            <w:tcW w:w="1915" w:type="dxa"/>
          </w:tcPr>
          <w:p w14:paraId="55C6F0E9" w14:textId="17A9E3AA"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Seguir todas las funciones que corresponde a País Afiliado. Continuar el proceso de afiliación de los demás municipios. Continuar el </w:t>
            </w:r>
            <w:r w:rsidRPr="00EB56CA">
              <w:rPr>
                <w:rFonts w:eastAsia="Times New Roman"/>
                <w:sz w:val="20"/>
                <w:szCs w:val="20"/>
                <w:lang w:val="es-CR" w:eastAsia="es-CR"/>
              </w:rPr>
              <w:lastRenderedPageBreak/>
              <w:t xml:space="preserve">proceso de mejora </w:t>
            </w:r>
            <w:r w:rsidRPr="00EB56CA">
              <w:rPr>
                <w:rFonts w:eastAsia="Times New Roman"/>
                <w:sz w:val="20"/>
                <w:szCs w:val="20"/>
                <w:lang w:val="es-CR" w:eastAsia="es-CR"/>
              </w:rPr>
              <w:t>continua</w:t>
            </w:r>
            <w:r w:rsidRPr="00EB56CA">
              <w:rPr>
                <w:rFonts w:eastAsia="Times New Roman"/>
                <w:sz w:val="20"/>
                <w:szCs w:val="20"/>
                <w:lang w:val="es-CR" w:eastAsia="es-CR"/>
              </w:rPr>
              <w:t xml:space="preserve"> ( los</w:t>
            </w:r>
            <w:r>
              <w:rPr>
                <w:rFonts w:eastAsia="Times New Roman"/>
                <w:sz w:val="20"/>
                <w:szCs w:val="20"/>
                <w:lang w:val="es-CR" w:eastAsia="es-CR"/>
              </w:rPr>
              <w:t xml:space="preserve"> </w:t>
            </w:r>
            <w:r w:rsidRPr="00EB56CA">
              <w:rPr>
                <w:rFonts w:eastAsia="Times New Roman"/>
                <w:sz w:val="20"/>
                <w:szCs w:val="20"/>
                <w:lang w:val="es-CR" w:eastAsia="es-CR"/>
              </w:rPr>
              <w:t>últimos miércoles del mes) a las Áreas Rectoras de Salud y Gobiernos Locales. Incentivar el envejecimiento saludable desde el curso de vida para tener poblaciones más</w:t>
            </w:r>
            <w:r w:rsidRPr="00EB56CA">
              <w:rPr>
                <w:rFonts w:eastAsia="Times New Roman"/>
                <w:sz w:val="20"/>
                <w:szCs w:val="20"/>
                <w:lang w:val="es-CR" w:eastAsia="es-CR"/>
              </w:rPr>
              <w:br/>
              <w:t xml:space="preserve">funcionales y con una mayor esperanza de vida saludable. Divulgar las buenas prácticas que se conocieron en la actividad. </w:t>
            </w:r>
          </w:p>
        </w:tc>
        <w:tc>
          <w:tcPr>
            <w:tcW w:w="1828" w:type="dxa"/>
          </w:tcPr>
          <w:p w14:paraId="2F5954E7" w14:textId="77777777" w:rsid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Instituto de Mayores y Servicios Sociales (IMSERSO) de España </w:t>
            </w:r>
          </w:p>
          <w:p w14:paraId="4C15062B" w14:textId="742E4D53"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Organización Mundial de la Salud (OMS)</w:t>
            </w:r>
          </w:p>
        </w:tc>
        <w:tc>
          <w:tcPr>
            <w:tcW w:w="1490" w:type="dxa"/>
          </w:tcPr>
          <w:p w14:paraId="5D9A6C32" w14:textId="525F2E19"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0835AC6F"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1346BC8E" w14:textId="77777777" w:rsidTr="00910863">
        <w:trPr>
          <w:trHeight w:val="50"/>
          <w:jc w:val="center"/>
        </w:trPr>
        <w:tc>
          <w:tcPr>
            <w:tcW w:w="1252" w:type="dxa"/>
          </w:tcPr>
          <w:p w14:paraId="1CF3B594" w14:textId="287860FB"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Andrés Salazar Fonseca</w:t>
            </w:r>
          </w:p>
        </w:tc>
        <w:tc>
          <w:tcPr>
            <w:tcW w:w="1530" w:type="dxa"/>
          </w:tcPr>
          <w:p w14:paraId="4C89B679" w14:textId="2D2D463D"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Central Norte</w:t>
            </w:r>
          </w:p>
        </w:tc>
        <w:tc>
          <w:tcPr>
            <w:tcW w:w="960" w:type="dxa"/>
          </w:tcPr>
          <w:p w14:paraId="5A2A1347" w14:textId="3CEC6FD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16-jun-26</w:t>
            </w:r>
          </w:p>
        </w:tc>
        <w:tc>
          <w:tcPr>
            <w:tcW w:w="1230" w:type="dxa"/>
          </w:tcPr>
          <w:p w14:paraId="1B326409" w14:textId="558AA713"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18-jun-26</w:t>
            </w:r>
          </w:p>
        </w:tc>
        <w:tc>
          <w:tcPr>
            <w:tcW w:w="1204" w:type="dxa"/>
          </w:tcPr>
          <w:p w14:paraId="77346D8E" w14:textId="4338714C"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España</w:t>
            </w:r>
          </w:p>
        </w:tc>
        <w:tc>
          <w:tcPr>
            <w:tcW w:w="1812" w:type="dxa"/>
          </w:tcPr>
          <w:p w14:paraId="315BDAF2" w14:textId="675F51F0"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Congreso Mundial de Ciudades Amigables con las Personas Mayores</w:t>
            </w:r>
          </w:p>
        </w:tc>
        <w:tc>
          <w:tcPr>
            <w:tcW w:w="1915" w:type="dxa"/>
          </w:tcPr>
          <w:p w14:paraId="2BEB4138" w14:textId="1F249273"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 promueve que Costa Rica continue aplicando acciones sobre la promoción de derechos de las personas mayores en el contexto inclusivo de las Ciudades Amigables con las personas mayores, esto mediante la </w:t>
            </w:r>
            <w:r w:rsidRPr="00EB56CA">
              <w:rPr>
                <w:rFonts w:eastAsia="Times New Roman"/>
                <w:sz w:val="20"/>
                <w:szCs w:val="20"/>
                <w:lang w:val="es-CR" w:eastAsia="es-CR"/>
              </w:rPr>
              <w:lastRenderedPageBreak/>
              <w:t>entrega del certificado de Costa Rica país amigable con las personas mayores, otorgado por la OMS y OPS. Se posiciona al país como un gobierno innovador y consecuente en la línea de las acciones que la OMS</w:t>
            </w:r>
            <w:r>
              <w:rPr>
                <w:rFonts w:eastAsia="Times New Roman"/>
                <w:sz w:val="20"/>
                <w:szCs w:val="20"/>
                <w:lang w:val="es-CR" w:eastAsia="es-CR"/>
              </w:rPr>
              <w:t>/</w:t>
            </w:r>
            <w:r w:rsidRPr="00EB56CA">
              <w:rPr>
                <w:rFonts w:eastAsia="Times New Roman"/>
                <w:sz w:val="20"/>
                <w:szCs w:val="20"/>
                <w:lang w:val="es-CR" w:eastAsia="es-CR"/>
              </w:rPr>
              <w:t>OPS establecieron como la década del envejecimiento activo y desde una perspectiva de derechos humanos.</w:t>
            </w:r>
          </w:p>
        </w:tc>
        <w:tc>
          <w:tcPr>
            <w:tcW w:w="1828" w:type="dxa"/>
          </w:tcPr>
          <w:p w14:paraId="7B31C9DF" w14:textId="37EB453C"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Ministerio de Salud de Costa Rica </w:t>
            </w:r>
          </w:p>
        </w:tc>
        <w:tc>
          <w:tcPr>
            <w:tcW w:w="1490" w:type="dxa"/>
          </w:tcPr>
          <w:p w14:paraId="401A699F" w14:textId="6C91C164" w:rsidR="00EB56CA" w:rsidRPr="00EB56CA" w:rsidRDefault="00EB56CA" w:rsidP="00EB56CA">
            <w:pPr>
              <w:spacing w:line="240" w:lineRule="auto"/>
              <w:jc w:val="right"/>
              <w:rPr>
                <w:rFonts w:eastAsia="Times New Roman"/>
                <w:sz w:val="20"/>
                <w:szCs w:val="20"/>
                <w:lang w:val="es-CR" w:eastAsia="es-CR"/>
              </w:rPr>
            </w:pPr>
            <w:r w:rsidRPr="00EB56CA">
              <w:rPr>
                <w:rFonts w:eastAsia="Times New Roman"/>
                <w:sz w:val="20"/>
                <w:szCs w:val="20"/>
                <w:lang w:val="es-CR" w:eastAsia="es-CR"/>
              </w:rPr>
              <w:t xml:space="preserve">₡1 048 387,85 </w:t>
            </w:r>
          </w:p>
        </w:tc>
        <w:tc>
          <w:tcPr>
            <w:tcW w:w="1589" w:type="dxa"/>
          </w:tcPr>
          <w:p w14:paraId="5052CB1B"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0A19768" w14:textId="77777777" w:rsidTr="00910863">
        <w:trPr>
          <w:trHeight w:val="50"/>
          <w:jc w:val="center"/>
        </w:trPr>
        <w:tc>
          <w:tcPr>
            <w:tcW w:w="1252" w:type="dxa"/>
          </w:tcPr>
          <w:p w14:paraId="29C4A538" w14:textId="42C87C7C"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Henry Gutiérrez Fariñas</w:t>
            </w:r>
          </w:p>
        </w:tc>
        <w:tc>
          <w:tcPr>
            <w:tcW w:w="1530" w:type="dxa"/>
          </w:tcPr>
          <w:p w14:paraId="7803193A" w14:textId="205C781E"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Despacho Ministerial</w:t>
            </w:r>
          </w:p>
        </w:tc>
        <w:tc>
          <w:tcPr>
            <w:tcW w:w="960" w:type="dxa"/>
          </w:tcPr>
          <w:p w14:paraId="29EBB5A4" w14:textId="1678CCED"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22-jun-26</w:t>
            </w:r>
          </w:p>
        </w:tc>
        <w:tc>
          <w:tcPr>
            <w:tcW w:w="1230" w:type="dxa"/>
          </w:tcPr>
          <w:p w14:paraId="52A419E3" w14:textId="335A5227"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23-jun-26</w:t>
            </w:r>
          </w:p>
        </w:tc>
        <w:tc>
          <w:tcPr>
            <w:tcW w:w="1204" w:type="dxa"/>
          </w:tcPr>
          <w:p w14:paraId="7C81F3FA" w14:textId="2B0E6288"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Francia</w:t>
            </w:r>
          </w:p>
        </w:tc>
        <w:tc>
          <w:tcPr>
            <w:tcW w:w="1812" w:type="dxa"/>
          </w:tcPr>
          <w:p w14:paraId="2079A7D9" w14:textId="61E6D65E"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39° sesión del Comité de Salud de la Organización para la Cooperación y Desarrollo Económico (OCDE)</w:t>
            </w:r>
          </w:p>
        </w:tc>
        <w:tc>
          <w:tcPr>
            <w:tcW w:w="1915" w:type="dxa"/>
          </w:tcPr>
          <w:p w14:paraId="7628E434" w14:textId="6FBAC19E"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Próxima reunión presencial en diciembre de 2026.</w:t>
            </w:r>
          </w:p>
        </w:tc>
        <w:tc>
          <w:tcPr>
            <w:tcW w:w="1828" w:type="dxa"/>
          </w:tcPr>
          <w:p w14:paraId="19C79DD2" w14:textId="6AA2B2B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Ministerio de Salud de Costa Rica </w:t>
            </w:r>
          </w:p>
        </w:tc>
        <w:tc>
          <w:tcPr>
            <w:tcW w:w="1490" w:type="dxa"/>
          </w:tcPr>
          <w:p w14:paraId="19FE4FBE" w14:textId="70019637" w:rsidR="00EB56CA" w:rsidRPr="00EB56CA" w:rsidRDefault="00EB56CA" w:rsidP="00EB56CA">
            <w:pPr>
              <w:spacing w:line="240" w:lineRule="auto"/>
              <w:jc w:val="right"/>
              <w:rPr>
                <w:rFonts w:eastAsia="Times New Roman"/>
                <w:sz w:val="20"/>
                <w:szCs w:val="20"/>
                <w:lang w:val="es-CR" w:eastAsia="es-CR"/>
              </w:rPr>
            </w:pPr>
            <w:r w:rsidRPr="00EB56CA">
              <w:rPr>
                <w:rFonts w:eastAsia="Times New Roman"/>
                <w:sz w:val="20"/>
                <w:szCs w:val="20"/>
                <w:lang w:val="es-CR" w:eastAsia="es-CR"/>
              </w:rPr>
              <w:t xml:space="preserve"> ₡ 805 409,47 </w:t>
            </w:r>
          </w:p>
        </w:tc>
        <w:tc>
          <w:tcPr>
            <w:tcW w:w="1589" w:type="dxa"/>
          </w:tcPr>
          <w:p w14:paraId="4C45E651"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8F4B384" w14:textId="77777777" w:rsidTr="00910863">
        <w:trPr>
          <w:trHeight w:val="50"/>
          <w:jc w:val="center"/>
        </w:trPr>
        <w:tc>
          <w:tcPr>
            <w:tcW w:w="1252" w:type="dxa"/>
          </w:tcPr>
          <w:p w14:paraId="24C8DB41" w14:textId="00615EAC"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Liz Carolina González Hidalgo</w:t>
            </w:r>
          </w:p>
        </w:tc>
        <w:tc>
          <w:tcPr>
            <w:tcW w:w="1530" w:type="dxa"/>
          </w:tcPr>
          <w:p w14:paraId="48901392" w14:textId="32799014"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Área Rectora de Salud Atenas</w:t>
            </w:r>
          </w:p>
        </w:tc>
        <w:tc>
          <w:tcPr>
            <w:tcW w:w="960" w:type="dxa"/>
          </w:tcPr>
          <w:p w14:paraId="5A4BA267" w14:textId="7C990D74"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22-jun-26</w:t>
            </w:r>
          </w:p>
        </w:tc>
        <w:tc>
          <w:tcPr>
            <w:tcW w:w="1230" w:type="dxa"/>
          </w:tcPr>
          <w:p w14:paraId="22A22582" w14:textId="16A62097"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21-jul-26</w:t>
            </w:r>
          </w:p>
        </w:tc>
        <w:tc>
          <w:tcPr>
            <w:tcW w:w="1204" w:type="dxa"/>
          </w:tcPr>
          <w:p w14:paraId="4185A8C5" w14:textId="7E3D07A9"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Japón</w:t>
            </w:r>
            <w:r w:rsidRPr="00EB56CA">
              <w:rPr>
                <w:rFonts w:eastAsia="Times New Roman"/>
                <w:sz w:val="20"/>
                <w:szCs w:val="20"/>
                <w:lang w:val="es-CR" w:eastAsia="es-CR"/>
              </w:rPr>
              <w:br/>
              <w:t>Honduras</w:t>
            </w:r>
          </w:p>
        </w:tc>
        <w:tc>
          <w:tcPr>
            <w:tcW w:w="1812" w:type="dxa"/>
          </w:tcPr>
          <w:p w14:paraId="3FA85E6A" w14:textId="065BD130"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Enfoque de Mejoramiento de Vida con casos concretos: Metodología de extensión para </w:t>
            </w:r>
            <w:r w:rsidRPr="00EB56CA">
              <w:rPr>
                <w:rFonts w:eastAsia="Times New Roman"/>
                <w:sz w:val="20"/>
                <w:szCs w:val="20"/>
                <w:lang w:val="es-CR" w:eastAsia="es-CR"/>
              </w:rPr>
              <w:lastRenderedPageBreak/>
              <w:t>impulsar iniciativas individuales comunitarias en los países</w:t>
            </w:r>
            <w:r w:rsidRPr="00EB56CA">
              <w:rPr>
                <w:rFonts w:eastAsia="Times New Roman"/>
                <w:sz w:val="20"/>
                <w:szCs w:val="20"/>
                <w:lang w:val="es-CR" w:eastAsia="es-CR"/>
              </w:rPr>
              <w:br/>
              <w:t>latinoamericanos</w:t>
            </w:r>
          </w:p>
        </w:tc>
        <w:tc>
          <w:tcPr>
            <w:tcW w:w="1915" w:type="dxa"/>
          </w:tcPr>
          <w:p w14:paraId="393AE1F9" w14:textId="6F7EB81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Elaborar el “Plan de Aplicación del Enfoque de Mejoramiento de Vida” para aplicarlo en el cantón de </w:t>
            </w:r>
            <w:r w:rsidRPr="00EB56CA">
              <w:rPr>
                <w:rFonts w:eastAsia="Times New Roman"/>
                <w:sz w:val="20"/>
                <w:szCs w:val="20"/>
                <w:lang w:val="es-CR" w:eastAsia="es-CR"/>
              </w:rPr>
              <w:lastRenderedPageBreak/>
              <w:t>Atenas. Ejecutar el “Plan de Aplicación del Enfoque de Mejoramiento de Vida” en las comunidades priorizadas del cantón de Atenas. Dar seguimiento al “Plan de Aplicación del Enfoque de Mejoramiento de Vida” en las comunidades priorizadas en tres meses y un año. Realizar reuniones de seguimiento con la líder del curso (</w:t>
            </w:r>
            <w:proofErr w:type="spellStart"/>
            <w:r w:rsidRPr="00EB56CA">
              <w:rPr>
                <w:rFonts w:eastAsia="Times New Roman"/>
                <w:sz w:val="20"/>
                <w:szCs w:val="20"/>
                <w:lang w:val="es-CR" w:eastAsia="es-CR"/>
              </w:rPr>
              <w:t>JICA</w:t>
            </w:r>
            <w:proofErr w:type="spellEnd"/>
            <w:r w:rsidRPr="00EB56CA">
              <w:rPr>
                <w:rFonts w:eastAsia="Times New Roman"/>
                <w:sz w:val="20"/>
                <w:szCs w:val="20"/>
                <w:lang w:val="es-CR" w:eastAsia="es-CR"/>
              </w:rPr>
              <w:t xml:space="preserve">) para realimentación sobre la implementación del plan de Aplicación del Enfoque de Mejoramiento de Vida. Realizar informes sobre la implementación del “Plan de Aplicación del Enfoque de Mejoramiento de Vida” en las </w:t>
            </w:r>
            <w:r w:rsidRPr="00EB56CA">
              <w:rPr>
                <w:rFonts w:eastAsia="Times New Roman"/>
                <w:sz w:val="20"/>
                <w:szCs w:val="20"/>
                <w:lang w:val="es-CR" w:eastAsia="es-CR"/>
              </w:rPr>
              <w:lastRenderedPageBreak/>
              <w:t xml:space="preserve">comunidades priorizadas en tres meses y un año. </w:t>
            </w:r>
          </w:p>
        </w:tc>
        <w:tc>
          <w:tcPr>
            <w:tcW w:w="1828" w:type="dxa"/>
          </w:tcPr>
          <w:p w14:paraId="22FBE2A7" w14:textId="1D383D94"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Agencia Japonesa de Cooperación Internacional (</w:t>
            </w:r>
            <w:proofErr w:type="spellStart"/>
            <w:r w:rsidRPr="00EB56CA">
              <w:rPr>
                <w:rFonts w:eastAsia="Times New Roman"/>
                <w:sz w:val="20"/>
                <w:szCs w:val="20"/>
                <w:lang w:val="es-CR" w:eastAsia="es-CR"/>
              </w:rPr>
              <w:t>JICA</w:t>
            </w:r>
            <w:proofErr w:type="spellEnd"/>
            <w:r w:rsidRPr="00EB56CA">
              <w:rPr>
                <w:rFonts w:eastAsia="Times New Roman"/>
                <w:sz w:val="20"/>
                <w:szCs w:val="20"/>
                <w:lang w:val="es-CR" w:eastAsia="es-CR"/>
              </w:rPr>
              <w:t>)</w:t>
            </w:r>
          </w:p>
        </w:tc>
        <w:tc>
          <w:tcPr>
            <w:tcW w:w="1490" w:type="dxa"/>
          </w:tcPr>
          <w:p w14:paraId="3432E84D" w14:textId="07ECB691"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giran viáticos institucionales. </w:t>
            </w:r>
          </w:p>
        </w:tc>
        <w:tc>
          <w:tcPr>
            <w:tcW w:w="1589" w:type="dxa"/>
          </w:tcPr>
          <w:p w14:paraId="20069E54"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6AD3256" w14:textId="77777777" w:rsidTr="00910863">
        <w:trPr>
          <w:trHeight w:val="50"/>
          <w:jc w:val="center"/>
        </w:trPr>
        <w:tc>
          <w:tcPr>
            <w:tcW w:w="1252" w:type="dxa"/>
          </w:tcPr>
          <w:p w14:paraId="00FC16A1" w14:textId="3BF7DA41"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Ana Leonor Rivera Chavarría </w:t>
            </w:r>
          </w:p>
        </w:tc>
        <w:tc>
          <w:tcPr>
            <w:tcW w:w="1530" w:type="dxa"/>
          </w:tcPr>
          <w:p w14:paraId="61FCD58F" w14:textId="2E7CCB41"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Vigilancia de la Salud</w:t>
            </w:r>
          </w:p>
        </w:tc>
        <w:tc>
          <w:tcPr>
            <w:tcW w:w="960" w:type="dxa"/>
          </w:tcPr>
          <w:p w14:paraId="3B99BC32" w14:textId="048E35B6"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23-jun-26</w:t>
            </w:r>
          </w:p>
        </w:tc>
        <w:tc>
          <w:tcPr>
            <w:tcW w:w="1230" w:type="dxa"/>
          </w:tcPr>
          <w:p w14:paraId="13D5A907" w14:textId="5EAF4A54"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23-jun-26</w:t>
            </w:r>
          </w:p>
        </w:tc>
        <w:tc>
          <w:tcPr>
            <w:tcW w:w="1204" w:type="dxa"/>
          </w:tcPr>
          <w:p w14:paraId="06C22360" w14:textId="05C34FBC"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El Salvador</w:t>
            </w:r>
          </w:p>
        </w:tc>
        <w:tc>
          <w:tcPr>
            <w:tcW w:w="1812" w:type="dxa"/>
          </w:tcPr>
          <w:p w14:paraId="60D3C555" w14:textId="30D6A34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Taller de revisión de avances y proyecciones para el abordaje de la Enfermedad Renal Crónica y Enfermedad Renal Crónica no Tradicional</w:t>
            </w:r>
          </w:p>
        </w:tc>
        <w:tc>
          <w:tcPr>
            <w:tcW w:w="1915" w:type="dxa"/>
          </w:tcPr>
          <w:p w14:paraId="37463535" w14:textId="3541EB27"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1B73F83D" w14:textId="3CE6F848"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Secretaría Ejecutiva del Consejo de Ministros de Salud de Centroamérica y República Dominicana (SE-COMISCA)</w:t>
            </w:r>
          </w:p>
        </w:tc>
        <w:tc>
          <w:tcPr>
            <w:tcW w:w="1490" w:type="dxa"/>
          </w:tcPr>
          <w:p w14:paraId="4B0708A9" w14:textId="34F0D9D0"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giran viáticos institucionales. </w:t>
            </w:r>
          </w:p>
        </w:tc>
        <w:tc>
          <w:tcPr>
            <w:tcW w:w="1589" w:type="dxa"/>
          </w:tcPr>
          <w:p w14:paraId="67E426B1"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715F5B86" w14:textId="77777777" w:rsidTr="00910863">
        <w:trPr>
          <w:trHeight w:val="50"/>
          <w:jc w:val="center"/>
        </w:trPr>
        <w:tc>
          <w:tcPr>
            <w:tcW w:w="1252" w:type="dxa"/>
          </w:tcPr>
          <w:p w14:paraId="386D23FF" w14:textId="5288E186"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Luis Diego Ramos Castro</w:t>
            </w:r>
          </w:p>
        </w:tc>
        <w:tc>
          <w:tcPr>
            <w:tcW w:w="1530" w:type="dxa"/>
          </w:tcPr>
          <w:p w14:paraId="4E0ACF6B" w14:textId="6840BDB9"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Salud Ambiental</w:t>
            </w:r>
          </w:p>
        </w:tc>
        <w:tc>
          <w:tcPr>
            <w:tcW w:w="960" w:type="dxa"/>
          </w:tcPr>
          <w:p w14:paraId="0FC41749" w14:textId="16BB5F91"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23-jun-26</w:t>
            </w:r>
          </w:p>
        </w:tc>
        <w:tc>
          <w:tcPr>
            <w:tcW w:w="1230" w:type="dxa"/>
          </w:tcPr>
          <w:p w14:paraId="70BE1612" w14:textId="2D4DECBB"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26-jun-26</w:t>
            </w:r>
          </w:p>
        </w:tc>
        <w:tc>
          <w:tcPr>
            <w:tcW w:w="1204" w:type="dxa"/>
          </w:tcPr>
          <w:p w14:paraId="4761A67A" w14:textId="217F9E79"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Suiza</w:t>
            </w:r>
          </w:p>
        </w:tc>
        <w:tc>
          <w:tcPr>
            <w:tcW w:w="1812" w:type="dxa"/>
          </w:tcPr>
          <w:p w14:paraId="083C6C91" w14:textId="37EF47F2"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5ª reunión del Grupo de Trabajo de composición abierta del Convenio de Basilea sobre el Control de los Movimientos Transfronterizos de los Desechos Peligrosos y su Eliminación (</w:t>
            </w:r>
            <w:proofErr w:type="spellStart"/>
            <w:r w:rsidRPr="00EB56CA">
              <w:rPr>
                <w:rFonts w:eastAsia="Times New Roman"/>
                <w:sz w:val="20"/>
                <w:szCs w:val="20"/>
                <w:lang w:val="es-CR" w:eastAsia="es-CR"/>
              </w:rPr>
              <w:t>OEWG</w:t>
            </w:r>
            <w:proofErr w:type="spellEnd"/>
            <w:r w:rsidRPr="00EB56CA">
              <w:rPr>
                <w:rFonts w:eastAsia="Times New Roman"/>
                <w:sz w:val="20"/>
                <w:szCs w:val="20"/>
                <w:lang w:val="es-CR" w:eastAsia="es-CR"/>
              </w:rPr>
              <w:t>-15)</w:t>
            </w:r>
          </w:p>
        </w:tc>
        <w:tc>
          <w:tcPr>
            <w:tcW w:w="1915" w:type="dxa"/>
          </w:tcPr>
          <w:p w14:paraId="111DACC7" w14:textId="71A7ED65"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Seguimiento y aplicación del Convenio de Basilea y sus enmiendas referentes a movimientos transfronterizos de residuos peligrosos (importación, tránsito, exportación). </w:t>
            </w:r>
          </w:p>
        </w:tc>
        <w:tc>
          <w:tcPr>
            <w:tcW w:w="1828" w:type="dxa"/>
          </w:tcPr>
          <w:p w14:paraId="3A7A0750" w14:textId="524B3DC4"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Ministerio de Salud de Costa Rica </w:t>
            </w:r>
          </w:p>
        </w:tc>
        <w:tc>
          <w:tcPr>
            <w:tcW w:w="1490" w:type="dxa"/>
          </w:tcPr>
          <w:p w14:paraId="76776AAA" w14:textId="5CF4C32F" w:rsidR="00EB56CA" w:rsidRPr="00EB56CA" w:rsidRDefault="00EB56CA" w:rsidP="00EB56CA">
            <w:pPr>
              <w:spacing w:line="240" w:lineRule="auto"/>
              <w:jc w:val="right"/>
              <w:rPr>
                <w:rFonts w:eastAsia="Times New Roman"/>
                <w:sz w:val="20"/>
                <w:szCs w:val="20"/>
                <w:lang w:val="es-CR" w:eastAsia="es-CR"/>
              </w:rPr>
            </w:pPr>
            <w:r w:rsidRPr="00EB56CA">
              <w:rPr>
                <w:rFonts w:eastAsia="Times New Roman"/>
                <w:sz w:val="20"/>
                <w:szCs w:val="20"/>
                <w:lang w:val="es-CR" w:eastAsia="es-CR"/>
              </w:rPr>
              <w:t xml:space="preserve">₡1 248 956,46 </w:t>
            </w:r>
          </w:p>
        </w:tc>
        <w:tc>
          <w:tcPr>
            <w:tcW w:w="1589" w:type="dxa"/>
          </w:tcPr>
          <w:p w14:paraId="5E43FD75"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781E1558" w14:textId="77777777" w:rsidTr="00910863">
        <w:trPr>
          <w:trHeight w:val="50"/>
          <w:jc w:val="center"/>
        </w:trPr>
        <w:tc>
          <w:tcPr>
            <w:tcW w:w="1252" w:type="dxa"/>
          </w:tcPr>
          <w:p w14:paraId="0083C429" w14:textId="6BD9FBF0" w:rsidR="00EB56CA" w:rsidRPr="00EB56CA" w:rsidRDefault="00EB56CA" w:rsidP="00EB56CA">
            <w:pPr>
              <w:spacing w:line="240" w:lineRule="auto"/>
              <w:rPr>
                <w:rFonts w:eastAsia="Times New Roman"/>
                <w:sz w:val="20"/>
                <w:szCs w:val="20"/>
                <w:lang w:val="es-CR" w:eastAsia="es-CR"/>
              </w:rPr>
            </w:pPr>
            <w:proofErr w:type="spellStart"/>
            <w:r w:rsidRPr="00EB56CA">
              <w:rPr>
                <w:rFonts w:eastAsia="Times New Roman"/>
                <w:sz w:val="20"/>
                <w:szCs w:val="20"/>
                <w:lang w:val="es-CR" w:eastAsia="es-CR"/>
              </w:rPr>
              <w:t>Dayanna</w:t>
            </w:r>
            <w:proofErr w:type="spellEnd"/>
            <w:r w:rsidRPr="00EB56CA">
              <w:rPr>
                <w:rFonts w:eastAsia="Times New Roman"/>
                <w:sz w:val="20"/>
                <w:szCs w:val="20"/>
                <w:lang w:val="es-CR" w:eastAsia="es-CR"/>
              </w:rPr>
              <w:t xml:space="preserve"> Patricia Calderón Abarca</w:t>
            </w:r>
          </w:p>
        </w:tc>
        <w:tc>
          <w:tcPr>
            <w:tcW w:w="1530" w:type="dxa"/>
          </w:tcPr>
          <w:p w14:paraId="5A090314" w14:textId="24A32425"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Regional de Rectoría de la Salud Pacífico Central </w:t>
            </w:r>
          </w:p>
        </w:tc>
        <w:tc>
          <w:tcPr>
            <w:tcW w:w="960" w:type="dxa"/>
          </w:tcPr>
          <w:p w14:paraId="26C7FA39" w14:textId="21AE5FF5"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60D7277C" w14:textId="39A3FC8A"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3912A487" w14:textId="631C1F5C"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1B3E98C6" w14:textId="48EBF579"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Seminario Bilateral 2026, Tecnologías innovadoras y sostenibles para fortalecer la gestión integral de </w:t>
            </w:r>
            <w:r w:rsidRPr="00EB56CA">
              <w:rPr>
                <w:rFonts w:eastAsia="Times New Roman"/>
                <w:sz w:val="20"/>
                <w:szCs w:val="20"/>
                <w:lang w:val="es-CR" w:eastAsia="es-CR"/>
              </w:rPr>
              <w:lastRenderedPageBreak/>
              <w:t>residuos sólidos en Costa Rica</w:t>
            </w:r>
          </w:p>
        </w:tc>
        <w:tc>
          <w:tcPr>
            <w:tcW w:w="1915" w:type="dxa"/>
          </w:tcPr>
          <w:p w14:paraId="4B77B394" w14:textId="1F34EFC3"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Realizar una réplica de los conocimientos adquiridos para el personal de Regulación de la Salud de la Región </w:t>
            </w:r>
            <w:r w:rsidRPr="00EB56CA">
              <w:rPr>
                <w:rFonts w:eastAsia="Times New Roman"/>
                <w:sz w:val="20"/>
                <w:szCs w:val="20"/>
                <w:lang w:val="es-CR" w:eastAsia="es-CR"/>
              </w:rPr>
              <w:lastRenderedPageBreak/>
              <w:t>Pacífico Central, con el fin de transferir el conocimiento para su aplicación en la gestión diaria y operativa en su jurisdicción.</w:t>
            </w:r>
          </w:p>
        </w:tc>
        <w:tc>
          <w:tcPr>
            <w:tcW w:w="1828" w:type="dxa"/>
          </w:tcPr>
          <w:p w14:paraId="4A3111D4" w14:textId="4CDEC649"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5785BC6B" w14:textId="1969AC13" w:rsidR="00EB56CA" w:rsidRPr="00EB56CA"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409A3CDF"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0411200D" w14:textId="77777777" w:rsidTr="00594C70">
        <w:trPr>
          <w:trHeight w:val="50"/>
          <w:jc w:val="center"/>
        </w:trPr>
        <w:tc>
          <w:tcPr>
            <w:tcW w:w="1252" w:type="dxa"/>
          </w:tcPr>
          <w:p w14:paraId="5E9307BF" w14:textId="05FB084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Leda Patricia Peña Garita</w:t>
            </w:r>
          </w:p>
        </w:tc>
        <w:tc>
          <w:tcPr>
            <w:tcW w:w="1530" w:type="dxa"/>
          </w:tcPr>
          <w:p w14:paraId="499D165C" w14:textId="235F281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Central Este</w:t>
            </w:r>
          </w:p>
        </w:tc>
        <w:tc>
          <w:tcPr>
            <w:tcW w:w="960" w:type="dxa"/>
          </w:tcPr>
          <w:p w14:paraId="2A6F9772" w14:textId="1436542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1611C9F5" w14:textId="0346DD4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437D71CD" w14:textId="50A4558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3E83AF59" w14:textId="4B71AFE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5CEAB60F" w14:textId="6376009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3357374A" w14:textId="410097B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490" w:type="dxa"/>
          </w:tcPr>
          <w:p w14:paraId="33F0E38E" w14:textId="4EC9F81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3B5697FA"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6C680FA7" w14:textId="77777777" w:rsidTr="00594C70">
        <w:trPr>
          <w:trHeight w:val="50"/>
          <w:jc w:val="center"/>
        </w:trPr>
        <w:tc>
          <w:tcPr>
            <w:tcW w:w="1252" w:type="dxa"/>
          </w:tcPr>
          <w:p w14:paraId="2007381D" w14:textId="505644C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José Pablo Herrera Ramírez</w:t>
            </w:r>
          </w:p>
        </w:tc>
        <w:tc>
          <w:tcPr>
            <w:tcW w:w="1530" w:type="dxa"/>
          </w:tcPr>
          <w:p w14:paraId="50007C83" w14:textId="18994AA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Brunca</w:t>
            </w:r>
          </w:p>
        </w:tc>
        <w:tc>
          <w:tcPr>
            <w:tcW w:w="960" w:type="dxa"/>
          </w:tcPr>
          <w:p w14:paraId="3DB58E79" w14:textId="4BD0CF2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79278C79" w14:textId="24A76AF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7D44F9F6" w14:textId="45BEC21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5A3643E2" w14:textId="4228058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6ED71622" w14:textId="1469EA5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Realizar replica de los conocimientos adquiridos durante el seminario a todos los funcionarios de la Región Brunca con funciones en la rectoría de la gestión de residuos sólidos.</w:t>
            </w:r>
          </w:p>
        </w:tc>
        <w:tc>
          <w:tcPr>
            <w:tcW w:w="1828" w:type="dxa"/>
          </w:tcPr>
          <w:p w14:paraId="4C78F8CF" w14:textId="3E4F9F3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490" w:type="dxa"/>
          </w:tcPr>
          <w:p w14:paraId="57EDEAC0" w14:textId="0F9CB14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5D53A183"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2AF86CFB" w14:textId="77777777" w:rsidTr="00594C70">
        <w:trPr>
          <w:trHeight w:val="50"/>
          <w:jc w:val="center"/>
        </w:trPr>
        <w:tc>
          <w:tcPr>
            <w:tcW w:w="1252" w:type="dxa"/>
          </w:tcPr>
          <w:p w14:paraId="3DCFCE8A" w14:textId="094949D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Carlos Adrián Torres Alvarado </w:t>
            </w:r>
          </w:p>
        </w:tc>
        <w:tc>
          <w:tcPr>
            <w:tcW w:w="1530" w:type="dxa"/>
          </w:tcPr>
          <w:p w14:paraId="68335427" w14:textId="5BA238D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Dirección Regional de Rectoría de la </w:t>
            </w:r>
            <w:r w:rsidRPr="00EB56CA">
              <w:rPr>
                <w:rFonts w:eastAsia="Times New Roman"/>
                <w:sz w:val="20"/>
                <w:szCs w:val="20"/>
                <w:lang w:val="es-CR" w:eastAsia="es-CR"/>
              </w:rPr>
              <w:lastRenderedPageBreak/>
              <w:t>Salud Huetar Caribe</w:t>
            </w:r>
          </w:p>
        </w:tc>
        <w:tc>
          <w:tcPr>
            <w:tcW w:w="960" w:type="dxa"/>
          </w:tcPr>
          <w:p w14:paraId="14305C13" w14:textId="796B360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25-jun-26</w:t>
            </w:r>
          </w:p>
        </w:tc>
        <w:tc>
          <w:tcPr>
            <w:tcW w:w="1230" w:type="dxa"/>
          </w:tcPr>
          <w:p w14:paraId="1E48FAB4" w14:textId="2104343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70C68EE6" w14:textId="3953BFB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0C6500A6" w14:textId="5CEF20A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Seminario Bilateral 2026, Tecnologías innovadoras y </w:t>
            </w:r>
            <w:r w:rsidRPr="00EB56CA">
              <w:rPr>
                <w:rFonts w:eastAsia="Times New Roman"/>
                <w:sz w:val="20"/>
                <w:szCs w:val="20"/>
                <w:lang w:val="es-CR" w:eastAsia="es-CR"/>
              </w:rPr>
              <w:lastRenderedPageBreak/>
              <w:t>sostenibles para fortalecer la gestión integral de residuos sólidos en Costa Rica</w:t>
            </w:r>
          </w:p>
        </w:tc>
        <w:tc>
          <w:tcPr>
            <w:tcW w:w="1915" w:type="dxa"/>
          </w:tcPr>
          <w:p w14:paraId="19D693C8" w14:textId="5CC5927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Aplicar los conocimientos adquiridos para fortalecer la </w:t>
            </w:r>
            <w:r w:rsidRPr="00EB56CA">
              <w:rPr>
                <w:rFonts w:eastAsia="Times New Roman"/>
                <w:sz w:val="20"/>
                <w:szCs w:val="20"/>
                <w:lang w:val="es-CR" w:eastAsia="es-CR"/>
              </w:rPr>
              <w:lastRenderedPageBreak/>
              <w:t>Estrategia de Gestión Integral de Residuos Sólidos de la Región Huetar Caribe.</w:t>
            </w:r>
          </w:p>
        </w:tc>
        <w:tc>
          <w:tcPr>
            <w:tcW w:w="1828" w:type="dxa"/>
          </w:tcPr>
          <w:p w14:paraId="57F03154" w14:textId="228FF41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34A13CE8" w14:textId="0793AD3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28AA5E82"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2874939B" w14:textId="77777777" w:rsidTr="00594C70">
        <w:trPr>
          <w:trHeight w:val="50"/>
          <w:jc w:val="center"/>
        </w:trPr>
        <w:tc>
          <w:tcPr>
            <w:tcW w:w="1252" w:type="dxa"/>
          </w:tcPr>
          <w:p w14:paraId="59458D91" w14:textId="4768B37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Karla Irene Céspedes Murillo </w:t>
            </w:r>
          </w:p>
        </w:tc>
        <w:tc>
          <w:tcPr>
            <w:tcW w:w="1530" w:type="dxa"/>
          </w:tcPr>
          <w:p w14:paraId="5C54D229" w14:textId="16B943E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Central Norte</w:t>
            </w:r>
          </w:p>
        </w:tc>
        <w:tc>
          <w:tcPr>
            <w:tcW w:w="960" w:type="dxa"/>
          </w:tcPr>
          <w:p w14:paraId="3D0F4A9B" w14:textId="5C6DE74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0EAE02BD" w14:textId="7F4F69A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44ABCBC0" w14:textId="249464F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0DB45C58" w14:textId="6BF1130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5B475C68" w14:textId="1A746E4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5BB0E3B6" w14:textId="7FB684C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490" w:type="dxa"/>
          </w:tcPr>
          <w:p w14:paraId="2C1CA678" w14:textId="180FFBD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622B0BE7"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5B35A1C6" w14:textId="77777777" w:rsidTr="00594C70">
        <w:trPr>
          <w:trHeight w:val="50"/>
          <w:jc w:val="center"/>
        </w:trPr>
        <w:tc>
          <w:tcPr>
            <w:tcW w:w="1252" w:type="dxa"/>
          </w:tcPr>
          <w:p w14:paraId="13C72EF8" w14:textId="383C45C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Laura Rodríguez Corrales </w:t>
            </w:r>
          </w:p>
        </w:tc>
        <w:tc>
          <w:tcPr>
            <w:tcW w:w="1530" w:type="dxa"/>
          </w:tcPr>
          <w:p w14:paraId="5B6196DD" w14:textId="7B4E071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Chorotega</w:t>
            </w:r>
          </w:p>
        </w:tc>
        <w:tc>
          <w:tcPr>
            <w:tcW w:w="960" w:type="dxa"/>
          </w:tcPr>
          <w:p w14:paraId="49E59405" w14:textId="7B72B36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076C67B3" w14:textId="7A5868B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64D2F65F" w14:textId="2CB6955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0C428B22" w14:textId="738C087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6FE04B0D" w14:textId="5E2E941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Brindar acompañamiento técnico en atención de casos y monitoreo de actividades que cuenten con tecnologías de tratamiento de residuos sólidos incluyendo valorización o recuperación de residuos como disposición final a rellenos sanitarios. Promover la evaluación y análisis de </w:t>
            </w:r>
            <w:r w:rsidRPr="00EB56CA">
              <w:rPr>
                <w:rFonts w:eastAsia="Times New Roman"/>
                <w:sz w:val="20"/>
                <w:szCs w:val="20"/>
                <w:lang w:val="es-CR" w:eastAsia="es-CR"/>
              </w:rPr>
              <w:lastRenderedPageBreak/>
              <w:t xml:space="preserve">tecnologías innovadoras observadas durante el Seminario Bilateral China–Costa Rica, con el fin de identificar aquellas con potencial de aplicación en la Región Chorotega, considerando criterios técnicos, ambientales, económicos y regulatorios. Impartir una charla técnica sobre Tecnologías innovadoras para el tratamiento y valorización de residuos sólidos, abordando las principales alternativas tecnológicas, criterios de selección, aplicaciones y experiencias internacionales </w:t>
            </w:r>
            <w:r w:rsidRPr="00EB56CA">
              <w:rPr>
                <w:rFonts w:eastAsia="Times New Roman"/>
                <w:sz w:val="20"/>
                <w:szCs w:val="20"/>
                <w:lang w:val="es-CR" w:eastAsia="es-CR"/>
              </w:rPr>
              <w:lastRenderedPageBreak/>
              <w:t>recibidas en el seminario.</w:t>
            </w:r>
          </w:p>
        </w:tc>
        <w:tc>
          <w:tcPr>
            <w:tcW w:w="1828" w:type="dxa"/>
          </w:tcPr>
          <w:p w14:paraId="0AAC184E" w14:textId="3BF48A7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072D0F14" w14:textId="2F714CC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66A82238"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6F3ADD97" w14:textId="77777777" w:rsidTr="00594C70">
        <w:trPr>
          <w:trHeight w:val="50"/>
          <w:jc w:val="center"/>
        </w:trPr>
        <w:tc>
          <w:tcPr>
            <w:tcW w:w="1252" w:type="dxa"/>
          </w:tcPr>
          <w:p w14:paraId="00E1F523" w14:textId="289B3BB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Oscar Eduardo Arroyo Barahona</w:t>
            </w:r>
          </w:p>
        </w:tc>
        <w:tc>
          <w:tcPr>
            <w:tcW w:w="1530" w:type="dxa"/>
          </w:tcPr>
          <w:p w14:paraId="7785E540" w14:textId="664DE77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Central Sur</w:t>
            </w:r>
          </w:p>
        </w:tc>
        <w:tc>
          <w:tcPr>
            <w:tcW w:w="960" w:type="dxa"/>
          </w:tcPr>
          <w:p w14:paraId="66B8C887" w14:textId="55B69FB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59F1C739" w14:textId="5A1A329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2B74A9EE" w14:textId="3A14393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35A7C93B" w14:textId="34E3520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00DFB800" w14:textId="0FCE19E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21A28A21" w14:textId="70C574F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490" w:type="dxa"/>
          </w:tcPr>
          <w:p w14:paraId="7399DB52" w14:textId="6224CF5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707FBB21"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62393A03" w14:textId="77777777" w:rsidTr="00594C70">
        <w:trPr>
          <w:trHeight w:val="50"/>
          <w:jc w:val="center"/>
        </w:trPr>
        <w:tc>
          <w:tcPr>
            <w:tcW w:w="1252" w:type="dxa"/>
          </w:tcPr>
          <w:p w14:paraId="5B83433A" w14:textId="3934266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Nazareth Arguedas Zumbado</w:t>
            </w:r>
          </w:p>
        </w:tc>
        <w:tc>
          <w:tcPr>
            <w:tcW w:w="1530" w:type="dxa"/>
          </w:tcPr>
          <w:p w14:paraId="55B6E1C2" w14:textId="20B34FA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Central Occidente</w:t>
            </w:r>
          </w:p>
        </w:tc>
        <w:tc>
          <w:tcPr>
            <w:tcW w:w="960" w:type="dxa"/>
          </w:tcPr>
          <w:p w14:paraId="63FFB993" w14:textId="1A02D57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647F1E08" w14:textId="79C4FBD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7BB00CBE" w14:textId="14FF5D3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2BE5CE2F" w14:textId="23A82B0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2A23AFFA" w14:textId="058669E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3622C790" w14:textId="109A9B8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490" w:type="dxa"/>
          </w:tcPr>
          <w:p w14:paraId="6F4EAC90" w14:textId="164CD871"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383EF491"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1D40FD50" w14:textId="77777777" w:rsidTr="00594C70">
        <w:trPr>
          <w:trHeight w:val="50"/>
          <w:jc w:val="center"/>
        </w:trPr>
        <w:tc>
          <w:tcPr>
            <w:tcW w:w="1252" w:type="dxa"/>
          </w:tcPr>
          <w:p w14:paraId="5526C96D" w14:textId="1CBEA830" w:rsidR="00EB56CA" w:rsidRPr="00CE624F" w:rsidRDefault="00EB56CA" w:rsidP="00EB56CA">
            <w:pPr>
              <w:spacing w:line="240" w:lineRule="auto"/>
              <w:rPr>
                <w:rFonts w:eastAsia="Times New Roman"/>
                <w:sz w:val="20"/>
                <w:szCs w:val="20"/>
                <w:lang w:val="es-CR" w:eastAsia="es-CR"/>
              </w:rPr>
            </w:pPr>
            <w:proofErr w:type="spellStart"/>
            <w:r w:rsidRPr="00EB56CA">
              <w:rPr>
                <w:rFonts w:eastAsia="Times New Roman"/>
                <w:sz w:val="20"/>
                <w:szCs w:val="20"/>
                <w:lang w:val="es-CR" w:eastAsia="es-CR"/>
              </w:rPr>
              <w:t>Gilberth</w:t>
            </w:r>
            <w:proofErr w:type="spellEnd"/>
            <w:r w:rsidRPr="00EB56CA">
              <w:rPr>
                <w:rFonts w:eastAsia="Times New Roman"/>
                <w:sz w:val="20"/>
                <w:szCs w:val="20"/>
                <w:lang w:val="es-CR" w:eastAsia="es-CR"/>
              </w:rPr>
              <w:t xml:space="preserve"> Arroyo Castro</w:t>
            </w:r>
          </w:p>
        </w:tc>
        <w:tc>
          <w:tcPr>
            <w:tcW w:w="1530" w:type="dxa"/>
          </w:tcPr>
          <w:p w14:paraId="4C0A3CD4" w14:textId="59470BB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Regional de Rectoría de la Salud Huetar Norte</w:t>
            </w:r>
          </w:p>
        </w:tc>
        <w:tc>
          <w:tcPr>
            <w:tcW w:w="960" w:type="dxa"/>
          </w:tcPr>
          <w:p w14:paraId="3FCC6FE0" w14:textId="1599098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20ECBC91" w14:textId="2B0F53A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350AD880" w14:textId="06096F8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7C206776" w14:textId="3307A46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022E0638" w14:textId="473A8C2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No se asumen compromisos. </w:t>
            </w:r>
          </w:p>
        </w:tc>
        <w:tc>
          <w:tcPr>
            <w:tcW w:w="1828" w:type="dxa"/>
          </w:tcPr>
          <w:p w14:paraId="3AB138A2" w14:textId="2C20CA9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490" w:type="dxa"/>
          </w:tcPr>
          <w:p w14:paraId="3BD671BA" w14:textId="01087200"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2CD5B301"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6AA12627" w14:textId="77777777" w:rsidTr="00594C70">
        <w:trPr>
          <w:trHeight w:val="50"/>
          <w:jc w:val="center"/>
        </w:trPr>
        <w:tc>
          <w:tcPr>
            <w:tcW w:w="1252" w:type="dxa"/>
          </w:tcPr>
          <w:p w14:paraId="3AD8B845" w14:textId="3C0A227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Catherine Arroyo Herrera</w:t>
            </w:r>
          </w:p>
        </w:tc>
        <w:tc>
          <w:tcPr>
            <w:tcW w:w="1530" w:type="dxa"/>
          </w:tcPr>
          <w:p w14:paraId="2721F606" w14:textId="6BDA3A5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Salud Ambiental</w:t>
            </w:r>
          </w:p>
        </w:tc>
        <w:tc>
          <w:tcPr>
            <w:tcW w:w="960" w:type="dxa"/>
          </w:tcPr>
          <w:p w14:paraId="5CE81E8B" w14:textId="2DFC85C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4FE89695" w14:textId="4BA5E8D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28E5B509" w14:textId="36E2FC2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0F5EEB1F" w14:textId="3CF0B299"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Seminario Bilateral 2026, Tecnologías </w:t>
            </w:r>
            <w:r w:rsidRPr="00EB56CA">
              <w:rPr>
                <w:rFonts w:eastAsia="Times New Roman"/>
                <w:sz w:val="20"/>
                <w:szCs w:val="20"/>
                <w:lang w:val="es-CR" w:eastAsia="es-CR"/>
              </w:rPr>
              <w:lastRenderedPageBreak/>
              <w:t>innovadoras y sostenibles para fortalecer la gestión integral de residuos sólidos en Costa Rica</w:t>
            </w:r>
          </w:p>
        </w:tc>
        <w:tc>
          <w:tcPr>
            <w:tcW w:w="1915" w:type="dxa"/>
          </w:tcPr>
          <w:p w14:paraId="476EB75D" w14:textId="10B5A3F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Dar seguimiento a la incorporación de los conocimientos </w:t>
            </w:r>
            <w:r w:rsidRPr="00EB56CA">
              <w:rPr>
                <w:rFonts w:eastAsia="Times New Roman"/>
                <w:sz w:val="20"/>
                <w:szCs w:val="20"/>
                <w:lang w:val="es-CR" w:eastAsia="es-CR"/>
              </w:rPr>
              <w:lastRenderedPageBreak/>
              <w:t xml:space="preserve">adquiridos como insumo para el fortalecimiento de criterios técnicos, lineamientos y análisis regulatorios relacionados con la gestión integral de residuos. Verificar que las Direcciones Regionales de Rectoría de la Salud realicen la réplica de los conocimientos adquiridos por los funcionarios participantes del seminario. Continuar promoviendo el intercambio técnico y la cooperación internacional para fortalecer las capacidades nacionales en gestión integral de residuos sólidos. Impartir una charla técnica sobre Tecnologías innovadoras para el </w:t>
            </w:r>
            <w:r w:rsidRPr="00EB56CA">
              <w:rPr>
                <w:rFonts w:eastAsia="Times New Roman"/>
                <w:sz w:val="20"/>
                <w:szCs w:val="20"/>
                <w:lang w:val="es-CR" w:eastAsia="es-CR"/>
              </w:rPr>
              <w:lastRenderedPageBreak/>
              <w:t>tratamiento y valorización de residuos sólidos, abordando las principales</w:t>
            </w:r>
            <w:r w:rsidRPr="00EB56CA">
              <w:rPr>
                <w:rFonts w:eastAsia="Times New Roman"/>
                <w:sz w:val="20"/>
                <w:szCs w:val="20"/>
                <w:lang w:val="es-CR" w:eastAsia="es-CR"/>
              </w:rPr>
              <w:br/>
              <w:t>alternativas tecnológicas, criterios de selección, aplicaciones y experiencias internacionales. Impartir un ciclo de capacitación técnica sobre Tecnologías avanzadas de tratamiento térmico y valorización energética de residuos (Waste-</w:t>
            </w:r>
            <w:proofErr w:type="spellStart"/>
            <w:r w:rsidRPr="00EB56CA">
              <w:rPr>
                <w:rFonts w:eastAsia="Times New Roman"/>
                <w:sz w:val="20"/>
                <w:szCs w:val="20"/>
                <w:lang w:val="es-CR" w:eastAsia="es-CR"/>
              </w:rPr>
              <w:t>to</w:t>
            </w:r>
            <w:proofErr w:type="spellEnd"/>
            <w:r>
              <w:rPr>
                <w:rFonts w:eastAsia="Times New Roman"/>
                <w:sz w:val="20"/>
                <w:szCs w:val="20"/>
                <w:lang w:val="es-CR" w:eastAsia="es-CR"/>
              </w:rPr>
              <w:t xml:space="preserve"> </w:t>
            </w:r>
            <w:r w:rsidRPr="00EB56CA">
              <w:rPr>
                <w:rFonts w:eastAsia="Times New Roman"/>
                <w:sz w:val="20"/>
                <w:szCs w:val="20"/>
                <w:lang w:val="es-CR" w:eastAsia="es-CR"/>
              </w:rPr>
              <w:t xml:space="preserve">Energy, </w:t>
            </w:r>
            <w:proofErr w:type="spellStart"/>
            <w:r w:rsidRPr="00EB56CA">
              <w:rPr>
                <w:rFonts w:eastAsia="Times New Roman"/>
                <w:sz w:val="20"/>
                <w:szCs w:val="20"/>
                <w:lang w:val="es-CR" w:eastAsia="es-CR"/>
              </w:rPr>
              <w:t>WtE</w:t>
            </w:r>
            <w:proofErr w:type="spellEnd"/>
            <w:r w:rsidRPr="00EB56CA">
              <w:rPr>
                <w:rFonts w:eastAsia="Times New Roman"/>
                <w:sz w:val="20"/>
                <w:szCs w:val="20"/>
                <w:lang w:val="es-CR" w:eastAsia="es-CR"/>
              </w:rPr>
              <w:t xml:space="preserve">), incluyendo las diferentes rutas tecnológicas para la recuperación de energía y recursos, experiencias internacionales, tendencias regulatorias, criterios técnicos de implementación y </w:t>
            </w:r>
            <w:r w:rsidRPr="00EB56CA">
              <w:rPr>
                <w:rFonts w:eastAsia="Times New Roman"/>
                <w:sz w:val="20"/>
                <w:szCs w:val="20"/>
                <w:lang w:val="es-CR" w:eastAsia="es-CR"/>
              </w:rPr>
              <w:lastRenderedPageBreak/>
              <w:t>oportunidades para su incorporación en el fortalecimiento de la gestión integral de residuos sólidos en Costa Rica.</w:t>
            </w:r>
          </w:p>
        </w:tc>
        <w:tc>
          <w:tcPr>
            <w:tcW w:w="1828" w:type="dxa"/>
          </w:tcPr>
          <w:p w14:paraId="7D7D3FFA" w14:textId="1DB6545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490C47D1" w14:textId="76CD7D3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772BE946"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5BC9E03E" w14:textId="77777777" w:rsidTr="00594C70">
        <w:trPr>
          <w:trHeight w:val="50"/>
          <w:jc w:val="center"/>
        </w:trPr>
        <w:tc>
          <w:tcPr>
            <w:tcW w:w="1252" w:type="dxa"/>
          </w:tcPr>
          <w:p w14:paraId="51C78958" w14:textId="4449A65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Nelson Eduardo Artavia Vega</w:t>
            </w:r>
          </w:p>
        </w:tc>
        <w:tc>
          <w:tcPr>
            <w:tcW w:w="1530" w:type="dxa"/>
          </w:tcPr>
          <w:p w14:paraId="6EECCAE9" w14:textId="587FE92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Salud Ambiental</w:t>
            </w:r>
          </w:p>
        </w:tc>
        <w:tc>
          <w:tcPr>
            <w:tcW w:w="960" w:type="dxa"/>
          </w:tcPr>
          <w:p w14:paraId="0D313399" w14:textId="3E20F6F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33953E3D" w14:textId="11AFC54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7F8172D6" w14:textId="1F307403"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241F834A" w14:textId="20DF5F8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67FC77FC" w14:textId="4EF4643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Dar seguimiento a la incorporación de los conocimientos adquiridos como insumo para el fortalecimiento de criterios técnicos, lineamientos y análisis regulatorios relacionados con la gestión integral de residuos. Verificar que las Direcciones Regionales de Rectoría de la Salud realicen la réplica de los conocimientos adquiridos por los funcionarios participantes del seminario. Continuar promoviendo el intercambio técnico y la cooperación </w:t>
            </w:r>
            <w:r w:rsidRPr="00EB56CA">
              <w:rPr>
                <w:rFonts w:eastAsia="Times New Roman"/>
                <w:sz w:val="20"/>
                <w:szCs w:val="20"/>
                <w:lang w:val="es-CR" w:eastAsia="es-CR"/>
              </w:rPr>
              <w:lastRenderedPageBreak/>
              <w:t>internacional para fortalecer las capacidades nacionales en gestión integral de residuos sólidos. Impartir una charla técnica sobre Tecnologías innovadoras para el tratamiento y valorización de residuos sólidos, abordando las principales</w:t>
            </w:r>
            <w:r w:rsidRPr="00EB56CA">
              <w:rPr>
                <w:rFonts w:eastAsia="Times New Roman"/>
                <w:sz w:val="20"/>
                <w:szCs w:val="20"/>
                <w:lang w:val="es-CR" w:eastAsia="es-CR"/>
              </w:rPr>
              <w:br/>
              <w:t>alternativas tecnológicas, criterios de selección, aplicaciones y experiencias internacionales. Impartir un ciclo de capacitación técnica sobre Tecnologías avanzadas de tratamiento térmico y valorización energética de residuos (Waste-</w:t>
            </w:r>
            <w:proofErr w:type="spellStart"/>
            <w:r w:rsidRPr="00EB56CA">
              <w:rPr>
                <w:rFonts w:eastAsia="Times New Roman"/>
                <w:sz w:val="20"/>
                <w:szCs w:val="20"/>
                <w:lang w:val="es-CR" w:eastAsia="es-CR"/>
              </w:rPr>
              <w:t>to</w:t>
            </w:r>
            <w:proofErr w:type="spellEnd"/>
            <w:r>
              <w:rPr>
                <w:rFonts w:eastAsia="Times New Roman"/>
                <w:sz w:val="20"/>
                <w:szCs w:val="20"/>
                <w:lang w:val="es-CR" w:eastAsia="es-CR"/>
              </w:rPr>
              <w:t xml:space="preserve"> </w:t>
            </w:r>
            <w:r w:rsidRPr="00EB56CA">
              <w:rPr>
                <w:rFonts w:eastAsia="Times New Roman"/>
                <w:sz w:val="20"/>
                <w:szCs w:val="20"/>
                <w:lang w:val="es-CR" w:eastAsia="es-CR"/>
              </w:rPr>
              <w:t xml:space="preserve">Energy, </w:t>
            </w:r>
            <w:proofErr w:type="spellStart"/>
            <w:r w:rsidRPr="00EB56CA">
              <w:rPr>
                <w:rFonts w:eastAsia="Times New Roman"/>
                <w:sz w:val="20"/>
                <w:szCs w:val="20"/>
                <w:lang w:val="es-CR" w:eastAsia="es-CR"/>
              </w:rPr>
              <w:t>WtE</w:t>
            </w:r>
            <w:proofErr w:type="spellEnd"/>
            <w:r w:rsidRPr="00EB56CA">
              <w:rPr>
                <w:rFonts w:eastAsia="Times New Roman"/>
                <w:sz w:val="20"/>
                <w:szCs w:val="20"/>
                <w:lang w:val="es-CR" w:eastAsia="es-CR"/>
              </w:rPr>
              <w:t xml:space="preserve">), incluyendo las </w:t>
            </w:r>
            <w:r w:rsidRPr="00EB56CA">
              <w:rPr>
                <w:rFonts w:eastAsia="Times New Roman"/>
                <w:sz w:val="20"/>
                <w:szCs w:val="20"/>
                <w:lang w:val="es-CR" w:eastAsia="es-CR"/>
              </w:rPr>
              <w:lastRenderedPageBreak/>
              <w:t>diferentes rutas tecnológicas para la recuperación de energía y recursos, experiencias internacionales, tendencias regulatorias, criterios técnicos de implementación y oportunidades para su incorporación en el fortalecimiento de la gestión integral de residuos sólidos en Costa Rica.</w:t>
            </w:r>
          </w:p>
        </w:tc>
        <w:tc>
          <w:tcPr>
            <w:tcW w:w="1828" w:type="dxa"/>
          </w:tcPr>
          <w:p w14:paraId="5B93F109" w14:textId="1365F71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5592D516" w14:textId="49C5B13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7D059FA1"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032DBE8B" w14:textId="77777777" w:rsidTr="00594C70">
        <w:trPr>
          <w:trHeight w:val="50"/>
          <w:jc w:val="center"/>
        </w:trPr>
        <w:tc>
          <w:tcPr>
            <w:tcW w:w="1252" w:type="dxa"/>
          </w:tcPr>
          <w:p w14:paraId="5E178A89" w14:textId="43E67CBB"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Carlos Manuel Jacobo Elizondo</w:t>
            </w:r>
          </w:p>
        </w:tc>
        <w:tc>
          <w:tcPr>
            <w:tcW w:w="1530" w:type="dxa"/>
          </w:tcPr>
          <w:p w14:paraId="482A93CB" w14:textId="7C4BDF8E"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Salud Ambiental</w:t>
            </w:r>
          </w:p>
        </w:tc>
        <w:tc>
          <w:tcPr>
            <w:tcW w:w="960" w:type="dxa"/>
          </w:tcPr>
          <w:p w14:paraId="2474AD69" w14:textId="05CC51A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2B2D66BE" w14:textId="0A666D3C"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07CB5973" w14:textId="1679554A"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1F333CC3" w14:textId="47C9BE17"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Seminario Bilateral 2026, Tecnologías innovadoras y sostenibles para fortalecer la gestión integral de residuos sólidos en Costa Rica</w:t>
            </w:r>
          </w:p>
        </w:tc>
        <w:tc>
          <w:tcPr>
            <w:tcW w:w="1915" w:type="dxa"/>
          </w:tcPr>
          <w:p w14:paraId="0BAED039" w14:textId="27FDCED4"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Dar seguimiento a la incorporación de los conocimientos adquiridos como insumo para el fortalecimiento de criterios técnicos, lineamientos y análisis regulatorios relacionados con la gestión integral de residuos. Verificar que las Direcciones Regionales de Rectoría de la Salud realicen la </w:t>
            </w:r>
            <w:r w:rsidRPr="00EB56CA">
              <w:rPr>
                <w:rFonts w:eastAsia="Times New Roman"/>
                <w:sz w:val="20"/>
                <w:szCs w:val="20"/>
                <w:lang w:val="es-CR" w:eastAsia="es-CR"/>
              </w:rPr>
              <w:lastRenderedPageBreak/>
              <w:t>réplica de los conocimientos adquiridos por los funcionarios participantes del seminario. Continuar promoviendo el intercambio técnico y la cooperación internacional para fortalecer las capacidades nacionales en gestión integral de residuos sólidos. Impartir una charla técnica sobre Tecnologías innovadoras para el tratamiento y valorización de residuos sólidos, abordando las principales</w:t>
            </w:r>
            <w:r w:rsidRPr="00EB56CA">
              <w:rPr>
                <w:rFonts w:eastAsia="Times New Roman"/>
                <w:sz w:val="20"/>
                <w:szCs w:val="20"/>
                <w:lang w:val="es-CR" w:eastAsia="es-CR"/>
              </w:rPr>
              <w:br/>
              <w:t xml:space="preserve">alternativas tecnológicas, criterios de selección, aplicaciones y experiencias internacionales. Impartir un ciclo de </w:t>
            </w:r>
            <w:r w:rsidRPr="00EB56CA">
              <w:rPr>
                <w:rFonts w:eastAsia="Times New Roman"/>
                <w:sz w:val="20"/>
                <w:szCs w:val="20"/>
                <w:lang w:val="es-CR" w:eastAsia="es-CR"/>
              </w:rPr>
              <w:lastRenderedPageBreak/>
              <w:t>capacitación técnica sobre Tecnologías avanzadas de tratamiento térmico y valorización energética de residuos (Waste-</w:t>
            </w:r>
            <w:proofErr w:type="spellStart"/>
            <w:r w:rsidRPr="00EB56CA">
              <w:rPr>
                <w:rFonts w:eastAsia="Times New Roman"/>
                <w:sz w:val="20"/>
                <w:szCs w:val="20"/>
                <w:lang w:val="es-CR" w:eastAsia="es-CR"/>
              </w:rPr>
              <w:t>to</w:t>
            </w:r>
            <w:proofErr w:type="spellEnd"/>
            <w:r>
              <w:rPr>
                <w:rFonts w:eastAsia="Times New Roman"/>
                <w:sz w:val="20"/>
                <w:szCs w:val="20"/>
                <w:lang w:val="es-CR" w:eastAsia="es-CR"/>
              </w:rPr>
              <w:t xml:space="preserve"> </w:t>
            </w:r>
            <w:r w:rsidRPr="00EB56CA">
              <w:rPr>
                <w:rFonts w:eastAsia="Times New Roman"/>
                <w:sz w:val="20"/>
                <w:szCs w:val="20"/>
                <w:lang w:val="es-CR" w:eastAsia="es-CR"/>
              </w:rPr>
              <w:t xml:space="preserve">Energy, </w:t>
            </w:r>
            <w:proofErr w:type="spellStart"/>
            <w:r w:rsidRPr="00EB56CA">
              <w:rPr>
                <w:rFonts w:eastAsia="Times New Roman"/>
                <w:sz w:val="20"/>
                <w:szCs w:val="20"/>
                <w:lang w:val="es-CR" w:eastAsia="es-CR"/>
              </w:rPr>
              <w:t>WtE</w:t>
            </w:r>
            <w:proofErr w:type="spellEnd"/>
            <w:r w:rsidRPr="00EB56CA">
              <w:rPr>
                <w:rFonts w:eastAsia="Times New Roman"/>
                <w:sz w:val="20"/>
                <w:szCs w:val="20"/>
                <w:lang w:val="es-CR" w:eastAsia="es-CR"/>
              </w:rPr>
              <w:t>), incluyendo las diferentes rutas tecnológicas para la recuperación de energía y recursos, experiencias internacionales, tendencias regulatorias, criterios técnicos de implementación y oportunidades para su incorporación en el fortalecimiento de la gestión integral de residuos sólidos en Costa Rica.</w:t>
            </w:r>
          </w:p>
        </w:tc>
        <w:tc>
          <w:tcPr>
            <w:tcW w:w="1828" w:type="dxa"/>
          </w:tcPr>
          <w:p w14:paraId="4C76C3D8" w14:textId="6D166CC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03440499" w14:textId="1057C718"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63710DDD"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212A1C2F" w14:textId="77777777" w:rsidTr="00594C70">
        <w:trPr>
          <w:trHeight w:val="50"/>
          <w:jc w:val="center"/>
        </w:trPr>
        <w:tc>
          <w:tcPr>
            <w:tcW w:w="1252" w:type="dxa"/>
          </w:tcPr>
          <w:p w14:paraId="496321F7" w14:textId="127D8B3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Meilyn Montenegro Mena</w:t>
            </w:r>
          </w:p>
        </w:tc>
        <w:tc>
          <w:tcPr>
            <w:tcW w:w="1530" w:type="dxa"/>
          </w:tcPr>
          <w:p w14:paraId="7B1AD519" w14:textId="75523F8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Dirección de Salud Ambiental</w:t>
            </w:r>
          </w:p>
        </w:tc>
        <w:tc>
          <w:tcPr>
            <w:tcW w:w="960" w:type="dxa"/>
          </w:tcPr>
          <w:p w14:paraId="4F6E0E27" w14:textId="6F5BFE9F"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25-jun-26</w:t>
            </w:r>
          </w:p>
        </w:tc>
        <w:tc>
          <w:tcPr>
            <w:tcW w:w="1230" w:type="dxa"/>
          </w:tcPr>
          <w:p w14:paraId="4C21C190" w14:textId="37441F3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6-jul-26</w:t>
            </w:r>
          </w:p>
        </w:tc>
        <w:tc>
          <w:tcPr>
            <w:tcW w:w="1204" w:type="dxa"/>
          </w:tcPr>
          <w:p w14:paraId="460B9185" w14:textId="4B6E216D"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República Popular China </w:t>
            </w:r>
          </w:p>
        </w:tc>
        <w:tc>
          <w:tcPr>
            <w:tcW w:w="1812" w:type="dxa"/>
          </w:tcPr>
          <w:p w14:paraId="44DA7DD9" w14:textId="5B051F06"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 xml:space="preserve">Seminario Bilateral 2026, Tecnologías innovadoras y sostenibles para fortalecer la </w:t>
            </w:r>
            <w:r w:rsidRPr="00EB56CA">
              <w:rPr>
                <w:rFonts w:eastAsia="Times New Roman"/>
                <w:sz w:val="20"/>
                <w:szCs w:val="20"/>
                <w:lang w:val="es-CR" w:eastAsia="es-CR"/>
              </w:rPr>
              <w:lastRenderedPageBreak/>
              <w:t>gestión integral de residuos sólidos en Costa Rica</w:t>
            </w:r>
          </w:p>
        </w:tc>
        <w:tc>
          <w:tcPr>
            <w:tcW w:w="1915" w:type="dxa"/>
          </w:tcPr>
          <w:p w14:paraId="0D1AC234" w14:textId="6E840D8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Valorar la incorporación de conocimientos y buenas prácticas identificadas durante la </w:t>
            </w:r>
            <w:r w:rsidRPr="00EB56CA">
              <w:rPr>
                <w:rFonts w:eastAsia="Times New Roman"/>
                <w:sz w:val="20"/>
                <w:szCs w:val="20"/>
                <w:lang w:val="es-CR" w:eastAsia="es-CR"/>
              </w:rPr>
              <w:lastRenderedPageBreak/>
              <w:t>capacitación como insumos técnicos para futuros procesos de revisión, actualización o desarrollo de normativa, lineamientos y criterios técnicos relacionados con la gestión integral de residuos sólidos en Costa Rica.</w:t>
            </w:r>
          </w:p>
        </w:tc>
        <w:tc>
          <w:tcPr>
            <w:tcW w:w="1828" w:type="dxa"/>
          </w:tcPr>
          <w:p w14:paraId="56990C99" w14:textId="5B071662"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lastRenderedPageBreak/>
              <w:t xml:space="preserve">República Popular China </w:t>
            </w:r>
          </w:p>
        </w:tc>
        <w:tc>
          <w:tcPr>
            <w:tcW w:w="1490" w:type="dxa"/>
          </w:tcPr>
          <w:p w14:paraId="48851CE7" w14:textId="39F285A5" w:rsidR="00EB56CA" w:rsidRPr="00CE624F" w:rsidRDefault="00EB56CA" w:rsidP="00EB56CA">
            <w:pPr>
              <w:spacing w:line="240" w:lineRule="auto"/>
              <w:rPr>
                <w:rFonts w:eastAsia="Times New Roman"/>
                <w:sz w:val="20"/>
                <w:szCs w:val="20"/>
                <w:lang w:val="es-CR" w:eastAsia="es-CR"/>
              </w:rPr>
            </w:pPr>
            <w:r w:rsidRPr="00EB56CA">
              <w:rPr>
                <w:rFonts w:eastAsia="Times New Roman"/>
                <w:sz w:val="20"/>
                <w:szCs w:val="20"/>
                <w:lang w:val="es-CR" w:eastAsia="es-CR"/>
              </w:rPr>
              <w:t>No se giran viáticos institucionales.</w:t>
            </w:r>
          </w:p>
        </w:tc>
        <w:tc>
          <w:tcPr>
            <w:tcW w:w="1589" w:type="dxa"/>
          </w:tcPr>
          <w:p w14:paraId="35B2A329" w14:textId="77777777" w:rsidR="00EB56CA" w:rsidRPr="00CE624F" w:rsidRDefault="00EB56CA" w:rsidP="00EB56CA">
            <w:pPr>
              <w:spacing w:line="240" w:lineRule="auto"/>
              <w:rPr>
                <w:rFonts w:eastAsia="Times New Roman"/>
                <w:sz w:val="20"/>
                <w:szCs w:val="20"/>
                <w:lang w:val="es-CR" w:eastAsia="es-CR"/>
              </w:rPr>
            </w:pPr>
          </w:p>
        </w:tc>
      </w:tr>
      <w:tr w:rsidR="00EB56CA" w:rsidRPr="00CE624F" w14:paraId="3F360B59" w14:textId="77777777" w:rsidTr="00594C70">
        <w:trPr>
          <w:trHeight w:val="50"/>
          <w:jc w:val="center"/>
        </w:trPr>
        <w:tc>
          <w:tcPr>
            <w:tcW w:w="14810" w:type="dxa"/>
            <w:gridSpan w:val="10"/>
            <w:shd w:val="clear" w:color="auto" w:fill="0F4761" w:themeFill="accent1" w:themeFillShade="BF"/>
          </w:tcPr>
          <w:p w14:paraId="6F2D7D8A" w14:textId="77777777" w:rsidR="00EB56CA" w:rsidRPr="00CE624F" w:rsidRDefault="00EB56CA" w:rsidP="00EB56CA">
            <w:pPr>
              <w:spacing w:line="240" w:lineRule="auto"/>
              <w:jc w:val="center"/>
              <w:rPr>
                <w:rFonts w:eastAsia="Times New Roman"/>
                <w:b/>
                <w:bCs/>
                <w:color w:val="FFFFFF" w:themeColor="background1"/>
                <w:sz w:val="20"/>
                <w:szCs w:val="20"/>
                <w:lang w:val="es-ES_tradnl" w:eastAsia="es-CR"/>
              </w:rPr>
            </w:pPr>
            <w:r w:rsidRPr="00CE624F">
              <w:rPr>
                <w:rFonts w:eastAsia="Times New Roman"/>
                <w:b/>
                <w:bCs/>
                <w:color w:val="FFFFFF" w:themeColor="background1"/>
                <w:sz w:val="20"/>
                <w:szCs w:val="20"/>
                <w:lang w:val="es-ES_tradnl" w:eastAsia="es-CR"/>
              </w:rPr>
              <w:t>Última línea</w:t>
            </w:r>
          </w:p>
        </w:tc>
      </w:tr>
    </w:tbl>
    <w:p w14:paraId="175E24AF" w14:textId="77777777" w:rsidR="007C6A0B" w:rsidRPr="00D63D83" w:rsidRDefault="007C6A0B" w:rsidP="007C6A0B">
      <w:pPr>
        <w:spacing w:line="240" w:lineRule="auto"/>
        <w:rPr>
          <w:sz w:val="20"/>
          <w:szCs w:val="20"/>
          <w:lang w:val="es-ES_tradnl"/>
        </w:rPr>
      </w:pPr>
    </w:p>
    <w:p w14:paraId="11B20EC4" w14:textId="77777777" w:rsidR="007C6A0B" w:rsidRPr="00003613" w:rsidRDefault="007C6A0B" w:rsidP="007C6A0B">
      <w:pPr>
        <w:spacing w:line="240" w:lineRule="auto"/>
      </w:pPr>
      <w:r w:rsidRPr="00D63D83">
        <w:rPr>
          <w:sz w:val="20"/>
          <w:szCs w:val="20"/>
          <w:lang w:val="es-ES_tradnl"/>
        </w:rPr>
        <w:t xml:space="preserve">Actualizado: </w:t>
      </w:r>
      <w:r>
        <w:rPr>
          <w:sz w:val="20"/>
          <w:szCs w:val="20"/>
          <w:lang w:val="es-ES_tradnl"/>
        </w:rPr>
        <w:t>14 de setiembre, 2026.</w:t>
      </w:r>
    </w:p>
    <w:p w14:paraId="6E37DC75" w14:textId="77777777" w:rsidR="0065321F" w:rsidRDefault="0065321F"/>
    <w:sectPr w:rsidR="0065321F" w:rsidSect="007C6A0B">
      <w:headerReference w:type="default" r:id="rId4"/>
      <w:footerReference w:type="default" r:id="rId5"/>
      <w:pgSz w:w="15840" w:h="12240" w:orient="landscape"/>
      <w:pgMar w:top="1440" w:right="1276" w:bottom="1440" w:left="1701" w:header="703" w:footer="956"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E366" w14:textId="77777777" w:rsidR="007C6A0B" w:rsidRDefault="007C6A0B" w:rsidP="004D61A4">
    <w:pPr>
      <w:spacing w:line="240" w:lineRule="auto"/>
      <w:ind w:right="-40"/>
      <w:jc w:val="center"/>
      <w:rPr>
        <w:b/>
        <w:color w:val="004691"/>
        <w:sz w:val="18"/>
        <w:szCs w:val="18"/>
      </w:rPr>
    </w:pPr>
  </w:p>
  <w:p w14:paraId="1ACDAA9B" w14:textId="77777777" w:rsidR="007C6A0B" w:rsidRPr="00976BED" w:rsidRDefault="007C6A0B" w:rsidP="004D61A4">
    <w:pPr>
      <w:spacing w:line="240" w:lineRule="auto"/>
      <w:jc w:val="center"/>
      <w:rPr>
        <w:rFonts w:eastAsia="Calibri"/>
        <w:b/>
        <w:color w:val="0E2841" w:themeColor="text2"/>
        <w:sz w:val="15"/>
        <w:szCs w:val="15"/>
      </w:rPr>
    </w:pPr>
    <w:r>
      <w:rPr>
        <w:rFonts w:eastAsia="Calibri"/>
        <w:b/>
        <w:color w:val="0E2841" w:themeColor="text2"/>
        <w:sz w:val="15"/>
        <w:szCs w:val="15"/>
      </w:rPr>
      <w:t xml:space="preserve">Unidad de Relaciones Internacionales </w:t>
    </w:r>
  </w:p>
  <w:p w14:paraId="5F16BB2C" w14:textId="77777777" w:rsidR="007C6A0B" w:rsidRPr="00976BED" w:rsidRDefault="007C6A0B" w:rsidP="004D61A4">
    <w:pPr>
      <w:spacing w:line="240" w:lineRule="auto"/>
      <w:jc w:val="center"/>
      <w:rPr>
        <w:rFonts w:eastAsia="Calibri"/>
        <w:color w:val="0E2841" w:themeColor="text2"/>
        <w:sz w:val="15"/>
        <w:szCs w:val="15"/>
      </w:rPr>
    </w:pPr>
    <w:hyperlink r:id="rId1" w:history="1">
      <w:r w:rsidRPr="00A83DCD">
        <w:rPr>
          <w:rStyle w:val="Hipervnculo"/>
          <w:rFonts w:eastAsia="Calibri"/>
          <w:sz w:val="15"/>
          <w:szCs w:val="15"/>
        </w:rPr>
        <w:t>internacionales@misalud.go.cr</w:t>
      </w:r>
    </w:hyperlink>
  </w:p>
  <w:p w14:paraId="0617700A" w14:textId="77777777" w:rsidR="007C6A0B" w:rsidRDefault="007C6A0B" w:rsidP="004D61A4">
    <w:pPr>
      <w:spacing w:line="240" w:lineRule="auto"/>
      <w:jc w:val="center"/>
      <w:rPr>
        <w:rFonts w:eastAsia="Calibri"/>
        <w:color w:val="0E2841" w:themeColor="text2"/>
        <w:sz w:val="15"/>
        <w:szCs w:val="15"/>
      </w:rPr>
    </w:pPr>
    <w:r w:rsidRPr="00976BED">
      <w:rPr>
        <w:rFonts w:eastAsia="Calibri"/>
        <w:color w:val="0E2841" w:themeColor="text2"/>
        <w:sz w:val="15"/>
        <w:szCs w:val="15"/>
      </w:rPr>
      <w:t xml:space="preserve">Tel. </w:t>
    </w:r>
    <w:r>
      <w:rPr>
        <w:rFonts w:eastAsia="Calibri"/>
        <w:color w:val="0E2841" w:themeColor="text2"/>
        <w:sz w:val="15"/>
        <w:szCs w:val="15"/>
      </w:rPr>
      <w:t>4003-5182</w:t>
    </w:r>
  </w:p>
  <w:p w14:paraId="4C31D612" w14:textId="77777777" w:rsidR="007C6A0B" w:rsidRDefault="007C6A0B" w:rsidP="004D61A4">
    <w:pPr>
      <w:spacing w:line="240" w:lineRule="auto"/>
      <w:jc w:val="center"/>
      <w:rPr>
        <w:rFonts w:eastAsia="Calibri"/>
        <w:color w:val="0E2841" w:themeColor="text2"/>
        <w:sz w:val="15"/>
        <w:szCs w:val="15"/>
      </w:rPr>
    </w:pPr>
    <w:r>
      <w:rPr>
        <w:noProof/>
      </w:rPr>
      <w:drawing>
        <wp:anchor distT="0" distB="0" distL="114300" distR="114300" simplePos="0" relativeHeight="251660288" behindDoc="0" locked="0" layoutInCell="1" allowOverlap="1" wp14:anchorId="07B390E3" wp14:editId="0ECA07DE">
          <wp:simplePos x="0" y="0"/>
          <wp:positionH relativeFrom="page">
            <wp:align>left</wp:align>
          </wp:positionH>
          <wp:positionV relativeFrom="paragraph">
            <wp:posOffset>229870</wp:posOffset>
          </wp:positionV>
          <wp:extent cx="10052685" cy="545465"/>
          <wp:effectExtent l="0" t="0" r="5715" b="6985"/>
          <wp:wrapSquare wrapText="bothSides"/>
          <wp:docPr id="1034257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2">
                    <a:extLst>
                      <a:ext uri="{28A0092B-C50C-407E-A947-70E740481C1C}">
                        <a14:useLocalDpi xmlns:a14="http://schemas.microsoft.com/office/drawing/2010/main" val="0"/>
                      </a:ext>
                    </a:extLst>
                  </a:blip>
                  <a:stretch>
                    <a:fillRect/>
                  </a:stretch>
                </pic:blipFill>
                <pic:spPr>
                  <a:xfrm>
                    <a:off x="0" y="0"/>
                    <a:ext cx="10052685" cy="5454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79C9A59" wp14:editId="4DDA4C35">
          <wp:simplePos x="0" y="0"/>
          <wp:positionH relativeFrom="page">
            <wp:align>right</wp:align>
          </wp:positionH>
          <wp:positionV relativeFrom="paragraph">
            <wp:posOffset>1120140</wp:posOffset>
          </wp:positionV>
          <wp:extent cx="7766685" cy="545465"/>
          <wp:effectExtent l="0" t="0" r="5715" b="6985"/>
          <wp:wrapNone/>
          <wp:docPr id="936501021" name="Imagen 93650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2">
                    <a:extLst>
                      <a:ext uri="{28A0092B-C50C-407E-A947-70E740481C1C}">
                        <a14:useLocalDpi xmlns:a14="http://schemas.microsoft.com/office/drawing/2010/main" val="0"/>
                      </a:ext>
                    </a:extLst>
                  </a:blip>
                  <a:stretch>
                    <a:fillRect/>
                  </a:stretch>
                </pic:blipFill>
                <pic:spPr>
                  <a:xfrm>
                    <a:off x="0" y="0"/>
                    <a:ext cx="7766685" cy="545465"/>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BDF7" w14:textId="77777777" w:rsidR="007C6A0B" w:rsidRPr="00C617CA" w:rsidRDefault="007C6A0B" w:rsidP="00A343F7">
    <w:pPr>
      <w:pStyle w:val="Encabezado"/>
      <w:rPr>
        <w:sz w:val="2"/>
        <w:szCs w:val="2"/>
      </w:rPr>
    </w:pPr>
    <w:r>
      <w:rPr>
        <w:noProof/>
      </w:rPr>
      <w:drawing>
        <wp:anchor distT="0" distB="0" distL="114300" distR="114300" simplePos="0" relativeHeight="251659264" behindDoc="0" locked="0" layoutInCell="1" allowOverlap="1" wp14:anchorId="3CDC4DEB" wp14:editId="6AA60EC7">
          <wp:simplePos x="0" y="0"/>
          <wp:positionH relativeFrom="page">
            <wp:align>left</wp:align>
          </wp:positionH>
          <wp:positionV relativeFrom="paragraph">
            <wp:posOffset>-436880</wp:posOffset>
          </wp:positionV>
          <wp:extent cx="10052685" cy="1269365"/>
          <wp:effectExtent l="0" t="0" r="5715" b="6985"/>
          <wp:wrapSquare wrapText="bothSides"/>
          <wp:docPr id="1259221905" name="Imagen 1259221905"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21113" name="Picture 1" descr="A white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52685" cy="1269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A0B"/>
    <w:rsid w:val="001351F6"/>
    <w:rsid w:val="0065321F"/>
    <w:rsid w:val="00662483"/>
    <w:rsid w:val="007C6A0B"/>
    <w:rsid w:val="00A9784E"/>
    <w:rsid w:val="00DB43D6"/>
    <w:rsid w:val="00EA5BF4"/>
    <w:rsid w:val="00EB56C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828B5"/>
  <w15:chartTrackingRefBased/>
  <w15:docId w15:val="{6EF9C1A8-B0C5-4874-90D5-68C6EC65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A0B"/>
    <w:pPr>
      <w:spacing w:after="0" w:line="276" w:lineRule="auto"/>
    </w:pPr>
    <w:rPr>
      <w:rFonts w:ascii="Arial" w:eastAsia="Arial" w:hAnsi="Arial" w:cs="Arial"/>
      <w:kern w:val="0"/>
      <w:lang w:val="es-419" w:eastAsia="es-ES"/>
      <w14:ligatures w14:val="none"/>
    </w:rPr>
  </w:style>
  <w:style w:type="paragraph" w:styleId="Ttulo1">
    <w:name w:val="heading 1"/>
    <w:basedOn w:val="Normal"/>
    <w:next w:val="Normal"/>
    <w:link w:val="Ttulo1Car"/>
    <w:uiPriority w:val="9"/>
    <w:qFormat/>
    <w:rsid w:val="007C6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6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6A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6A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6A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6A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6A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6A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6A0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6A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6A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6A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6A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6A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6A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6A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6A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6A0B"/>
    <w:rPr>
      <w:rFonts w:eastAsiaTheme="majorEastAsia" w:cstheme="majorBidi"/>
      <w:color w:val="272727" w:themeColor="text1" w:themeTint="D8"/>
    </w:rPr>
  </w:style>
  <w:style w:type="paragraph" w:styleId="Ttulo">
    <w:name w:val="Title"/>
    <w:basedOn w:val="Normal"/>
    <w:next w:val="Normal"/>
    <w:link w:val="TtuloCar"/>
    <w:uiPriority w:val="10"/>
    <w:qFormat/>
    <w:rsid w:val="007C6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6A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6A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6A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6A0B"/>
    <w:pPr>
      <w:spacing w:before="160"/>
      <w:jc w:val="center"/>
    </w:pPr>
    <w:rPr>
      <w:i/>
      <w:iCs/>
      <w:color w:val="404040" w:themeColor="text1" w:themeTint="BF"/>
    </w:rPr>
  </w:style>
  <w:style w:type="character" w:customStyle="1" w:styleId="CitaCar">
    <w:name w:val="Cita Car"/>
    <w:basedOn w:val="Fuentedeprrafopredeter"/>
    <w:link w:val="Cita"/>
    <w:uiPriority w:val="29"/>
    <w:rsid w:val="007C6A0B"/>
    <w:rPr>
      <w:i/>
      <w:iCs/>
      <w:color w:val="404040" w:themeColor="text1" w:themeTint="BF"/>
    </w:rPr>
  </w:style>
  <w:style w:type="paragraph" w:styleId="Prrafodelista">
    <w:name w:val="List Paragraph"/>
    <w:basedOn w:val="Normal"/>
    <w:uiPriority w:val="34"/>
    <w:qFormat/>
    <w:rsid w:val="007C6A0B"/>
    <w:pPr>
      <w:ind w:left="720"/>
      <w:contextualSpacing/>
    </w:pPr>
  </w:style>
  <w:style w:type="character" w:styleId="nfasisintenso">
    <w:name w:val="Intense Emphasis"/>
    <w:basedOn w:val="Fuentedeprrafopredeter"/>
    <w:uiPriority w:val="21"/>
    <w:qFormat/>
    <w:rsid w:val="007C6A0B"/>
    <w:rPr>
      <w:i/>
      <w:iCs/>
      <w:color w:val="0F4761" w:themeColor="accent1" w:themeShade="BF"/>
    </w:rPr>
  </w:style>
  <w:style w:type="paragraph" w:styleId="Citadestacada">
    <w:name w:val="Intense Quote"/>
    <w:basedOn w:val="Normal"/>
    <w:next w:val="Normal"/>
    <w:link w:val="CitadestacadaCar"/>
    <w:uiPriority w:val="30"/>
    <w:qFormat/>
    <w:rsid w:val="007C6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6A0B"/>
    <w:rPr>
      <w:i/>
      <w:iCs/>
      <w:color w:val="0F4761" w:themeColor="accent1" w:themeShade="BF"/>
    </w:rPr>
  </w:style>
  <w:style w:type="character" w:styleId="Referenciaintensa">
    <w:name w:val="Intense Reference"/>
    <w:basedOn w:val="Fuentedeprrafopredeter"/>
    <w:uiPriority w:val="32"/>
    <w:qFormat/>
    <w:rsid w:val="007C6A0B"/>
    <w:rPr>
      <w:b/>
      <w:bCs/>
      <w:smallCaps/>
      <w:color w:val="0F4761" w:themeColor="accent1" w:themeShade="BF"/>
      <w:spacing w:val="5"/>
    </w:rPr>
  </w:style>
  <w:style w:type="paragraph" w:styleId="Encabezado">
    <w:name w:val="header"/>
    <w:basedOn w:val="Normal"/>
    <w:link w:val="EncabezadoCar"/>
    <w:uiPriority w:val="99"/>
    <w:unhideWhenUsed/>
    <w:rsid w:val="007C6A0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7C6A0B"/>
    <w:rPr>
      <w:rFonts w:ascii="Arial" w:eastAsia="Arial" w:hAnsi="Arial" w:cs="Arial"/>
      <w:kern w:val="0"/>
      <w:lang w:val="es-419" w:eastAsia="es-ES"/>
      <w14:ligatures w14:val="none"/>
    </w:rPr>
  </w:style>
  <w:style w:type="character" w:styleId="Hipervnculo">
    <w:name w:val="Hyperlink"/>
    <w:basedOn w:val="Fuentedeprrafopredeter"/>
    <w:uiPriority w:val="99"/>
    <w:unhideWhenUsed/>
    <w:rsid w:val="007C6A0B"/>
    <w:rPr>
      <w:color w:val="467886" w:themeColor="hyperlink"/>
      <w:u w:val="single"/>
    </w:rPr>
  </w:style>
  <w:style w:type="character" w:styleId="Hipervnculovisitado">
    <w:name w:val="FollowedHyperlink"/>
    <w:basedOn w:val="Fuentedeprrafopredeter"/>
    <w:uiPriority w:val="99"/>
    <w:semiHidden/>
    <w:unhideWhenUsed/>
    <w:rsid w:val="00EB56CA"/>
    <w:rPr>
      <w:color w:val="96607D"/>
      <w:u w:val="single"/>
    </w:rPr>
  </w:style>
  <w:style w:type="paragraph" w:customStyle="1" w:styleId="msonormal0">
    <w:name w:val="msonormal"/>
    <w:basedOn w:val="Normal"/>
    <w:rsid w:val="00EB56CA"/>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xl66">
    <w:name w:val="xl66"/>
    <w:basedOn w:val="Normal"/>
    <w:rsid w:val="00EB56CA"/>
    <w:pPr>
      <w:spacing w:before="100" w:beforeAutospacing="1" w:after="100" w:afterAutospacing="1" w:line="240" w:lineRule="auto"/>
      <w:jc w:val="center"/>
    </w:pPr>
    <w:rPr>
      <w:rFonts w:ascii="Times New Roman" w:eastAsia="Times New Roman" w:hAnsi="Times New Roman" w:cs="Times New Roman"/>
      <w:sz w:val="24"/>
      <w:szCs w:val="24"/>
      <w:lang w:val="es-CR" w:eastAsia="es-CR"/>
    </w:rPr>
  </w:style>
  <w:style w:type="paragraph" w:customStyle="1" w:styleId="xl67">
    <w:name w:val="xl67"/>
    <w:basedOn w:val="Normal"/>
    <w:rsid w:val="00EB56CA"/>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8">
    <w:name w:val="xl68"/>
    <w:basedOn w:val="Normal"/>
    <w:rsid w:val="00EB56C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s-CR" w:eastAsia="es-CR"/>
    </w:rPr>
  </w:style>
  <w:style w:type="paragraph" w:customStyle="1" w:styleId="xl69">
    <w:name w:val="xl69"/>
    <w:basedOn w:val="Normal"/>
    <w:rsid w:val="00EB56C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s-CR" w:eastAsia="es-CR"/>
    </w:rPr>
  </w:style>
  <w:style w:type="paragraph" w:customStyle="1" w:styleId="xl70">
    <w:name w:val="xl70"/>
    <w:basedOn w:val="Normal"/>
    <w:rsid w:val="00EB56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s-CR" w:eastAsia="es-CR"/>
    </w:rPr>
  </w:style>
  <w:style w:type="paragraph" w:customStyle="1" w:styleId="xl71">
    <w:name w:val="xl71"/>
    <w:basedOn w:val="Normal"/>
    <w:rsid w:val="00EB56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 w:type="paragraph" w:customStyle="1" w:styleId="xl72">
    <w:name w:val="xl72"/>
    <w:basedOn w:val="Normal"/>
    <w:rsid w:val="00EB56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 w:type="paragraph" w:customStyle="1" w:styleId="xl73">
    <w:name w:val="xl73"/>
    <w:basedOn w:val="Normal"/>
    <w:rsid w:val="00EB56CA"/>
    <w:pPr>
      <w:pBdr>
        <w:top w:val="single" w:sz="4" w:space="0" w:color="auto"/>
        <w:left w:val="single" w:sz="4" w:space="0" w:color="auto"/>
        <w:right w:val="single" w:sz="4" w:space="0" w:color="auto"/>
      </w:pBdr>
      <w:shd w:val="clear" w:color="000000" w:fill="FBE2D5"/>
      <w:spacing w:before="100" w:beforeAutospacing="1" w:after="100" w:afterAutospacing="1" w:line="240" w:lineRule="auto"/>
      <w:jc w:val="center"/>
      <w:textAlignment w:val="top"/>
    </w:pPr>
    <w:rPr>
      <w:rFonts w:ascii="Times New Roman" w:eastAsia="Times New Roman" w:hAnsi="Times New Roman" w:cs="Times New Roman"/>
      <w:sz w:val="24"/>
      <w:szCs w:val="24"/>
      <w:lang w:val="es-CR" w:eastAsia="es-CR"/>
    </w:rPr>
  </w:style>
  <w:style w:type="paragraph" w:customStyle="1" w:styleId="xl74">
    <w:name w:val="xl74"/>
    <w:basedOn w:val="Normal"/>
    <w:rsid w:val="00EB56CA"/>
    <w:pPr>
      <w:pBdr>
        <w:top w:val="single" w:sz="4" w:space="0" w:color="auto"/>
        <w:left w:val="single" w:sz="4" w:space="0" w:color="auto"/>
        <w:right w:val="single" w:sz="4" w:space="0" w:color="auto"/>
      </w:pBdr>
      <w:shd w:val="clear" w:color="000000" w:fill="FBE2D5"/>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 w:type="paragraph" w:customStyle="1" w:styleId="xl76">
    <w:name w:val="xl76"/>
    <w:basedOn w:val="Normal"/>
    <w:rsid w:val="00EB56CA"/>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xl77">
    <w:name w:val="xl77"/>
    <w:basedOn w:val="Normal"/>
    <w:rsid w:val="00EB56CA"/>
    <w:pPr>
      <w:pBdr>
        <w:top w:val="single" w:sz="4" w:space="0" w:color="auto"/>
        <w:left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78">
    <w:name w:val="xl78"/>
    <w:basedOn w:val="Normal"/>
    <w:rsid w:val="00EB56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 w:type="paragraph" w:customStyle="1" w:styleId="xl79">
    <w:name w:val="xl79"/>
    <w:basedOn w:val="Normal"/>
    <w:rsid w:val="00EB56CA"/>
    <w:pPr>
      <w:pBdr>
        <w:top w:val="single" w:sz="4" w:space="0" w:color="auto"/>
        <w:left w:val="single" w:sz="4" w:space="0" w:color="auto"/>
        <w:right w:val="single" w:sz="4" w:space="0" w:color="auto"/>
      </w:pBdr>
      <w:shd w:val="clear" w:color="000000" w:fill="F2CEEF"/>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 w:type="paragraph" w:customStyle="1" w:styleId="xl80">
    <w:name w:val="xl80"/>
    <w:basedOn w:val="Normal"/>
    <w:rsid w:val="00EB56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 w:type="paragraph" w:customStyle="1" w:styleId="xl81">
    <w:name w:val="xl81"/>
    <w:basedOn w:val="Normal"/>
    <w:rsid w:val="00EB56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internacionales@misalud.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24</Pages>
  <Words>3260</Words>
  <Characters>17933</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Salazar González</dc:creator>
  <cp:keywords/>
  <dc:description/>
  <cp:lastModifiedBy>Adriana Salazar González</cp:lastModifiedBy>
  <cp:revision>1</cp:revision>
  <dcterms:created xsi:type="dcterms:W3CDTF">2026-09-14T14:16:00Z</dcterms:created>
  <dcterms:modified xsi:type="dcterms:W3CDTF">2026-09-14T14:45:00Z</dcterms:modified>
</cp:coreProperties>
</file>