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25CA7" w14:textId="77777777" w:rsidR="00862D1A" w:rsidRPr="00D63D83" w:rsidRDefault="00862D1A" w:rsidP="00862D1A">
      <w:pPr>
        <w:spacing w:line="240" w:lineRule="auto"/>
        <w:jc w:val="center"/>
        <w:rPr>
          <w:b/>
          <w:bCs/>
          <w:sz w:val="24"/>
          <w:szCs w:val="24"/>
          <w:lang w:val="es-ES_tradnl"/>
        </w:rPr>
      </w:pPr>
      <w:r w:rsidRPr="00D63D83">
        <w:rPr>
          <w:b/>
          <w:bCs/>
          <w:sz w:val="24"/>
          <w:szCs w:val="24"/>
          <w:lang w:val="es-ES_tradnl"/>
        </w:rPr>
        <w:t>Participación de funcionarios del Ministerio de Salud en actividades fuera del país</w:t>
      </w:r>
    </w:p>
    <w:p w14:paraId="55093A99" w14:textId="59797344" w:rsidR="00862D1A" w:rsidRDefault="00862D1A" w:rsidP="00862D1A">
      <w:pPr>
        <w:spacing w:line="240" w:lineRule="auto"/>
        <w:jc w:val="center"/>
        <w:rPr>
          <w:b/>
          <w:bCs/>
          <w:sz w:val="24"/>
          <w:szCs w:val="24"/>
          <w:lang w:val="es-ES_tradnl"/>
        </w:rPr>
      </w:pPr>
      <w:r>
        <w:rPr>
          <w:b/>
          <w:bCs/>
          <w:sz w:val="24"/>
          <w:szCs w:val="24"/>
          <w:lang w:val="es-ES_tradnl"/>
        </w:rPr>
        <w:t>Mayo</w:t>
      </w:r>
      <w:r>
        <w:rPr>
          <w:b/>
          <w:bCs/>
          <w:sz w:val="24"/>
          <w:szCs w:val="24"/>
          <w:lang w:val="es-ES_tradnl"/>
        </w:rPr>
        <w:t xml:space="preserve"> </w:t>
      </w:r>
      <w:r w:rsidRPr="00D63D83">
        <w:rPr>
          <w:b/>
          <w:bCs/>
          <w:sz w:val="24"/>
          <w:szCs w:val="24"/>
          <w:lang w:val="es-ES_tradnl"/>
        </w:rPr>
        <w:t>202</w:t>
      </w:r>
      <w:r>
        <w:rPr>
          <w:b/>
          <w:bCs/>
          <w:sz w:val="24"/>
          <w:szCs w:val="24"/>
          <w:lang w:val="es-ES_tradnl"/>
        </w:rPr>
        <w:t>6</w:t>
      </w:r>
    </w:p>
    <w:p w14:paraId="65427ED0" w14:textId="77777777" w:rsidR="00862D1A" w:rsidRPr="00D63D83" w:rsidRDefault="00862D1A" w:rsidP="00862D1A">
      <w:pPr>
        <w:spacing w:line="240" w:lineRule="auto"/>
        <w:jc w:val="center"/>
        <w:rPr>
          <w:b/>
          <w:bCs/>
          <w:sz w:val="24"/>
          <w:szCs w:val="24"/>
          <w:lang w:val="es-ES_tradnl"/>
        </w:rPr>
      </w:pPr>
    </w:p>
    <w:p w14:paraId="5E19E7CE" w14:textId="77777777" w:rsidR="00862D1A" w:rsidRPr="00D63D83" w:rsidRDefault="00862D1A" w:rsidP="00862D1A">
      <w:pPr>
        <w:spacing w:line="240" w:lineRule="auto"/>
        <w:jc w:val="center"/>
        <w:rPr>
          <w:b/>
          <w:bCs/>
          <w:sz w:val="20"/>
          <w:szCs w:val="20"/>
          <w:lang w:val="es-ES_tradnl"/>
        </w:rPr>
      </w:pPr>
    </w:p>
    <w:tbl>
      <w:tblPr>
        <w:tblW w:w="14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52"/>
        <w:gridCol w:w="1530"/>
        <w:gridCol w:w="960"/>
        <w:gridCol w:w="1230"/>
        <w:gridCol w:w="1204"/>
        <w:gridCol w:w="1812"/>
        <w:gridCol w:w="1915"/>
        <w:gridCol w:w="1828"/>
        <w:gridCol w:w="1490"/>
        <w:gridCol w:w="1589"/>
      </w:tblGrid>
      <w:tr w:rsidR="00862D1A" w:rsidRPr="00CE624F" w14:paraId="48A9583F" w14:textId="77777777" w:rsidTr="00594C70">
        <w:trPr>
          <w:trHeight w:val="697"/>
          <w:tblHeader/>
          <w:jc w:val="center"/>
        </w:trPr>
        <w:tc>
          <w:tcPr>
            <w:tcW w:w="1252" w:type="dxa"/>
            <w:shd w:val="clear" w:color="000000" w:fill="B4C6E7"/>
            <w:vAlign w:val="center"/>
            <w:hideMark/>
          </w:tcPr>
          <w:p w14:paraId="22DEBD14"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Nombre</w:t>
            </w:r>
          </w:p>
        </w:tc>
        <w:tc>
          <w:tcPr>
            <w:tcW w:w="1530" w:type="dxa"/>
            <w:shd w:val="clear" w:color="000000" w:fill="B4C6E7"/>
            <w:vAlign w:val="center"/>
            <w:hideMark/>
          </w:tcPr>
          <w:p w14:paraId="560869AD"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Dirección</w:t>
            </w:r>
          </w:p>
        </w:tc>
        <w:tc>
          <w:tcPr>
            <w:tcW w:w="960" w:type="dxa"/>
            <w:shd w:val="clear" w:color="000000" w:fill="B4C6E7"/>
            <w:vAlign w:val="center"/>
            <w:hideMark/>
          </w:tcPr>
          <w:p w14:paraId="1BCB01A5"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Fecha de inicio</w:t>
            </w:r>
          </w:p>
        </w:tc>
        <w:tc>
          <w:tcPr>
            <w:tcW w:w="1230" w:type="dxa"/>
            <w:shd w:val="clear" w:color="000000" w:fill="B4C6E7"/>
            <w:vAlign w:val="center"/>
            <w:hideMark/>
          </w:tcPr>
          <w:p w14:paraId="560ACAB7"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Fecha de finalización</w:t>
            </w:r>
          </w:p>
        </w:tc>
        <w:tc>
          <w:tcPr>
            <w:tcW w:w="1204" w:type="dxa"/>
            <w:shd w:val="clear" w:color="000000" w:fill="B4C6E7"/>
            <w:vAlign w:val="center"/>
            <w:hideMark/>
          </w:tcPr>
          <w:p w14:paraId="770FBC06"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Lugar</w:t>
            </w:r>
          </w:p>
        </w:tc>
        <w:tc>
          <w:tcPr>
            <w:tcW w:w="1812" w:type="dxa"/>
            <w:shd w:val="clear" w:color="000000" w:fill="B4C6E7"/>
            <w:vAlign w:val="center"/>
            <w:hideMark/>
          </w:tcPr>
          <w:p w14:paraId="31AD2173"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Actividad</w:t>
            </w:r>
          </w:p>
        </w:tc>
        <w:tc>
          <w:tcPr>
            <w:tcW w:w="1915" w:type="dxa"/>
            <w:shd w:val="clear" w:color="000000" w:fill="B4C6E7"/>
            <w:vAlign w:val="center"/>
            <w:hideMark/>
          </w:tcPr>
          <w:p w14:paraId="59E90893"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Compromisos</w:t>
            </w:r>
          </w:p>
        </w:tc>
        <w:tc>
          <w:tcPr>
            <w:tcW w:w="1828" w:type="dxa"/>
            <w:shd w:val="clear" w:color="000000" w:fill="B4C6E7"/>
            <w:vAlign w:val="center"/>
            <w:hideMark/>
          </w:tcPr>
          <w:p w14:paraId="5BFADA66"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Financiado por</w:t>
            </w:r>
          </w:p>
        </w:tc>
        <w:tc>
          <w:tcPr>
            <w:tcW w:w="1490" w:type="dxa"/>
            <w:shd w:val="clear" w:color="000000" w:fill="B4C6E7"/>
            <w:vAlign w:val="center"/>
            <w:hideMark/>
          </w:tcPr>
          <w:p w14:paraId="41996394"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Viáticos</w:t>
            </w:r>
          </w:p>
        </w:tc>
        <w:tc>
          <w:tcPr>
            <w:tcW w:w="1589" w:type="dxa"/>
            <w:shd w:val="clear" w:color="000000" w:fill="B4C6E7"/>
            <w:vAlign w:val="center"/>
            <w:hideMark/>
          </w:tcPr>
          <w:p w14:paraId="348E0D84" w14:textId="77777777" w:rsidR="00862D1A" w:rsidRPr="00CE624F" w:rsidRDefault="00862D1A" w:rsidP="00594C70">
            <w:pPr>
              <w:spacing w:line="240" w:lineRule="auto"/>
              <w:jc w:val="center"/>
              <w:rPr>
                <w:rFonts w:eastAsia="Times New Roman"/>
                <w:b/>
                <w:bCs/>
                <w:sz w:val="20"/>
                <w:szCs w:val="20"/>
                <w:lang w:val="es-ES_tradnl" w:eastAsia="es-CR"/>
              </w:rPr>
            </w:pPr>
            <w:r w:rsidRPr="00CE624F">
              <w:rPr>
                <w:rFonts w:eastAsia="Times New Roman"/>
                <w:b/>
                <w:bCs/>
                <w:sz w:val="20"/>
                <w:szCs w:val="20"/>
                <w:lang w:val="es-ES_tradnl" w:eastAsia="es-CR"/>
              </w:rPr>
              <w:t>Observaciones</w:t>
            </w:r>
          </w:p>
        </w:tc>
      </w:tr>
      <w:tr w:rsidR="007545E0" w:rsidRPr="00CE624F" w14:paraId="71A1AD92" w14:textId="77777777" w:rsidTr="00594C70">
        <w:trPr>
          <w:trHeight w:val="50"/>
          <w:jc w:val="center"/>
        </w:trPr>
        <w:tc>
          <w:tcPr>
            <w:tcW w:w="1252" w:type="dxa"/>
          </w:tcPr>
          <w:p w14:paraId="23AB33D1" w14:textId="2DBE8480"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Paula Solano Gamboa</w:t>
            </w:r>
          </w:p>
        </w:tc>
        <w:tc>
          <w:tcPr>
            <w:tcW w:w="1530" w:type="dxa"/>
          </w:tcPr>
          <w:p w14:paraId="79EFA4FA" w14:textId="00EDDB2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Dirección de Salud Ambiental</w:t>
            </w:r>
          </w:p>
        </w:tc>
        <w:tc>
          <w:tcPr>
            <w:tcW w:w="960" w:type="dxa"/>
          </w:tcPr>
          <w:p w14:paraId="7998F2AB" w14:textId="3FFD0092"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3-</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7BA28107" w14:textId="680BAA9E"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9-</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04" w:type="dxa"/>
          </w:tcPr>
          <w:p w14:paraId="243CF3F0" w14:textId="229D62F1"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Chile</w:t>
            </w:r>
          </w:p>
        </w:tc>
        <w:tc>
          <w:tcPr>
            <w:tcW w:w="1812" w:type="dxa"/>
          </w:tcPr>
          <w:p w14:paraId="5167048B" w14:textId="0AE96E7A"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Misión técnica en el marco del Proyecto “Acelerar la transición hacia una economía de cero emisiones neta y positiva para la naturaleza en Costa Rica"</w:t>
            </w:r>
          </w:p>
        </w:tc>
        <w:tc>
          <w:tcPr>
            <w:tcW w:w="1915" w:type="dxa"/>
          </w:tcPr>
          <w:p w14:paraId="782637D6" w14:textId="383FF744" w:rsidR="007545E0" w:rsidRPr="00CE624F" w:rsidRDefault="007545E0" w:rsidP="007545E0">
            <w:pPr>
              <w:spacing w:line="240" w:lineRule="auto"/>
              <w:rPr>
                <w:rFonts w:eastAsia="Times New Roman"/>
                <w:i/>
                <w:iCs/>
                <w:sz w:val="20"/>
                <w:szCs w:val="20"/>
                <w:lang w:val="es-CR" w:eastAsia="es-CR"/>
              </w:rPr>
            </w:pPr>
            <w:r w:rsidRPr="00862D1A">
              <w:rPr>
                <w:rFonts w:eastAsia="Times New Roman"/>
                <w:sz w:val="20"/>
                <w:szCs w:val="20"/>
                <w:lang w:val="es-CR" w:eastAsia="es-CR"/>
              </w:rPr>
              <w:t>Socializar y exponer ante las autoridades superiores institucionales y los funcionarios de la Dirección de Salud Ambiental, los alcances, beneficios y oportunidades asociadas a la implementación de los Acuerdos Voluntarios de Producción más Limpia (</w:t>
            </w:r>
            <w:proofErr w:type="spellStart"/>
            <w:r w:rsidRPr="00862D1A">
              <w:rPr>
                <w:rFonts w:eastAsia="Times New Roman"/>
                <w:sz w:val="20"/>
                <w:szCs w:val="20"/>
                <w:lang w:val="es-CR" w:eastAsia="es-CR"/>
              </w:rPr>
              <w:t>AVP+L</w:t>
            </w:r>
            <w:proofErr w:type="spellEnd"/>
            <w:r w:rsidRPr="00862D1A">
              <w:rPr>
                <w:rFonts w:eastAsia="Times New Roman"/>
                <w:sz w:val="20"/>
                <w:szCs w:val="20"/>
                <w:lang w:val="es-CR" w:eastAsia="es-CR"/>
              </w:rPr>
              <w:t xml:space="preserve">), como instrumento de articulación público–privada para fortalecer el cumplimiento regulatorio y el logro de metas ambientales nacionales. </w:t>
            </w:r>
          </w:p>
        </w:tc>
        <w:tc>
          <w:tcPr>
            <w:tcW w:w="1828" w:type="dxa"/>
          </w:tcPr>
          <w:p w14:paraId="6D3909CC" w14:textId="08FDC758"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Proyecto “Acelerar la transición hacia una economía de cero emisiones neta y positiva para la naturaleza en Costa Rica"</w:t>
            </w:r>
          </w:p>
        </w:tc>
        <w:tc>
          <w:tcPr>
            <w:tcW w:w="1490" w:type="dxa"/>
          </w:tcPr>
          <w:p w14:paraId="4039B718" w14:textId="0AD53411"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No se giran viáticos institucionales.</w:t>
            </w:r>
          </w:p>
        </w:tc>
        <w:tc>
          <w:tcPr>
            <w:tcW w:w="1589" w:type="dxa"/>
          </w:tcPr>
          <w:p w14:paraId="0131E16C" w14:textId="2DF87945" w:rsidR="007545E0" w:rsidRPr="00CE624F" w:rsidRDefault="007545E0" w:rsidP="007545E0">
            <w:pPr>
              <w:spacing w:line="240" w:lineRule="auto"/>
              <w:rPr>
                <w:rFonts w:eastAsia="Times New Roman"/>
                <w:sz w:val="20"/>
                <w:szCs w:val="20"/>
                <w:lang w:val="es-CR" w:eastAsia="es-CR"/>
              </w:rPr>
            </w:pPr>
          </w:p>
        </w:tc>
      </w:tr>
      <w:tr w:rsidR="007545E0" w:rsidRPr="00CE624F" w14:paraId="337A9BC8" w14:textId="77777777" w:rsidTr="00594C70">
        <w:trPr>
          <w:trHeight w:val="50"/>
          <w:jc w:val="center"/>
        </w:trPr>
        <w:tc>
          <w:tcPr>
            <w:tcW w:w="1252" w:type="dxa"/>
          </w:tcPr>
          <w:p w14:paraId="628CA2DD" w14:textId="6A2F342E"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lastRenderedPageBreak/>
              <w:t>Gabriela Infante Herrera</w:t>
            </w:r>
          </w:p>
        </w:tc>
        <w:tc>
          <w:tcPr>
            <w:tcW w:w="1530" w:type="dxa"/>
          </w:tcPr>
          <w:p w14:paraId="4850E229" w14:textId="2FF1B309"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Dirección de Regulación de Productos de Interés y Riesgo Sanitario </w:t>
            </w:r>
          </w:p>
        </w:tc>
        <w:tc>
          <w:tcPr>
            <w:tcW w:w="960" w:type="dxa"/>
          </w:tcPr>
          <w:p w14:paraId="62010B9F" w14:textId="666E3071"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12-</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5D27AC99" w14:textId="2C454687"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13-</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04" w:type="dxa"/>
          </w:tcPr>
          <w:p w14:paraId="5615619E" w14:textId="78AF7CF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Francia</w:t>
            </w:r>
          </w:p>
        </w:tc>
        <w:tc>
          <w:tcPr>
            <w:tcW w:w="1812" w:type="dxa"/>
          </w:tcPr>
          <w:p w14:paraId="0D4EC3CB" w14:textId="7F59D3FD" w:rsidR="007545E0" w:rsidRPr="007545E0" w:rsidRDefault="007545E0" w:rsidP="007545E0">
            <w:pPr>
              <w:spacing w:line="240" w:lineRule="auto"/>
              <w:rPr>
                <w:rFonts w:eastAsia="Times New Roman"/>
                <w:sz w:val="20"/>
                <w:szCs w:val="20"/>
                <w:lang w:val="en-US" w:eastAsia="es-CR"/>
              </w:rPr>
            </w:pPr>
            <w:r w:rsidRPr="00862D1A">
              <w:rPr>
                <w:rFonts w:eastAsia="Times New Roman"/>
                <w:sz w:val="20"/>
                <w:szCs w:val="20"/>
                <w:lang w:val="en-US" w:eastAsia="es-CR"/>
              </w:rPr>
              <w:t>9th Annual meeting of the Working Party on Pharmaceutical and Medical Devices</w:t>
            </w:r>
          </w:p>
        </w:tc>
        <w:tc>
          <w:tcPr>
            <w:tcW w:w="1915" w:type="dxa"/>
          </w:tcPr>
          <w:p w14:paraId="21B9EA9C" w14:textId="34267D08"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n-US" w:eastAsia="es-CR"/>
              </w:rPr>
              <w:t xml:space="preserve">  </w:t>
            </w:r>
            <w:r w:rsidRPr="00862D1A">
              <w:rPr>
                <w:rFonts w:eastAsia="Times New Roman"/>
                <w:sz w:val="20"/>
                <w:szCs w:val="20"/>
                <w:lang w:val="es-CR" w:eastAsia="es-CR"/>
              </w:rPr>
              <w:t xml:space="preserve">-- </w:t>
            </w:r>
          </w:p>
        </w:tc>
        <w:tc>
          <w:tcPr>
            <w:tcW w:w="1828" w:type="dxa"/>
          </w:tcPr>
          <w:p w14:paraId="746A2E6C" w14:textId="439779F1"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Ministerio de Salud de Costa Rica</w:t>
            </w:r>
          </w:p>
        </w:tc>
        <w:tc>
          <w:tcPr>
            <w:tcW w:w="1490" w:type="dxa"/>
          </w:tcPr>
          <w:p w14:paraId="2883D794" w14:textId="252DEAD1"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  -- </w:t>
            </w:r>
          </w:p>
        </w:tc>
        <w:tc>
          <w:tcPr>
            <w:tcW w:w="1589" w:type="dxa"/>
          </w:tcPr>
          <w:p w14:paraId="64F2036F" w14:textId="6D962CB7"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Queda sin efecto por medio del oficio CARTA-MS-DM-1554-2026.</w:t>
            </w:r>
          </w:p>
        </w:tc>
      </w:tr>
      <w:tr w:rsidR="007545E0" w:rsidRPr="00CE624F" w14:paraId="2A743D4D" w14:textId="77777777" w:rsidTr="00594C70">
        <w:trPr>
          <w:trHeight w:val="50"/>
          <w:jc w:val="center"/>
        </w:trPr>
        <w:tc>
          <w:tcPr>
            <w:tcW w:w="1252" w:type="dxa"/>
          </w:tcPr>
          <w:p w14:paraId="01B71510" w14:textId="353E4BB0"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Andrea Badilla Jiménez</w:t>
            </w:r>
          </w:p>
        </w:tc>
        <w:tc>
          <w:tcPr>
            <w:tcW w:w="1530" w:type="dxa"/>
          </w:tcPr>
          <w:p w14:paraId="67AFAC46" w14:textId="31EA654C"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Dirección de Regulación de Productos de Interés y Riesgo Sanitario </w:t>
            </w:r>
          </w:p>
        </w:tc>
        <w:tc>
          <w:tcPr>
            <w:tcW w:w="960" w:type="dxa"/>
          </w:tcPr>
          <w:p w14:paraId="5970F2BD" w14:textId="083CDD98"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12-</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5D1D306C" w14:textId="220DC08D"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13-</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04" w:type="dxa"/>
          </w:tcPr>
          <w:p w14:paraId="43D7916D" w14:textId="04A09AC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Francia</w:t>
            </w:r>
          </w:p>
        </w:tc>
        <w:tc>
          <w:tcPr>
            <w:tcW w:w="1812" w:type="dxa"/>
          </w:tcPr>
          <w:p w14:paraId="3FF2D58B" w14:textId="205E3E3A" w:rsidR="007545E0" w:rsidRPr="007545E0" w:rsidRDefault="007545E0" w:rsidP="007545E0">
            <w:pPr>
              <w:spacing w:line="240" w:lineRule="auto"/>
              <w:rPr>
                <w:rFonts w:eastAsia="Times New Roman"/>
                <w:sz w:val="20"/>
                <w:szCs w:val="20"/>
                <w:lang w:val="en-US" w:eastAsia="es-CR"/>
              </w:rPr>
            </w:pPr>
            <w:r w:rsidRPr="00862D1A">
              <w:rPr>
                <w:rFonts w:eastAsia="Times New Roman"/>
                <w:sz w:val="20"/>
                <w:szCs w:val="20"/>
                <w:lang w:val="en-US" w:eastAsia="es-CR"/>
              </w:rPr>
              <w:t>9th Annual meeting of the Working Party on Pharmaceutical and Medical Devices</w:t>
            </w:r>
          </w:p>
        </w:tc>
        <w:tc>
          <w:tcPr>
            <w:tcW w:w="1915" w:type="dxa"/>
          </w:tcPr>
          <w:p w14:paraId="61F71241" w14:textId="5A85F58F"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Dar seguimiento y remitir observaciones técnicas a documentos y proyectos de trabajo circulados por la OCDE relacionados con productos farmacéuticos y dispositivos médicos.</w:t>
            </w:r>
          </w:p>
        </w:tc>
        <w:tc>
          <w:tcPr>
            <w:tcW w:w="1828" w:type="dxa"/>
          </w:tcPr>
          <w:p w14:paraId="5E8442DE" w14:textId="602A5B85"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Ministerio de Salud de Costa Rica</w:t>
            </w:r>
          </w:p>
        </w:tc>
        <w:tc>
          <w:tcPr>
            <w:tcW w:w="1490" w:type="dxa"/>
          </w:tcPr>
          <w:p w14:paraId="13063723" w14:textId="51062F15" w:rsidR="007545E0" w:rsidRPr="00CE624F" w:rsidRDefault="007545E0" w:rsidP="007545E0">
            <w:pPr>
              <w:spacing w:line="240" w:lineRule="auto"/>
              <w:jc w:val="right"/>
              <w:rPr>
                <w:rFonts w:eastAsia="Times New Roman"/>
                <w:sz w:val="20"/>
                <w:szCs w:val="20"/>
                <w:lang w:val="es-CR" w:eastAsia="es-CR"/>
              </w:rPr>
            </w:pPr>
            <w:r w:rsidRPr="00862D1A">
              <w:rPr>
                <w:rFonts w:eastAsia="Times New Roman"/>
                <w:sz w:val="20"/>
                <w:szCs w:val="20"/>
                <w:lang w:val="es-CR" w:eastAsia="es-CR"/>
              </w:rPr>
              <w:t xml:space="preserve"> ₡ 812 548,39 </w:t>
            </w:r>
          </w:p>
        </w:tc>
        <w:tc>
          <w:tcPr>
            <w:tcW w:w="1589" w:type="dxa"/>
          </w:tcPr>
          <w:p w14:paraId="707DF02F" w14:textId="75491038" w:rsidR="007545E0" w:rsidRPr="00CE624F" w:rsidRDefault="007545E0" w:rsidP="007545E0">
            <w:pPr>
              <w:spacing w:line="240" w:lineRule="auto"/>
              <w:rPr>
                <w:rFonts w:eastAsia="Times New Roman"/>
                <w:sz w:val="20"/>
                <w:szCs w:val="20"/>
                <w:lang w:val="es-CR" w:eastAsia="es-CR"/>
              </w:rPr>
            </w:pPr>
          </w:p>
        </w:tc>
      </w:tr>
      <w:tr w:rsidR="007545E0" w:rsidRPr="00CE624F" w14:paraId="62828218" w14:textId="77777777" w:rsidTr="001D2D2C">
        <w:trPr>
          <w:trHeight w:val="50"/>
          <w:jc w:val="center"/>
        </w:trPr>
        <w:tc>
          <w:tcPr>
            <w:tcW w:w="1252" w:type="dxa"/>
          </w:tcPr>
          <w:p w14:paraId="4860811F" w14:textId="6EE2CA3C"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Álvaro Enrique Neira Bonilla</w:t>
            </w:r>
          </w:p>
        </w:tc>
        <w:tc>
          <w:tcPr>
            <w:tcW w:w="1530" w:type="dxa"/>
          </w:tcPr>
          <w:p w14:paraId="39466D69" w14:textId="0D7553DE"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Área Rectora de Salud Pococí</w:t>
            </w:r>
          </w:p>
        </w:tc>
        <w:tc>
          <w:tcPr>
            <w:tcW w:w="960" w:type="dxa"/>
          </w:tcPr>
          <w:p w14:paraId="5DE0253E" w14:textId="691F1515"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17-</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7B019C07" w14:textId="6878B1A0"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28-</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04" w:type="dxa"/>
          </w:tcPr>
          <w:p w14:paraId="07CBB6F3" w14:textId="79432FA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Nicaragua</w:t>
            </w:r>
          </w:p>
        </w:tc>
        <w:tc>
          <w:tcPr>
            <w:tcW w:w="1812" w:type="dxa"/>
          </w:tcPr>
          <w:p w14:paraId="2D364C3D" w14:textId="2187DC0E"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Pony Costa Rica al torneo premundial </w:t>
            </w:r>
            <w:proofErr w:type="spellStart"/>
            <w:r w:rsidRPr="00862D1A">
              <w:rPr>
                <w:rFonts w:eastAsia="Times New Roman"/>
                <w:sz w:val="20"/>
                <w:szCs w:val="20"/>
                <w:lang w:val="es-CR" w:eastAsia="es-CR"/>
              </w:rPr>
              <w:t>U12</w:t>
            </w:r>
            <w:proofErr w:type="spellEnd"/>
            <w:r w:rsidRPr="00862D1A">
              <w:rPr>
                <w:rFonts w:eastAsia="Times New Roman"/>
                <w:sz w:val="20"/>
                <w:szCs w:val="20"/>
                <w:lang w:val="es-CR" w:eastAsia="es-CR"/>
              </w:rPr>
              <w:t xml:space="preserve"> Bronco 2026</w:t>
            </w:r>
          </w:p>
        </w:tc>
        <w:tc>
          <w:tcPr>
            <w:tcW w:w="1915" w:type="dxa"/>
          </w:tcPr>
          <w:p w14:paraId="17179056" w14:textId="7411DC8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  -- </w:t>
            </w:r>
          </w:p>
        </w:tc>
        <w:tc>
          <w:tcPr>
            <w:tcW w:w="1828" w:type="dxa"/>
          </w:tcPr>
          <w:p w14:paraId="7E08F45A" w14:textId="6C45FFE8"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Pony League Nicaragua</w:t>
            </w:r>
          </w:p>
        </w:tc>
        <w:tc>
          <w:tcPr>
            <w:tcW w:w="1490" w:type="dxa"/>
          </w:tcPr>
          <w:p w14:paraId="38931AFB" w14:textId="5477519B"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No se giran viáticos institucionales.</w:t>
            </w:r>
          </w:p>
        </w:tc>
        <w:tc>
          <w:tcPr>
            <w:tcW w:w="1589" w:type="dxa"/>
          </w:tcPr>
          <w:p w14:paraId="7E7ED371" w14:textId="00827790"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En virtud de la naturaleza de la actividad, no procede la presentación del informe de participación. </w:t>
            </w:r>
          </w:p>
        </w:tc>
      </w:tr>
      <w:tr w:rsidR="007545E0" w:rsidRPr="00CE624F" w14:paraId="60309DB0" w14:textId="77777777" w:rsidTr="00594C70">
        <w:trPr>
          <w:trHeight w:val="50"/>
          <w:jc w:val="center"/>
        </w:trPr>
        <w:tc>
          <w:tcPr>
            <w:tcW w:w="1252" w:type="dxa"/>
          </w:tcPr>
          <w:p w14:paraId="43C5D039" w14:textId="28317108"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Eduviges Sancho Jiménez </w:t>
            </w:r>
          </w:p>
        </w:tc>
        <w:tc>
          <w:tcPr>
            <w:tcW w:w="1530" w:type="dxa"/>
          </w:tcPr>
          <w:p w14:paraId="16D1FE11" w14:textId="0BCA0FB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Dirección de Regulación de Productos de Interés y Riesgo Sanitario </w:t>
            </w:r>
          </w:p>
        </w:tc>
        <w:tc>
          <w:tcPr>
            <w:tcW w:w="960" w:type="dxa"/>
          </w:tcPr>
          <w:p w14:paraId="110C801C" w14:textId="61C962E3"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18-</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279B72E9" w14:textId="05E395A4"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22-</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04" w:type="dxa"/>
          </w:tcPr>
          <w:p w14:paraId="11942C17" w14:textId="06F0776B"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España </w:t>
            </w:r>
          </w:p>
        </w:tc>
        <w:tc>
          <w:tcPr>
            <w:tcW w:w="1812" w:type="dxa"/>
          </w:tcPr>
          <w:p w14:paraId="7C6C20DB" w14:textId="5221F83F"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Programa de Intercambio Técnico para el Fortalecimiento de la Evaluación de Tecnologías </w:t>
            </w:r>
            <w:r w:rsidRPr="00862D1A">
              <w:rPr>
                <w:rFonts w:eastAsia="Times New Roman"/>
                <w:sz w:val="20"/>
                <w:szCs w:val="20"/>
                <w:lang w:val="es-CR" w:eastAsia="es-CR"/>
              </w:rPr>
              <w:lastRenderedPageBreak/>
              <w:t>Sanitarias (ETS) entre España y la Región de las Américas</w:t>
            </w:r>
          </w:p>
        </w:tc>
        <w:tc>
          <w:tcPr>
            <w:tcW w:w="1915" w:type="dxa"/>
          </w:tcPr>
          <w:p w14:paraId="5B355BBB" w14:textId="7C3D6173"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lastRenderedPageBreak/>
              <w:t xml:space="preserve">Revisar y actualizar el perfil de país en la Web de </w:t>
            </w:r>
            <w:proofErr w:type="spellStart"/>
            <w:r w:rsidRPr="00862D1A">
              <w:rPr>
                <w:rFonts w:eastAsia="Times New Roman"/>
                <w:sz w:val="20"/>
                <w:szCs w:val="20"/>
                <w:lang w:val="es-CR" w:eastAsia="es-CR"/>
              </w:rPr>
              <w:t>RedETSA</w:t>
            </w:r>
            <w:proofErr w:type="spellEnd"/>
            <w:r w:rsidRPr="00862D1A">
              <w:rPr>
                <w:rFonts w:eastAsia="Times New Roman"/>
                <w:sz w:val="20"/>
                <w:szCs w:val="20"/>
                <w:lang w:val="es-CR" w:eastAsia="es-CR"/>
              </w:rPr>
              <w:t xml:space="preserve"> y notificarlo al secretariado de </w:t>
            </w:r>
            <w:r w:rsidRPr="00862D1A">
              <w:rPr>
                <w:rFonts w:eastAsia="Times New Roman"/>
                <w:sz w:val="20"/>
                <w:szCs w:val="20"/>
                <w:lang w:val="es-CR" w:eastAsia="es-CR"/>
              </w:rPr>
              <w:lastRenderedPageBreak/>
              <w:t xml:space="preserve">dicha Red. Participar en la encuesta sobre relevamiento de capacidades de ETS que realizará la Secretaría de </w:t>
            </w:r>
            <w:proofErr w:type="spellStart"/>
            <w:r w:rsidRPr="00862D1A">
              <w:rPr>
                <w:rFonts w:eastAsia="Times New Roman"/>
                <w:sz w:val="20"/>
                <w:szCs w:val="20"/>
                <w:lang w:val="es-CR" w:eastAsia="es-CR"/>
              </w:rPr>
              <w:t>RedETSA</w:t>
            </w:r>
            <w:proofErr w:type="spellEnd"/>
            <w:r w:rsidRPr="00862D1A">
              <w:rPr>
                <w:rFonts w:eastAsia="Times New Roman"/>
                <w:sz w:val="20"/>
                <w:szCs w:val="20"/>
                <w:lang w:val="es-CR" w:eastAsia="es-CR"/>
              </w:rPr>
              <w:t>.</w:t>
            </w:r>
          </w:p>
        </w:tc>
        <w:tc>
          <w:tcPr>
            <w:tcW w:w="1828" w:type="dxa"/>
          </w:tcPr>
          <w:p w14:paraId="290CFD9C" w14:textId="59D06D70"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lastRenderedPageBreak/>
              <w:t xml:space="preserve">Fundación </w:t>
            </w:r>
            <w:proofErr w:type="spellStart"/>
            <w:r w:rsidRPr="00862D1A">
              <w:rPr>
                <w:rFonts w:eastAsia="Times New Roman"/>
                <w:sz w:val="20"/>
                <w:szCs w:val="20"/>
                <w:lang w:val="es-CR" w:eastAsia="es-CR"/>
              </w:rPr>
              <w:t>CSAI</w:t>
            </w:r>
            <w:proofErr w:type="spellEnd"/>
            <w:r w:rsidRPr="00862D1A">
              <w:rPr>
                <w:rFonts w:eastAsia="Times New Roman"/>
                <w:sz w:val="20"/>
                <w:szCs w:val="20"/>
                <w:lang w:val="es-CR" w:eastAsia="es-CR"/>
              </w:rPr>
              <w:t>, a través de la AECID</w:t>
            </w:r>
          </w:p>
        </w:tc>
        <w:tc>
          <w:tcPr>
            <w:tcW w:w="1490" w:type="dxa"/>
          </w:tcPr>
          <w:p w14:paraId="726A19FE" w14:textId="2C035AD9"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No se giran viáticos institucionales.</w:t>
            </w:r>
          </w:p>
        </w:tc>
        <w:tc>
          <w:tcPr>
            <w:tcW w:w="1589" w:type="dxa"/>
          </w:tcPr>
          <w:p w14:paraId="6B741AAF" w14:textId="0F001B26" w:rsidR="007545E0" w:rsidRPr="00CE624F" w:rsidRDefault="007545E0" w:rsidP="007545E0">
            <w:pPr>
              <w:spacing w:line="240" w:lineRule="auto"/>
              <w:rPr>
                <w:rFonts w:eastAsia="Times New Roman"/>
                <w:sz w:val="20"/>
                <w:szCs w:val="20"/>
                <w:lang w:val="es-CR" w:eastAsia="es-CR"/>
              </w:rPr>
            </w:pPr>
          </w:p>
        </w:tc>
      </w:tr>
      <w:tr w:rsidR="007545E0" w:rsidRPr="00CE624F" w14:paraId="27619D79" w14:textId="77777777" w:rsidTr="001D2D2C">
        <w:trPr>
          <w:trHeight w:val="50"/>
          <w:jc w:val="center"/>
        </w:trPr>
        <w:tc>
          <w:tcPr>
            <w:tcW w:w="1252" w:type="dxa"/>
          </w:tcPr>
          <w:p w14:paraId="441E5B5A" w14:textId="6302DB2A"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Lourdes Sánchez Delgado</w:t>
            </w:r>
          </w:p>
        </w:tc>
        <w:tc>
          <w:tcPr>
            <w:tcW w:w="1530" w:type="dxa"/>
          </w:tcPr>
          <w:p w14:paraId="5BA3738B" w14:textId="7F9ED1FD"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Dirección de Salud Ambiental</w:t>
            </w:r>
          </w:p>
        </w:tc>
        <w:tc>
          <w:tcPr>
            <w:tcW w:w="960" w:type="dxa"/>
          </w:tcPr>
          <w:p w14:paraId="28949242" w14:textId="0AEAE128"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19-</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66BBC3FE" w14:textId="6FCC73F3"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25-jun-26</w:t>
            </w:r>
          </w:p>
        </w:tc>
        <w:tc>
          <w:tcPr>
            <w:tcW w:w="1204" w:type="dxa"/>
          </w:tcPr>
          <w:p w14:paraId="4C5AD531" w14:textId="118928DE"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Japón</w:t>
            </w:r>
          </w:p>
        </w:tc>
        <w:tc>
          <w:tcPr>
            <w:tcW w:w="1812" w:type="dxa"/>
          </w:tcPr>
          <w:p w14:paraId="53B1A48C" w14:textId="55F17C3A"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Curso Bases de la Gestión de los Residuos Sólidos</w:t>
            </w:r>
          </w:p>
        </w:tc>
        <w:tc>
          <w:tcPr>
            <w:tcW w:w="1915" w:type="dxa"/>
          </w:tcPr>
          <w:p w14:paraId="61027057" w14:textId="2C37A40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Presentar ante </w:t>
            </w:r>
            <w:proofErr w:type="spellStart"/>
            <w:r w:rsidRPr="00862D1A">
              <w:rPr>
                <w:rFonts w:eastAsia="Times New Roman"/>
                <w:sz w:val="20"/>
                <w:szCs w:val="20"/>
                <w:lang w:val="es-CR" w:eastAsia="es-CR"/>
              </w:rPr>
              <w:t>JICA</w:t>
            </w:r>
            <w:proofErr w:type="spellEnd"/>
            <w:r w:rsidRPr="00862D1A">
              <w:rPr>
                <w:rFonts w:eastAsia="Times New Roman"/>
                <w:sz w:val="20"/>
                <w:szCs w:val="20"/>
                <w:lang w:val="es-CR" w:eastAsia="es-CR"/>
              </w:rPr>
              <w:t xml:space="preserve"> CR y Jefatura de la Unidad de Normalización el plan de Acción que implica una propuesta de normativa. Presentación de documento final del plan de . Acción </w:t>
            </w:r>
          </w:p>
        </w:tc>
        <w:tc>
          <w:tcPr>
            <w:tcW w:w="1828" w:type="dxa"/>
          </w:tcPr>
          <w:p w14:paraId="359C9F82" w14:textId="6D9C43AF"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Agencia Japonesa de Cooperación Internacional (</w:t>
            </w:r>
            <w:proofErr w:type="spellStart"/>
            <w:r w:rsidRPr="00862D1A">
              <w:rPr>
                <w:rFonts w:eastAsia="Times New Roman"/>
                <w:sz w:val="20"/>
                <w:szCs w:val="20"/>
                <w:lang w:val="es-CR" w:eastAsia="es-CR"/>
              </w:rPr>
              <w:t>JICA</w:t>
            </w:r>
            <w:proofErr w:type="spellEnd"/>
            <w:r w:rsidRPr="00862D1A">
              <w:rPr>
                <w:rFonts w:eastAsia="Times New Roman"/>
                <w:sz w:val="20"/>
                <w:szCs w:val="20"/>
                <w:lang w:val="es-CR" w:eastAsia="es-CR"/>
              </w:rPr>
              <w:t>)</w:t>
            </w:r>
          </w:p>
        </w:tc>
        <w:tc>
          <w:tcPr>
            <w:tcW w:w="1490" w:type="dxa"/>
          </w:tcPr>
          <w:p w14:paraId="54A01943" w14:textId="1EDD71AF"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No se giran viáticos institucionales.</w:t>
            </w:r>
          </w:p>
        </w:tc>
        <w:tc>
          <w:tcPr>
            <w:tcW w:w="1589" w:type="dxa"/>
          </w:tcPr>
          <w:p w14:paraId="1CF613C8" w14:textId="2CFEF1DD" w:rsidR="007545E0" w:rsidRPr="00CE624F" w:rsidRDefault="007545E0" w:rsidP="007545E0">
            <w:pPr>
              <w:spacing w:line="240" w:lineRule="auto"/>
              <w:rPr>
                <w:rFonts w:eastAsia="Times New Roman"/>
                <w:sz w:val="20"/>
                <w:szCs w:val="20"/>
                <w:lang w:val="es-CR" w:eastAsia="es-CR"/>
              </w:rPr>
            </w:pPr>
          </w:p>
        </w:tc>
      </w:tr>
      <w:tr w:rsidR="007545E0" w:rsidRPr="00CE624F" w14:paraId="397A7326" w14:textId="77777777" w:rsidTr="00594C70">
        <w:trPr>
          <w:trHeight w:val="50"/>
          <w:jc w:val="center"/>
        </w:trPr>
        <w:tc>
          <w:tcPr>
            <w:tcW w:w="1252" w:type="dxa"/>
          </w:tcPr>
          <w:p w14:paraId="66E2FF2D" w14:textId="49017B7F"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José Luis Cambronero Miranda</w:t>
            </w:r>
          </w:p>
        </w:tc>
        <w:tc>
          <w:tcPr>
            <w:tcW w:w="1530" w:type="dxa"/>
          </w:tcPr>
          <w:p w14:paraId="2D64417B" w14:textId="58EB8356"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Dirección de Planificación </w:t>
            </w:r>
          </w:p>
        </w:tc>
        <w:tc>
          <w:tcPr>
            <w:tcW w:w="960" w:type="dxa"/>
          </w:tcPr>
          <w:p w14:paraId="7A30E73E" w14:textId="5E1A7007"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20-</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41243461" w14:textId="3748AB10"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21-</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04" w:type="dxa"/>
          </w:tcPr>
          <w:p w14:paraId="24FA34A6" w14:textId="79D75B94"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Guatemala </w:t>
            </w:r>
          </w:p>
        </w:tc>
        <w:tc>
          <w:tcPr>
            <w:tcW w:w="1812" w:type="dxa"/>
          </w:tcPr>
          <w:p w14:paraId="2DC27BC1" w14:textId="55E123A4"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Reunión del Grupo Técnico Especializado de Promoción de la Salud (</w:t>
            </w:r>
            <w:proofErr w:type="spellStart"/>
            <w:r w:rsidRPr="00862D1A">
              <w:rPr>
                <w:rFonts w:eastAsia="Times New Roman"/>
                <w:sz w:val="20"/>
                <w:szCs w:val="20"/>
                <w:lang w:val="es-CR" w:eastAsia="es-CR"/>
              </w:rPr>
              <w:t>GTEPS</w:t>
            </w:r>
            <w:proofErr w:type="spellEnd"/>
            <w:r w:rsidRPr="00862D1A">
              <w:rPr>
                <w:rFonts w:eastAsia="Times New Roman"/>
                <w:sz w:val="20"/>
                <w:szCs w:val="20"/>
                <w:lang w:val="es-CR" w:eastAsia="es-CR"/>
              </w:rPr>
              <w:t xml:space="preserve">) y lanzamiento de la “Guía Metodológica para la Implementación de las Escuelas Promotoras de la Salud en la Región SICA” </w:t>
            </w:r>
          </w:p>
        </w:tc>
        <w:tc>
          <w:tcPr>
            <w:tcW w:w="1915" w:type="dxa"/>
          </w:tcPr>
          <w:p w14:paraId="19125E7A" w14:textId="3921338E"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Socializar la Guía metodológica para la implementación de Escuelas Promotoras de la Salud en la región SICA con las contrapartes de Ministerios de Educación. Concertar una reunión con representantes del Ministerio de </w:t>
            </w:r>
            <w:r w:rsidRPr="00862D1A">
              <w:rPr>
                <w:rFonts w:eastAsia="Times New Roman"/>
                <w:sz w:val="20"/>
                <w:szCs w:val="20"/>
                <w:lang w:val="es-CR" w:eastAsia="es-CR"/>
              </w:rPr>
              <w:lastRenderedPageBreak/>
              <w:t>Educación para explicación de la guía y fase operativa.</w:t>
            </w:r>
          </w:p>
        </w:tc>
        <w:tc>
          <w:tcPr>
            <w:tcW w:w="1828" w:type="dxa"/>
          </w:tcPr>
          <w:p w14:paraId="70BF2D1C" w14:textId="49C3946B"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lastRenderedPageBreak/>
              <w:t>Secretaría Ejecutiva del Consejo de Ministros de Salud de Centroamérica y República Dominicana (SE-COMISCA)</w:t>
            </w:r>
          </w:p>
        </w:tc>
        <w:tc>
          <w:tcPr>
            <w:tcW w:w="1490" w:type="dxa"/>
          </w:tcPr>
          <w:p w14:paraId="71326D40" w14:textId="6F21B1CC"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No se giran viáticos institucionales.</w:t>
            </w:r>
          </w:p>
        </w:tc>
        <w:tc>
          <w:tcPr>
            <w:tcW w:w="1589" w:type="dxa"/>
          </w:tcPr>
          <w:p w14:paraId="3696279D" w14:textId="121E3C60" w:rsidR="007545E0" w:rsidRPr="00CE624F" w:rsidRDefault="007545E0" w:rsidP="007545E0">
            <w:pPr>
              <w:spacing w:line="240" w:lineRule="auto"/>
              <w:rPr>
                <w:rFonts w:eastAsia="Times New Roman"/>
                <w:sz w:val="20"/>
                <w:szCs w:val="20"/>
                <w:lang w:val="es-CR" w:eastAsia="es-CR"/>
              </w:rPr>
            </w:pPr>
          </w:p>
        </w:tc>
      </w:tr>
      <w:tr w:rsidR="007545E0" w:rsidRPr="00CE624F" w14:paraId="783DC1EA" w14:textId="77777777" w:rsidTr="00594C70">
        <w:trPr>
          <w:trHeight w:val="50"/>
          <w:jc w:val="center"/>
        </w:trPr>
        <w:tc>
          <w:tcPr>
            <w:tcW w:w="1252" w:type="dxa"/>
          </w:tcPr>
          <w:p w14:paraId="29A04CBA" w14:textId="1FD407BE"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Deivert Guiltrichs Cordero</w:t>
            </w:r>
          </w:p>
        </w:tc>
        <w:tc>
          <w:tcPr>
            <w:tcW w:w="1530" w:type="dxa"/>
          </w:tcPr>
          <w:p w14:paraId="05AC3FD5" w14:textId="2439CAFC"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Dirección de Transformación y Salud Digital</w:t>
            </w:r>
          </w:p>
        </w:tc>
        <w:tc>
          <w:tcPr>
            <w:tcW w:w="960" w:type="dxa"/>
          </w:tcPr>
          <w:p w14:paraId="3C199410" w14:textId="582CD98C"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28-</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30" w:type="dxa"/>
          </w:tcPr>
          <w:p w14:paraId="3C5200CE" w14:textId="4BA2ABF2"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29-</w:t>
            </w:r>
            <w:proofErr w:type="spellStart"/>
            <w:r w:rsidRPr="00862D1A">
              <w:rPr>
                <w:rFonts w:eastAsia="Times New Roman"/>
                <w:sz w:val="20"/>
                <w:szCs w:val="20"/>
                <w:lang w:val="es-CR" w:eastAsia="es-CR"/>
              </w:rPr>
              <w:t>may</w:t>
            </w:r>
            <w:proofErr w:type="spellEnd"/>
            <w:r w:rsidRPr="00862D1A">
              <w:rPr>
                <w:rFonts w:eastAsia="Times New Roman"/>
                <w:sz w:val="20"/>
                <w:szCs w:val="20"/>
                <w:lang w:val="es-CR" w:eastAsia="es-CR"/>
              </w:rPr>
              <w:t>-26</w:t>
            </w:r>
          </w:p>
        </w:tc>
        <w:tc>
          <w:tcPr>
            <w:tcW w:w="1204" w:type="dxa"/>
          </w:tcPr>
          <w:p w14:paraId="30F5B441" w14:textId="3AAB45D2"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España </w:t>
            </w:r>
          </w:p>
        </w:tc>
        <w:tc>
          <w:tcPr>
            <w:tcW w:w="1812" w:type="dxa"/>
          </w:tcPr>
          <w:p w14:paraId="5D10FE26" w14:textId="57A25A23" w:rsidR="007545E0" w:rsidRPr="00CE624F" w:rsidRDefault="007545E0" w:rsidP="007545E0">
            <w:pPr>
              <w:spacing w:line="240" w:lineRule="auto"/>
              <w:rPr>
                <w:rFonts w:eastAsia="Times New Roman"/>
                <w:sz w:val="20"/>
                <w:szCs w:val="20"/>
                <w:lang w:val="en-US" w:eastAsia="es-CR"/>
              </w:rPr>
            </w:pPr>
            <w:r w:rsidRPr="00862D1A">
              <w:rPr>
                <w:rFonts w:eastAsia="Times New Roman"/>
                <w:sz w:val="20"/>
                <w:szCs w:val="20"/>
                <w:lang w:val="en-US" w:eastAsia="es-CR"/>
              </w:rPr>
              <w:t>OECD AI in Health Conference</w:t>
            </w:r>
          </w:p>
        </w:tc>
        <w:tc>
          <w:tcPr>
            <w:tcW w:w="1915" w:type="dxa"/>
          </w:tcPr>
          <w:p w14:paraId="6FF2DE27" w14:textId="7F29A301"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t xml:space="preserve">Socializar los principales aprendizajes de la actividad con la Dirección de Transformación y Salud Digital y las instancias institucionales correspondientes. Analizar la aplicabilidad de los </w:t>
            </w:r>
            <w:r w:rsidRPr="00862D1A">
              <w:rPr>
                <w:rFonts w:eastAsia="Times New Roman"/>
                <w:sz w:val="20"/>
                <w:szCs w:val="20"/>
                <w:lang w:val="es-CR" w:eastAsia="es-CR"/>
              </w:rPr>
              <w:t>lineamientos</w:t>
            </w:r>
            <w:r w:rsidRPr="00862D1A">
              <w:rPr>
                <w:rFonts w:eastAsia="Times New Roman"/>
                <w:sz w:val="20"/>
                <w:szCs w:val="20"/>
                <w:lang w:val="es-CR" w:eastAsia="es-CR"/>
              </w:rPr>
              <w:t xml:space="preserve"> discutidos sobre IA responsable en salud para los proyectos institucionales de salud digital. Valorar acciones de seguimiento y cooperación técnica relacionadas con la agenda internacional de IA en salud promovida por la OCDE. Incorporar los </w:t>
            </w:r>
            <w:r w:rsidRPr="00862D1A">
              <w:rPr>
                <w:rFonts w:eastAsia="Times New Roman"/>
                <w:sz w:val="20"/>
                <w:szCs w:val="20"/>
                <w:lang w:val="es-CR" w:eastAsia="es-CR"/>
              </w:rPr>
              <w:lastRenderedPageBreak/>
              <w:t>insumos pertinentes en propuestas internas sobre gobernanza, interoperabilidad y uso responsable de IA en salud.</w:t>
            </w:r>
          </w:p>
        </w:tc>
        <w:tc>
          <w:tcPr>
            <w:tcW w:w="1828" w:type="dxa"/>
          </w:tcPr>
          <w:p w14:paraId="53418304" w14:textId="71211BE7" w:rsidR="007545E0" w:rsidRPr="00CE624F" w:rsidRDefault="007545E0" w:rsidP="007545E0">
            <w:pPr>
              <w:spacing w:line="240" w:lineRule="auto"/>
              <w:rPr>
                <w:rFonts w:eastAsia="Times New Roman"/>
                <w:sz w:val="20"/>
                <w:szCs w:val="20"/>
                <w:lang w:val="es-CR" w:eastAsia="es-CR"/>
              </w:rPr>
            </w:pPr>
            <w:r w:rsidRPr="00862D1A">
              <w:rPr>
                <w:rFonts w:eastAsia="Times New Roman"/>
                <w:sz w:val="20"/>
                <w:szCs w:val="20"/>
                <w:lang w:val="es-CR" w:eastAsia="es-CR"/>
              </w:rPr>
              <w:lastRenderedPageBreak/>
              <w:t>Ministerio de Salud de Costa Rica</w:t>
            </w:r>
          </w:p>
        </w:tc>
        <w:tc>
          <w:tcPr>
            <w:tcW w:w="1490" w:type="dxa"/>
          </w:tcPr>
          <w:p w14:paraId="134C0C3E" w14:textId="4AE0D155" w:rsidR="007545E0" w:rsidRPr="00CE624F" w:rsidRDefault="007545E0" w:rsidP="007545E0">
            <w:pPr>
              <w:spacing w:line="240" w:lineRule="auto"/>
              <w:jc w:val="right"/>
              <w:rPr>
                <w:rFonts w:eastAsia="Times New Roman"/>
                <w:sz w:val="20"/>
                <w:szCs w:val="20"/>
                <w:lang w:val="es-CR" w:eastAsia="es-CR"/>
              </w:rPr>
            </w:pPr>
            <w:r w:rsidRPr="00862D1A">
              <w:rPr>
                <w:rFonts w:eastAsia="Times New Roman"/>
                <w:sz w:val="20"/>
                <w:szCs w:val="20"/>
                <w:lang w:val="es-CR" w:eastAsia="es-CR"/>
              </w:rPr>
              <w:t xml:space="preserve"> ₡ 822 864,95 </w:t>
            </w:r>
          </w:p>
        </w:tc>
        <w:tc>
          <w:tcPr>
            <w:tcW w:w="1589" w:type="dxa"/>
          </w:tcPr>
          <w:p w14:paraId="677E6D8E" w14:textId="4B916D99" w:rsidR="007545E0" w:rsidRPr="00CE624F" w:rsidRDefault="007545E0" w:rsidP="007545E0">
            <w:pPr>
              <w:spacing w:line="240" w:lineRule="auto"/>
              <w:rPr>
                <w:rFonts w:eastAsia="Times New Roman"/>
                <w:sz w:val="20"/>
                <w:szCs w:val="20"/>
                <w:lang w:val="es-CR" w:eastAsia="es-CR"/>
              </w:rPr>
            </w:pPr>
          </w:p>
        </w:tc>
      </w:tr>
      <w:tr w:rsidR="007545E0" w:rsidRPr="00CE624F" w14:paraId="104D9B74" w14:textId="77777777" w:rsidTr="00594C70">
        <w:trPr>
          <w:trHeight w:val="50"/>
          <w:jc w:val="center"/>
        </w:trPr>
        <w:tc>
          <w:tcPr>
            <w:tcW w:w="14810" w:type="dxa"/>
            <w:gridSpan w:val="10"/>
            <w:shd w:val="clear" w:color="auto" w:fill="0F4761" w:themeFill="accent1" w:themeFillShade="BF"/>
          </w:tcPr>
          <w:p w14:paraId="2D938B23" w14:textId="77777777" w:rsidR="007545E0" w:rsidRPr="00CE624F" w:rsidRDefault="007545E0" w:rsidP="007545E0">
            <w:pPr>
              <w:spacing w:line="240" w:lineRule="auto"/>
              <w:jc w:val="center"/>
              <w:rPr>
                <w:rFonts w:eastAsia="Times New Roman"/>
                <w:b/>
                <w:bCs/>
                <w:color w:val="FFFFFF" w:themeColor="background1"/>
                <w:sz w:val="20"/>
                <w:szCs w:val="20"/>
                <w:lang w:val="es-ES_tradnl" w:eastAsia="es-CR"/>
              </w:rPr>
            </w:pPr>
            <w:r w:rsidRPr="00CE624F">
              <w:rPr>
                <w:rFonts w:eastAsia="Times New Roman"/>
                <w:b/>
                <w:bCs/>
                <w:color w:val="FFFFFF" w:themeColor="background1"/>
                <w:sz w:val="20"/>
                <w:szCs w:val="20"/>
                <w:lang w:val="es-ES_tradnl" w:eastAsia="es-CR"/>
              </w:rPr>
              <w:t>Última línea</w:t>
            </w:r>
          </w:p>
        </w:tc>
      </w:tr>
    </w:tbl>
    <w:p w14:paraId="0C516D89" w14:textId="77777777" w:rsidR="00862D1A" w:rsidRPr="00D63D83" w:rsidRDefault="00862D1A" w:rsidP="00862D1A">
      <w:pPr>
        <w:spacing w:line="240" w:lineRule="auto"/>
        <w:rPr>
          <w:sz w:val="20"/>
          <w:szCs w:val="20"/>
          <w:lang w:val="es-ES_tradnl"/>
        </w:rPr>
      </w:pPr>
    </w:p>
    <w:p w14:paraId="2AE3E3AF" w14:textId="77777777" w:rsidR="00862D1A" w:rsidRPr="00003613" w:rsidRDefault="00862D1A" w:rsidP="00862D1A">
      <w:pPr>
        <w:spacing w:line="240" w:lineRule="auto"/>
      </w:pPr>
      <w:r w:rsidRPr="00D63D83">
        <w:rPr>
          <w:sz w:val="20"/>
          <w:szCs w:val="20"/>
          <w:lang w:val="es-ES_tradnl"/>
        </w:rPr>
        <w:t xml:space="preserve">Actualizado: </w:t>
      </w:r>
      <w:r>
        <w:rPr>
          <w:sz w:val="20"/>
          <w:szCs w:val="20"/>
          <w:lang w:val="es-ES_tradnl"/>
        </w:rPr>
        <w:t>14 de setiembre, 2026.</w:t>
      </w:r>
    </w:p>
    <w:p w14:paraId="03A26BEC" w14:textId="77777777" w:rsidR="00862D1A" w:rsidRDefault="00862D1A" w:rsidP="00862D1A"/>
    <w:sectPr w:rsidR="00862D1A" w:rsidSect="00862D1A">
      <w:headerReference w:type="default" r:id="rId6"/>
      <w:footerReference w:type="default" r:id="rId7"/>
      <w:pgSz w:w="15840" w:h="12240" w:orient="landscape"/>
      <w:pgMar w:top="1440" w:right="1276" w:bottom="1440" w:left="1701" w:header="703" w:footer="95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8942" w14:textId="77777777" w:rsidR="00E17BDB" w:rsidRDefault="00E17BDB" w:rsidP="00862D1A">
      <w:pPr>
        <w:spacing w:line="240" w:lineRule="auto"/>
      </w:pPr>
      <w:r>
        <w:separator/>
      </w:r>
    </w:p>
  </w:endnote>
  <w:endnote w:type="continuationSeparator" w:id="0">
    <w:p w14:paraId="48A82C03" w14:textId="77777777" w:rsidR="00E17BDB" w:rsidRDefault="00E17BDB" w:rsidP="00862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D2DBC" w14:textId="77777777" w:rsidR="00862D1A" w:rsidRDefault="00862D1A" w:rsidP="004D61A4">
    <w:pPr>
      <w:spacing w:line="240" w:lineRule="auto"/>
      <w:ind w:right="-40"/>
      <w:jc w:val="center"/>
      <w:rPr>
        <w:b/>
        <w:color w:val="004691"/>
        <w:sz w:val="18"/>
        <w:szCs w:val="18"/>
      </w:rPr>
    </w:pPr>
  </w:p>
  <w:p w14:paraId="2810528D" w14:textId="77777777" w:rsidR="00862D1A" w:rsidRPr="00976BED" w:rsidRDefault="00862D1A" w:rsidP="004D61A4">
    <w:pPr>
      <w:spacing w:line="240" w:lineRule="auto"/>
      <w:jc w:val="center"/>
      <w:rPr>
        <w:rFonts w:eastAsia="Calibri"/>
        <w:b/>
        <w:color w:val="0E2841" w:themeColor="text2"/>
        <w:sz w:val="15"/>
        <w:szCs w:val="15"/>
      </w:rPr>
    </w:pPr>
    <w:r>
      <w:rPr>
        <w:rFonts w:eastAsia="Calibri"/>
        <w:b/>
        <w:color w:val="0E2841" w:themeColor="text2"/>
        <w:sz w:val="15"/>
        <w:szCs w:val="15"/>
      </w:rPr>
      <w:t xml:space="preserve">Unidad de Relaciones Internacionales </w:t>
    </w:r>
  </w:p>
  <w:p w14:paraId="153BA91E" w14:textId="77777777" w:rsidR="00862D1A" w:rsidRPr="00976BED" w:rsidRDefault="00862D1A" w:rsidP="004D61A4">
    <w:pPr>
      <w:spacing w:line="240" w:lineRule="auto"/>
      <w:jc w:val="center"/>
      <w:rPr>
        <w:rFonts w:eastAsia="Calibri"/>
        <w:color w:val="0E2841" w:themeColor="text2"/>
        <w:sz w:val="15"/>
        <w:szCs w:val="15"/>
      </w:rPr>
    </w:pPr>
    <w:hyperlink r:id="rId1" w:history="1">
      <w:r w:rsidRPr="00A83DCD">
        <w:rPr>
          <w:rStyle w:val="Hipervnculo"/>
          <w:rFonts w:eastAsia="Calibri"/>
          <w:sz w:val="15"/>
          <w:szCs w:val="15"/>
        </w:rPr>
        <w:t>internacionales@misalud.go.cr</w:t>
      </w:r>
    </w:hyperlink>
  </w:p>
  <w:p w14:paraId="2CD398B9" w14:textId="77777777" w:rsidR="00862D1A" w:rsidRDefault="00862D1A" w:rsidP="004D61A4">
    <w:pPr>
      <w:spacing w:line="240" w:lineRule="auto"/>
      <w:jc w:val="center"/>
      <w:rPr>
        <w:rFonts w:eastAsia="Calibri"/>
        <w:color w:val="0E2841" w:themeColor="text2"/>
        <w:sz w:val="15"/>
        <w:szCs w:val="15"/>
      </w:rPr>
    </w:pPr>
    <w:r w:rsidRPr="00976BED">
      <w:rPr>
        <w:rFonts w:eastAsia="Calibri"/>
        <w:color w:val="0E2841" w:themeColor="text2"/>
        <w:sz w:val="15"/>
        <w:szCs w:val="15"/>
      </w:rPr>
      <w:t xml:space="preserve">Tel. </w:t>
    </w:r>
    <w:r>
      <w:rPr>
        <w:rFonts w:eastAsia="Calibri"/>
        <w:color w:val="0E2841" w:themeColor="text2"/>
        <w:sz w:val="15"/>
        <w:szCs w:val="15"/>
      </w:rPr>
      <w:t>4003-5182</w:t>
    </w:r>
  </w:p>
  <w:p w14:paraId="4C96CD38" w14:textId="77777777" w:rsidR="00862D1A" w:rsidRDefault="00862D1A" w:rsidP="004D61A4">
    <w:pPr>
      <w:spacing w:line="240" w:lineRule="auto"/>
      <w:jc w:val="center"/>
      <w:rPr>
        <w:rFonts w:eastAsia="Calibri"/>
        <w:color w:val="0E2841" w:themeColor="text2"/>
        <w:sz w:val="15"/>
        <w:szCs w:val="15"/>
      </w:rPr>
    </w:pPr>
    <w:r>
      <w:rPr>
        <w:noProof/>
      </w:rPr>
      <w:drawing>
        <wp:anchor distT="0" distB="0" distL="114300" distR="114300" simplePos="0" relativeHeight="251660288" behindDoc="0" locked="0" layoutInCell="1" allowOverlap="1" wp14:anchorId="040FD421" wp14:editId="6E49A8B6">
          <wp:simplePos x="0" y="0"/>
          <wp:positionH relativeFrom="page">
            <wp:align>left</wp:align>
          </wp:positionH>
          <wp:positionV relativeFrom="paragraph">
            <wp:posOffset>229870</wp:posOffset>
          </wp:positionV>
          <wp:extent cx="10052685" cy="545465"/>
          <wp:effectExtent l="0" t="0" r="5715" b="6985"/>
          <wp:wrapSquare wrapText="bothSides"/>
          <wp:docPr id="10342579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7003" name="Picture 959067003"/>
                  <pic:cNvPicPr/>
                </pic:nvPicPr>
                <pic:blipFill>
                  <a:blip r:embed="rId2">
                    <a:extLst>
                      <a:ext uri="{28A0092B-C50C-407E-A947-70E740481C1C}">
                        <a14:useLocalDpi xmlns:a14="http://schemas.microsoft.com/office/drawing/2010/main" val="0"/>
                      </a:ext>
                    </a:extLst>
                  </a:blip>
                  <a:stretch>
                    <a:fillRect/>
                  </a:stretch>
                </pic:blipFill>
                <pic:spPr>
                  <a:xfrm>
                    <a:off x="0" y="0"/>
                    <a:ext cx="10052685" cy="5454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1ADA4D33" wp14:editId="43D05367">
          <wp:simplePos x="0" y="0"/>
          <wp:positionH relativeFrom="page">
            <wp:align>right</wp:align>
          </wp:positionH>
          <wp:positionV relativeFrom="paragraph">
            <wp:posOffset>1120140</wp:posOffset>
          </wp:positionV>
          <wp:extent cx="7766685" cy="545465"/>
          <wp:effectExtent l="0" t="0" r="5715" b="6985"/>
          <wp:wrapNone/>
          <wp:docPr id="936501021" name="Imagen 93650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067003" name="Picture 959067003"/>
                  <pic:cNvPicPr/>
                </pic:nvPicPr>
                <pic:blipFill>
                  <a:blip r:embed="rId2">
                    <a:extLst>
                      <a:ext uri="{28A0092B-C50C-407E-A947-70E740481C1C}">
                        <a14:useLocalDpi xmlns:a14="http://schemas.microsoft.com/office/drawing/2010/main" val="0"/>
                      </a:ext>
                    </a:extLst>
                  </a:blip>
                  <a:stretch>
                    <a:fillRect/>
                  </a:stretch>
                </pic:blipFill>
                <pic:spPr>
                  <a:xfrm>
                    <a:off x="0" y="0"/>
                    <a:ext cx="7766685" cy="54546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EA419" w14:textId="77777777" w:rsidR="00E17BDB" w:rsidRDefault="00E17BDB" w:rsidP="00862D1A">
      <w:pPr>
        <w:spacing w:line="240" w:lineRule="auto"/>
      </w:pPr>
      <w:r>
        <w:separator/>
      </w:r>
    </w:p>
  </w:footnote>
  <w:footnote w:type="continuationSeparator" w:id="0">
    <w:p w14:paraId="335E7A43" w14:textId="77777777" w:rsidR="00E17BDB" w:rsidRDefault="00E17BDB" w:rsidP="00862D1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229A" w14:textId="77777777" w:rsidR="00862D1A" w:rsidRPr="00C617CA" w:rsidRDefault="00862D1A" w:rsidP="00A343F7">
    <w:pPr>
      <w:pStyle w:val="Encabezado"/>
      <w:rPr>
        <w:sz w:val="2"/>
        <w:szCs w:val="2"/>
      </w:rPr>
    </w:pPr>
    <w:r>
      <w:rPr>
        <w:noProof/>
      </w:rPr>
      <w:drawing>
        <wp:anchor distT="0" distB="0" distL="114300" distR="114300" simplePos="0" relativeHeight="251659264" behindDoc="0" locked="0" layoutInCell="1" allowOverlap="1" wp14:anchorId="66418E0E" wp14:editId="7BF39236">
          <wp:simplePos x="0" y="0"/>
          <wp:positionH relativeFrom="page">
            <wp:align>left</wp:align>
          </wp:positionH>
          <wp:positionV relativeFrom="paragraph">
            <wp:posOffset>-436880</wp:posOffset>
          </wp:positionV>
          <wp:extent cx="10052685" cy="1269365"/>
          <wp:effectExtent l="0" t="0" r="5715" b="6985"/>
          <wp:wrapSquare wrapText="bothSides"/>
          <wp:docPr id="1259221905" name="Imagen 1259221905" descr="A white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621113" name="Picture 1" descr="A white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52685" cy="126936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D1A"/>
    <w:rsid w:val="001351F6"/>
    <w:rsid w:val="0065321F"/>
    <w:rsid w:val="00662483"/>
    <w:rsid w:val="007545E0"/>
    <w:rsid w:val="00862D1A"/>
    <w:rsid w:val="00A9064F"/>
    <w:rsid w:val="00A9784E"/>
    <w:rsid w:val="00DB43D6"/>
    <w:rsid w:val="00E17BDB"/>
    <w:rsid w:val="00EA5BF4"/>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0E06D"/>
  <w15:chartTrackingRefBased/>
  <w15:docId w15:val="{680AEFF6-0C3E-427C-A0D3-E423434A5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D1A"/>
    <w:pPr>
      <w:spacing w:after="0" w:line="276" w:lineRule="auto"/>
    </w:pPr>
    <w:rPr>
      <w:rFonts w:ascii="Arial" w:eastAsia="Arial" w:hAnsi="Arial" w:cs="Arial"/>
      <w:kern w:val="0"/>
      <w:lang w:val="es-419" w:eastAsia="es-ES"/>
      <w14:ligatures w14:val="none"/>
    </w:rPr>
  </w:style>
  <w:style w:type="paragraph" w:styleId="Ttulo1">
    <w:name w:val="heading 1"/>
    <w:basedOn w:val="Normal"/>
    <w:next w:val="Normal"/>
    <w:link w:val="Ttulo1Car"/>
    <w:uiPriority w:val="9"/>
    <w:qFormat/>
    <w:rsid w:val="00862D1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CR" w:eastAsia="en-US"/>
      <w14:ligatures w14:val="standardContextual"/>
    </w:rPr>
  </w:style>
  <w:style w:type="paragraph" w:styleId="Ttulo2">
    <w:name w:val="heading 2"/>
    <w:basedOn w:val="Normal"/>
    <w:next w:val="Normal"/>
    <w:link w:val="Ttulo2Car"/>
    <w:uiPriority w:val="9"/>
    <w:semiHidden/>
    <w:unhideWhenUsed/>
    <w:qFormat/>
    <w:rsid w:val="00862D1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CR" w:eastAsia="en-US"/>
      <w14:ligatures w14:val="standardContextual"/>
    </w:rPr>
  </w:style>
  <w:style w:type="paragraph" w:styleId="Ttulo3">
    <w:name w:val="heading 3"/>
    <w:basedOn w:val="Normal"/>
    <w:next w:val="Normal"/>
    <w:link w:val="Ttulo3Car"/>
    <w:uiPriority w:val="9"/>
    <w:semiHidden/>
    <w:unhideWhenUsed/>
    <w:qFormat/>
    <w:rsid w:val="00862D1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CR" w:eastAsia="en-US"/>
      <w14:ligatures w14:val="standardContextual"/>
    </w:rPr>
  </w:style>
  <w:style w:type="paragraph" w:styleId="Ttulo4">
    <w:name w:val="heading 4"/>
    <w:basedOn w:val="Normal"/>
    <w:next w:val="Normal"/>
    <w:link w:val="Ttulo4Car"/>
    <w:uiPriority w:val="9"/>
    <w:semiHidden/>
    <w:unhideWhenUsed/>
    <w:qFormat/>
    <w:rsid w:val="00862D1A"/>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s-CR" w:eastAsia="en-US"/>
      <w14:ligatures w14:val="standardContextual"/>
    </w:rPr>
  </w:style>
  <w:style w:type="paragraph" w:styleId="Ttulo5">
    <w:name w:val="heading 5"/>
    <w:basedOn w:val="Normal"/>
    <w:next w:val="Normal"/>
    <w:link w:val="Ttulo5Car"/>
    <w:uiPriority w:val="9"/>
    <w:semiHidden/>
    <w:unhideWhenUsed/>
    <w:qFormat/>
    <w:rsid w:val="00862D1A"/>
    <w:pPr>
      <w:keepNext/>
      <w:keepLines/>
      <w:spacing w:before="80" w:after="40" w:line="259" w:lineRule="auto"/>
      <w:outlineLvl w:val="4"/>
    </w:pPr>
    <w:rPr>
      <w:rFonts w:asciiTheme="minorHAnsi" w:eastAsiaTheme="majorEastAsia" w:hAnsiTheme="minorHAnsi" w:cstheme="majorBidi"/>
      <w:color w:val="0F4761" w:themeColor="accent1" w:themeShade="BF"/>
      <w:kern w:val="2"/>
      <w:lang w:val="es-CR" w:eastAsia="en-US"/>
      <w14:ligatures w14:val="standardContextual"/>
    </w:rPr>
  </w:style>
  <w:style w:type="paragraph" w:styleId="Ttulo6">
    <w:name w:val="heading 6"/>
    <w:basedOn w:val="Normal"/>
    <w:next w:val="Normal"/>
    <w:link w:val="Ttulo6Car"/>
    <w:uiPriority w:val="9"/>
    <w:semiHidden/>
    <w:unhideWhenUsed/>
    <w:qFormat/>
    <w:rsid w:val="00862D1A"/>
    <w:pPr>
      <w:keepNext/>
      <w:keepLines/>
      <w:spacing w:before="40" w:line="259" w:lineRule="auto"/>
      <w:outlineLvl w:val="5"/>
    </w:pPr>
    <w:rPr>
      <w:rFonts w:asciiTheme="minorHAnsi" w:eastAsiaTheme="majorEastAsia" w:hAnsiTheme="minorHAnsi" w:cstheme="majorBidi"/>
      <w:i/>
      <w:iCs/>
      <w:color w:val="595959" w:themeColor="text1" w:themeTint="A6"/>
      <w:kern w:val="2"/>
      <w:lang w:val="es-CR" w:eastAsia="en-US"/>
      <w14:ligatures w14:val="standardContextual"/>
    </w:rPr>
  </w:style>
  <w:style w:type="paragraph" w:styleId="Ttulo7">
    <w:name w:val="heading 7"/>
    <w:basedOn w:val="Normal"/>
    <w:next w:val="Normal"/>
    <w:link w:val="Ttulo7Car"/>
    <w:uiPriority w:val="9"/>
    <w:semiHidden/>
    <w:unhideWhenUsed/>
    <w:qFormat/>
    <w:rsid w:val="00862D1A"/>
    <w:pPr>
      <w:keepNext/>
      <w:keepLines/>
      <w:spacing w:before="40" w:line="259" w:lineRule="auto"/>
      <w:outlineLvl w:val="6"/>
    </w:pPr>
    <w:rPr>
      <w:rFonts w:asciiTheme="minorHAnsi" w:eastAsiaTheme="majorEastAsia" w:hAnsiTheme="minorHAnsi" w:cstheme="majorBidi"/>
      <w:color w:val="595959" w:themeColor="text1" w:themeTint="A6"/>
      <w:kern w:val="2"/>
      <w:lang w:val="es-CR" w:eastAsia="en-US"/>
      <w14:ligatures w14:val="standardContextual"/>
    </w:rPr>
  </w:style>
  <w:style w:type="paragraph" w:styleId="Ttulo8">
    <w:name w:val="heading 8"/>
    <w:basedOn w:val="Normal"/>
    <w:next w:val="Normal"/>
    <w:link w:val="Ttulo8Car"/>
    <w:uiPriority w:val="9"/>
    <w:semiHidden/>
    <w:unhideWhenUsed/>
    <w:qFormat/>
    <w:rsid w:val="00862D1A"/>
    <w:pPr>
      <w:keepNext/>
      <w:keepLines/>
      <w:spacing w:line="259" w:lineRule="auto"/>
      <w:outlineLvl w:val="7"/>
    </w:pPr>
    <w:rPr>
      <w:rFonts w:asciiTheme="minorHAnsi" w:eastAsiaTheme="majorEastAsia" w:hAnsiTheme="minorHAnsi" w:cstheme="majorBidi"/>
      <w:i/>
      <w:iCs/>
      <w:color w:val="272727" w:themeColor="text1" w:themeTint="D8"/>
      <w:kern w:val="2"/>
      <w:lang w:val="es-CR" w:eastAsia="en-US"/>
      <w14:ligatures w14:val="standardContextual"/>
    </w:rPr>
  </w:style>
  <w:style w:type="paragraph" w:styleId="Ttulo9">
    <w:name w:val="heading 9"/>
    <w:basedOn w:val="Normal"/>
    <w:next w:val="Normal"/>
    <w:link w:val="Ttulo9Car"/>
    <w:uiPriority w:val="9"/>
    <w:semiHidden/>
    <w:unhideWhenUsed/>
    <w:qFormat/>
    <w:rsid w:val="00862D1A"/>
    <w:pPr>
      <w:keepNext/>
      <w:keepLines/>
      <w:spacing w:line="259" w:lineRule="auto"/>
      <w:outlineLvl w:val="8"/>
    </w:pPr>
    <w:rPr>
      <w:rFonts w:asciiTheme="minorHAnsi" w:eastAsiaTheme="majorEastAsia" w:hAnsiTheme="minorHAnsi" w:cstheme="majorBidi"/>
      <w:color w:val="272727" w:themeColor="text1" w:themeTint="D8"/>
      <w:kern w:val="2"/>
      <w:lang w:val="es-CR"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2D1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62D1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62D1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62D1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62D1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62D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62D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62D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62D1A"/>
    <w:rPr>
      <w:rFonts w:eastAsiaTheme="majorEastAsia" w:cstheme="majorBidi"/>
      <w:color w:val="272727" w:themeColor="text1" w:themeTint="D8"/>
    </w:rPr>
  </w:style>
  <w:style w:type="paragraph" w:styleId="Ttulo">
    <w:name w:val="Title"/>
    <w:basedOn w:val="Normal"/>
    <w:next w:val="Normal"/>
    <w:link w:val="TtuloCar"/>
    <w:uiPriority w:val="10"/>
    <w:qFormat/>
    <w:rsid w:val="00862D1A"/>
    <w:pPr>
      <w:spacing w:after="80" w:line="240" w:lineRule="auto"/>
      <w:contextualSpacing/>
    </w:pPr>
    <w:rPr>
      <w:rFonts w:asciiTheme="majorHAnsi" w:eastAsiaTheme="majorEastAsia" w:hAnsiTheme="majorHAnsi" w:cstheme="majorBidi"/>
      <w:spacing w:val="-10"/>
      <w:kern w:val="28"/>
      <w:sz w:val="56"/>
      <w:szCs w:val="56"/>
      <w:lang w:val="es-CR" w:eastAsia="en-US"/>
      <w14:ligatures w14:val="standardContextual"/>
    </w:rPr>
  </w:style>
  <w:style w:type="character" w:customStyle="1" w:styleId="TtuloCar">
    <w:name w:val="Título Car"/>
    <w:basedOn w:val="Fuentedeprrafopredeter"/>
    <w:link w:val="Ttulo"/>
    <w:uiPriority w:val="10"/>
    <w:rsid w:val="00862D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62D1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s-CR" w:eastAsia="en-US"/>
      <w14:ligatures w14:val="standardContextual"/>
    </w:rPr>
  </w:style>
  <w:style w:type="character" w:customStyle="1" w:styleId="SubttuloCar">
    <w:name w:val="Subtítulo Car"/>
    <w:basedOn w:val="Fuentedeprrafopredeter"/>
    <w:link w:val="Subttulo"/>
    <w:uiPriority w:val="11"/>
    <w:rsid w:val="00862D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62D1A"/>
    <w:pPr>
      <w:spacing w:before="160" w:after="160" w:line="259" w:lineRule="auto"/>
      <w:jc w:val="center"/>
    </w:pPr>
    <w:rPr>
      <w:rFonts w:asciiTheme="minorHAnsi" w:eastAsiaTheme="minorHAnsi" w:hAnsiTheme="minorHAnsi" w:cstheme="minorBidi"/>
      <w:i/>
      <w:iCs/>
      <w:color w:val="404040" w:themeColor="text1" w:themeTint="BF"/>
      <w:kern w:val="2"/>
      <w:lang w:val="es-CR" w:eastAsia="en-US"/>
      <w14:ligatures w14:val="standardContextual"/>
    </w:rPr>
  </w:style>
  <w:style w:type="character" w:customStyle="1" w:styleId="CitaCar">
    <w:name w:val="Cita Car"/>
    <w:basedOn w:val="Fuentedeprrafopredeter"/>
    <w:link w:val="Cita"/>
    <w:uiPriority w:val="29"/>
    <w:rsid w:val="00862D1A"/>
    <w:rPr>
      <w:i/>
      <w:iCs/>
      <w:color w:val="404040" w:themeColor="text1" w:themeTint="BF"/>
    </w:rPr>
  </w:style>
  <w:style w:type="paragraph" w:styleId="Prrafodelista">
    <w:name w:val="List Paragraph"/>
    <w:basedOn w:val="Normal"/>
    <w:uiPriority w:val="34"/>
    <w:qFormat/>
    <w:rsid w:val="00862D1A"/>
    <w:pPr>
      <w:spacing w:after="160" w:line="259" w:lineRule="auto"/>
      <w:ind w:left="720"/>
      <w:contextualSpacing/>
    </w:pPr>
    <w:rPr>
      <w:rFonts w:asciiTheme="minorHAnsi" w:eastAsiaTheme="minorHAnsi" w:hAnsiTheme="minorHAnsi" w:cstheme="minorBidi"/>
      <w:kern w:val="2"/>
      <w:lang w:val="es-CR" w:eastAsia="en-US"/>
      <w14:ligatures w14:val="standardContextual"/>
    </w:rPr>
  </w:style>
  <w:style w:type="character" w:styleId="nfasisintenso">
    <w:name w:val="Intense Emphasis"/>
    <w:basedOn w:val="Fuentedeprrafopredeter"/>
    <w:uiPriority w:val="21"/>
    <w:qFormat/>
    <w:rsid w:val="00862D1A"/>
    <w:rPr>
      <w:i/>
      <w:iCs/>
      <w:color w:val="0F4761" w:themeColor="accent1" w:themeShade="BF"/>
    </w:rPr>
  </w:style>
  <w:style w:type="paragraph" w:styleId="Citadestacada">
    <w:name w:val="Intense Quote"/>
    <w:basedOn w:val="Normal"/>
    <w:next w:val="Normal"/>
    <w:link w:val="CitadestacadaCar"/>
    <w:uiPriority w:val="30"/>
    <w:qFormat/>
    <w:rsid w:val="00862D1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s-CR" w:eastAsia="en-US"/>
      <w14:ligatures w14:val="standardContextual"/>
    </w:rPr>
  </w:style>
  <w:style w:type="character" w:customStyle="1" w:styleId="CitadestacadaCar">
    <w:name w:val="Cita destacada Car"/>
    <w:basedOn w:val="Fuentedeprrafopredeter"/>
    <w:link w:val="Citadestacada"/>
    <w:uiPriority w:val="30"/>
    <w:rsid w:val="00862D1A"/>
    <w:rPr>
      <w:i/>
      <w:iCs/>
      <w:color w:val="0F4761" w:themeColor="accent1" w:themeShade="BF"/>
    </w:rPr>
  </w:style>
  <w:style w:type="character" w:styleId="Referenciaintensa">
    <w:name w:val="Intense Reference"/>
    <w:basedOn w:val="Fuentedeprrafopredeter"/>
    <w:uiPriority w:val="32"/>
    <w:qFormat/>
    <w:rsid w:val="00862D1A"/>
    <w:rPr>
      <w:b/>
      <w:bCs/>
      <w:smallCaps/>
      <w:color w:val="0F4761" w:themeColor="accent1" w:themeShade="BF"/>
      <w:spacing w:val="5"/>
    </w:rPr>
  </w:style>
  <w:style w:type="paragraph" w:styleId="Encabezado">
    <w:name w:val="header"/>
    <w:basedOn w:val="Normal"/>
    <w:link w:val="EncabezadoCar"/>
    <w:uiPriority w:val="99"/>
    <w:unhideWhenUsed/>
    <w:rsid w:val="00862D1A"/>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862D1A"/>
    <w:rPr>
      <w:rFonts w:ascii="Arial" w:eastAsia="Arial" w:hAnsi="Arial" w:cs="Arial"/>
      <w:kern w:val="0"/>
      <w:lang w:val="es-419" w:eastAsia="es-ES"/>
      <w14:ligatures w14:val="none"/>
    </w:rPr>
  </w:style>
  <w:style w:type="character" w:styleId="Hipervnculo">
    <w:name w:val="Hyperlink"/>
    <w:basedOn w:val="Fuentedeprrafopredeter"/>
    <w:uiPriority w:val="99"/>
    <w:unhideWhenUsed/>
    <w:rsid w:val="00862D1A"/>
    <w:rPr>
      <w:color w:val="467886" w:themeColor="hyperlink"/>
      <w:u w:val="single"/>
    </w:rPr>
  </w:style>
  <w:style w:type="paragraph" w:styleId="Piedepgina">
    <w:name w:val="footer"/>
    <w:basedOn w:val="Normal"/>
    <w:link w:val="PiedepginaCar"/>
    <w:uiPriority w:val="99"/>
    <w:unhideWhenUsed/>
    <w:rsid w:val="00862D1A"/>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862D1A"/>
    <w:rPr>
      <w:rFonts w:ascii="Arial" w:eastAsia="Arial" w:hAnsi="Arial" w:cs="Arial"/>
      <w:kern w:val="0"/>
      <w:lang w:val="es-419"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mailto:internacionales@misalud.go.c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689</Words>
  <Characters>3792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Salazar González</dc:creator>
  <cp:keywords/>
  <dc:description/>
  <cp:lastModifiedBy>Adriana Salazar González</cp:lastModifiedBy>
  <cp:revision>2</cp:revision>
  <dcterms:created xsi:type="dcterms:W3CDTF">2026-09-14T14:16:00Z</dcterms:created>
  <dcterms:modified xsi:type="dcterms:W3CDTF">2026-09-14T14:36:00Z</dcterms:modified>
</cp:coreProperties>
</file>