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7566C" w14:textId="1641542A" w:rsidR="009C03FB" w:rsidRDefault="009C03FB" w:rsidP="00A744C1">
      <w:pPr>
        <w:pStyle w:val="NormalWeb"/>
        <w:spacing w:line="360" w:lineRule="auto"/>
        <w:jc w:val="right"/>
        <w:rPr>
          <w:b/>
          <w:bCs/>
          <w:color w:val="000000"/>
          <w:sz w:val="27"/>
          <w:szCs w:val="27"/>
        </w:rPr>
      </w:pPr>
      <w:r>
        <w:rPr>
          <w:b/>
          <w:bCs/>
          <w:color w:val="000000"/>
          <w:sz w:val="27"/>
          <w:szCs w:val="27"/>
        </w:rPr>
        <w:t>MS-AJ-</w:t>
      </w:r>
      <w:r w:rsidR="00EB2412">
        <w:rPr>
          <w:b/>
          <w:bCs/>
          <w:color w:val="000000"/>
          <w:sz w:val="27"/>
          <w:szCs w:val="27"/>
        </w:rPr>
        <w:t>CB</w:t>
      </w:r>
      <w:r>
        <w:rPr>
          <w:b/>
          <w:bCs/>
          <w:color w:val="000000"/>
          <w:sz w:val="27"/>
          <w:szCs w:val="27"/>
        </w:rPr>
        <w:t>-</w:t>
      </w:r>
      <w:r w:rsidR="00224B2E">
        <w:rPr>
          <w:b/>
          <w:bCs/>
          <w:color w:val="000000"/>
          <w:sz w:val="27"/>
          <w:szCs w:val="27"/>
        </w:rPr>
        <w:t>877</w:t>
      </w:r>
      <w:r>
        <w:rPr>
          <w:b/>
          <w:bCs/>
          <w:color w:val="000000"/>
          <w:sz w:val="27"/>
          <w:szCs w:val="27"/>
        </w:rPr>
        <w:t>-202</w:t>
      </w:r>
      <w:r w:rsidR="006B6A01">
        <w:rPr>
          <w:b/>
          <w:bCs/>
          <w:color w:val="000000"/>
          <w:sz w:val="27"/>
          <w:szCs w:val="27"/>
        </w:rPr>
        <w:t>6</w:t>
      </w:r>
    </w:p>
    <w:p w14:paraId="04CC61F3" w14:textId="16561459" w:rsidR="00F51866" w:rsidRPr="00E73C04" w:rsidRDefault="00F51866" w:rsidP="00A744C1">
      <w:pPr>
        <w:pStyle w:val="NormalWeb"/>
        <w:spacing w:line="360" w:lineRule="auto"/>
        <w:jc w:val="center"/>
        <w:rPr>
          <w:b/>
          <w:bCs/>
          <w:color w:val="000000"/>
          <w:sz w:val="27"/>
          <w:szCs w:val="27"/>
        </w:rPr>
      </w:pPr>
      <w:r w:rsidRPr="00E73C04">
        <w:rPr>
          <w:b/>
          <w:bCs/>
          <w:color w:val="000000"/>
          <w:sz w:val="27"/>
          <w:szCs w:val="27"/>
        </w:rPr>
        <w:t>DECRETO EJECUTIVO Nº_________________-S</w:t>
      </w:r>
    </w:p>
    <w:p w14:paraId="2FD66266" w14:textId="63469ED4" w:rsidR="00F51866" w:rsidRPr="00E73C04" w:rsidRDefault="00EB2412" w:rsidP="00A744C1">
      <w:pPr>
        <w:pStyle w:val="NormalWeb"/>
        <w:spacing w:line="360" w:lineRule="auto"/>
        <w:jc w:val="center"/>
        <w:rPr>
          <w:b/>
          <w:bCs/>
          <w:color w:val="000000"/>
          <w:sz w:val="27"/>
          <w:szCs w:val="27"/>
        </w:rPr>
      </w:pPr>
      <w:r>
        <w:rPr>
          <w:b/>
          <w:bCs/>
          <w:color w:val="000000"/>
          <w:sz w:val="27"/>
          <w:szCs w:val="27"/>
        </w:rPr>
        <w:t>LA</w:t>
      </w:r>
      <w:r w:rsidR="00F51866" w:rsidRPr="00E73C04">
        <w:rPr>
          <w:b/>
          <w:bCs/>
          <w:color w:val="000000"/>
          <w:sz w:val="27"/>
          <w:szCs w:val="27"/>
        </w:rPr>
        <w:t xml:space="preserve"> PRESIDENT</w:t>
      </w:r>
      <w:r>
        <w:rPr>
          <w:b/>
          <w:bCs/>
          <w:color w:val="000000"/>
          <w:sz w:val="27"/>
          <w:szCs w:val="27"/>
        </w:rPr>
        <w:t>E</w:t>
      </w:r>
      <w:r w:rsidR="00F51866" w:rsidRPr="00E73C04">
        <w:rPr>
          <w:b/>
          <w:bCs/>
          <w:color w:val="000000"/>
          <w:sz w:val="27"/>
          <w:szCs w:val="27"/>
        </w:rPr>
        <w:t xml:space="preserve"> DE LA REPÚBLICA</w:t>
      </w:r>
    </w:p>
    <w:p w14:paraId="4E89A298" w14:textId="47D7328A" w:rsidR="00F51866" w:rsidRPr="00E73C04" w:rsidRDefault="00F51866" w:rsidP="00A744C1">
      <w:pPr>
        <w:pStyle w:val="NormalWeb"/>
        <w:spacing w:line="360" w:lineRule="auto"/>
        <w:jc w:val="center"/>
        <w:rPr>
          <w:b/>
          <w:bCs/>
          <w:color w:val="000000"/>
          <w:sz w:val="27"/>
          <w:szCs w:val="27"/>
        </w:rPr>
      </w:pPr>
      <w:r w:rsidRPr="00E73C04">
        <w:rPr>
          <w:b/>
          <w:bCs/>
          <w:color w:val="000000"/>
          <w:sz w:val="27"/>
          <w:szCs w:val="27"/>
        </w:rPr>
        <w:t xml:space="preserve">Y </w:t>
      </w:r>
      <w:r w:rsidR="00D97649">
        <w:rPr>
          <w:b/>
          <w:bCs/>
          <w:color w:val="000000"/>
          <w:sz w:val="27"/>
          <w:szCs w:val="27"/>
        </w:rPr>
        <w:t>EL</w:t>
      </w:r>
      <w:r w:rsidRPr="00E73C04">
        <w:rPr>
          <w:b/>
          <w:bCs/>
          <w:color w:val="000000"/>
          <w:sz w:val="27"/>
          <w:szCs w:val="27"/>
        </w:rPr>
        <w:t xml:space="preserve"> MINISTR</w:t>
      </w:r>
      <w:r w:rsidR="00D97649">
        <w:rPr>
          <w:b/>
          <w:bCs/>
          <w:color w:val="000000"/>
          <w:sz w:val="27"/>
          <w:szCs w:val="27"/>
        </w:rPr>
        <w:t>O</w:t>
      </w:r>
      <w:r w:rsidRPr="00E73C04">
        <w:rPr>
          <w:b/>
          <w:bCs/>
          <w:color w:val="000000"/>
          <w:sz w:val="27"/>
          <w:szCs w:val="27"/>
        </w:rPr>
        <w:t xml:space="preserve"> DE SALUD</w:t>
      </w:r>
    </w:p>
    <w:p w14:paraId="6AF149F8" w14:textId="77777777" w:rsidR="00467A7E" w:rsidRPr="0005667F" w:rsidRDefault="00467A7E" w:rsidP="00A744C1">
      <w:pPr>
        <w:spacing w:line="360" w:lineRule="auto"/>
        <w:jc w:val="both"/>
        <w:rPr>
          <w:lang w:val="es-ES"/>
        </w:rPr>
      </w:pPr>
    </w:p>
    <w:p w14:paraId="4D6B6A29" w14:textId="0D2A53EA" w:rsidR="00AA2E36" w:rsidRDefault="00EA1127" w:rsidP="00A744C1">
      <w:pPr>
        <w:spacing w:line="360" w:lineRule="auto"/>
        <w:jc w:val="both"/>
        <w:rPr>
          <w:lang w:val="es-ES"/>
        </w:rPr>
      </w:pPr>
      <w:r w:rsidRPr="00EA1127">
        <w:rPr>
          <w:lang w:val="es-ES"/>
        </w:rPr>
        <w:t xml:space="preserve">En uso de las facultades conferidas </w:t>
      </w:r>
      <w:r w:rsidR="00FA1249">
        <w:rPr>
          <w:lang w:val="es-ES"/>
        </w:rPr>
        <w:t>por</w:t>
      </w:r>
      <w:r w:rsidRPr="00EA1127">
        <w:rPr>
          <w:lang w:val="es-ES"/>
        </w:rPr>
        <w:t xml:space="preserve"> los artículos 140 incisos 3) y 18) y 146 de la Constitución Política; </w:t>
      </w:r>
      <w:r w:rsidR="001D3628" w:rsidRPr="00EA1127">
        <w:rPr>
          <w:lang w:val="es-ES"/>
        </w:rPr>
        <w:t xml:space="preserve">25 inciso 1), 27 inciso 1) y 28 inciso 2) acápite b) </w:t>
      </w:r>
      <w:r w:rsidR="009010C5">
        <w:rPr>
          <w:lang w:val="es-ES"/>
        </w:rPr>
        <w:t xml:space="preserve">de la </w:t>
      </w:r>
      <w:r w:rsidR="008B45B9" w:rsidRPr="00EA1127">
        <w:rPr>
          <w:lang w:val="es-ES"/>
        </w:rPr>
        <w:t>"Ley General de la Administración Pública</w:t>
      </w:r>
      <w:r w:rsidR="001D3628">
        <w:rPr>
          <w:lang w:val="es-ES"/>
        </w:rPr>
        <w:t xml:space="preserve">, </w:t>
      </w:r>
      <w:r w:rsidR="001D3628" w:rsidRPr="00EA1127">
        <w:rPr>
          <w:lang w:val="es-ES"/>
        </w:rPr>
        <w:t>N° 6227 del 02 de mayo de 1978</w:t>
      </w:r>
      <w:r w:rsidR="008B45B9" w:rsidRPr="00EA1127">
        <w:rPr>
          <w:lang w:val="es-ES"/>
        </w:rPr>
        <w:t>"</w:t>
      </w:r>
      <w:r w:rsidR="008B45B9">
        <w:rPr>
          <w:lang w:val="es-ES"/>
        </w:rPr>
        <w:t>,</w:t>
      </w:r>
      <w:r w:rsidR="001D3628">
        <w:rPr>
          <w:lang w:val="es-ES"/>
        </w:rPr>
        <w:t xml:space="preserve"> </w:t>
      </w:r>
      <w:r w:rsidRPr="00EA1127">
        <w:rPr>
          <w:lang w:val="es-ES"/>
        </w:rPr>
        <w:t>;</w:t>
      </w:r>
      <w:r w:rsidR="00574682">
        <w:rPr>
          <w:lang w:val="es-ES"/>
        </w:rPr>
        <w:t xml:space="preserve"> </w:t>
      </w:r>
      <w:r w:rsidR="001D3628" w:rsidRPr="00574682">
        <w:t xml:space="preserve">1, 2 y 6 </w:t>
      </w:r>
      <w:r w:rsidR="009010C5">
        <w:t xml:space="preserve">de la </w:t>
      </w:r>
      <w:r w:rsidR="001D3628" w:rsidRPr="00574682">
        <w:t>"Ley Orgánica del Ministerio de Salud"</w:t>
      </w:r>
      <w:r w:rsidR="001D3628" w:rsidRPr="001D3628">
        <w:t xml:space="preserve"> </w:t>
      </w:r>
      <w:r w:rsidR="001D3628" w:rsidRPr="00574682">
        <w:t>Nº 5412 del 8 de noviembre de 1973</w:t>
      </w:r>
      <w:r w:rsidR="001D3628">
        <w:t xml:space="preserve">, </w:t>
      </w:r>
      <w:r w:rsidR="009010C5">
        <w:t>y</w:t>
      </w:r>
      <w:r w:rsidR="00574682" w:rsidRPr="00574682">
        <w:t xml:space="preserve"> </w:t>
      </w:r>
      <w:r w:rsidR="001D3628" w:rsidRPr="00EA1127">
        <w:rPr>
          <w:lang w:val="es-ES"/>
        </w:rPr>
        <w:t>1, 2, 4</w:t>
      </w:r>
      <w:r w:rsidR="001D3628">
        <w:rPr>
          <w:lang w:val="es-ES"/>
        </w:rPr>
        <w:t xml:space="preserve"> y </w:t>
      </w:r>
      <w:r w:rsidR="001D3628" w:rsidRPr="00EA1127">
        <w:rPr>
          <w:lang w:val="es-ES"/>
        </w:rPr>
        <w:t xml:space="preserve">7 </w:t>
      </w:r>
      <w:r w:rsidR="009010C5">
        <w:rPr>
          <w:lang w:val="es-ES"/>
        </w:rPr>
        <w:t xml:space="preserve">de la </w:t>
      </w:r>
      <w:r w:rsidR="001D3628" w:rsidRPr="00EA1127">
        <w:rPr>
          <w:lang w:val="es-ES"/>
        </w:rPr>
        <w:t>"Ley General de Salud</w:t>
      </w:r>
      <w:r w:rsidR="001D3628">
        <w:rPr>
          <w:lang w:val="es-ES"/>
        </w:rPr>
        <w:t>”</w:t>
      </w:r>
      <w:r w:rsidRPr="00EA1127">
        <w:rPr>
          <w:lang w:val="es-ES"/>
        </w:rPr>
        <w:t xml:space="preserve"> </w:t>
      </w:r>
      <w:r w:rsidR="001D3628" w:rsidRPr="00EA1127">
        <w:rPr>
          <w:lang w:val="es-ES"/>
        </w:rPr>
        <w:t>N° 5395 del 30 de octubre de 1973</w:t>
      </w:r>
      <w:r w:rsidR="001D3628">
        <w:rPr>
          <w:lang w:val="es-ES"/>
        </w:rPr>
        <w:t xml:space="preserve">. </w:t>
      </w:r>
      <w:r w:rsidR="00A45BA5">
        <w:rPr>
          <w:lang w:val="es-ES"/>
        </w:rPr>
        <w:t>.</w:t>
      </w:r>
    </w:p>
    <w:p w14:paraId="71094D93" w14:textId="77777777" w:rsidR="00574682" w:rsidRDefault="00574682" w:rsidP="00A744C1">
      <w:pPr>
        <w:spacing w:line="360" w:lineRule="auto"/>
      </w:pPr>
    </w:p>
    <w:p w14:paraId="0FAC9CB8" w14:textId="2C60AD1A" w:rsidR="00467A7E" w:rsidRPr="00355461" w:rsidRDefault="00355461" w:rsidP="00A744C1">
      <w:pPr>
        <w:spacing w:line="360" w:lineRule="auto"/>
        <w:jc w:val="center"/>
        <w:rPr>
          <w:b/>
          <w:bCs/>
          <w:sz w:val="22"/>
          <w:szCs w:val="22"/>
          <w:lang w:val="es-ES"/>
        </w:rPr>
      </w:pPr>
      <w:r w:rsidRPr="00355461">
        <w:rPr>
          <w:b/>
          <w:bCs/>
          <w:sz w:val="22"/>
          <w:szCs w:val="22"/>
          <w:lang w:val="es-ES"/>
        </w:rPr>
        <w:t>CONSIDERANDO:</w:t>
      </w:r>
    </w:p>
    <w:p w14:paraId="14A30788" w14:textId="77777777" w:rsidR="00467A7E" w:rsidRPr="00355461" w:rsidRDefault="00467A7E" w:rsidP="00A744C1">
      <w:pPr>
        <w:spacing w:line="360" w:lineRule="auto"/>
        <w:jc w:val="center"/>
        <w:rPr>
          <w:b/>
          <w:bCs/>
          <w:sz w:val="22"/>
          <w:szCs w:val="22"/>
          <w:lang w:val="es-ES"/>
        </w:rPr>
      </w:pPr>
    </w:p>
    <w:p w14:paraId="4D64BB28" w14:textId="77777777" w:rsidR="00467A7E" w:rsidRPr="0005667F" w:rsidRDefault="00467A7E" w:rsidP="00A744C1">
      <w:pPr>
        <w:spacing w:line="360" w:lineRule="auto"/>
        <w:rPr>
          <w:lang w:val="es-ES"/>
        </w:rPr>
      </w:pPr>
    </w:p>
    <w:p w14:paraId="06EA1BB4" w14:textId="0A99FBCD" w:rsidR="001657DB" w:rsidRPr="001657DB" w:rsidRDefault="00574682" w:rsidP="001657DB">
      <w:pPr>
        <w:spacing w:line="360" w:lineRule="auto"/>
        <w:jc w:val="both"/>
        <w:rPr>
          <w:rFonts w:eastAsiaTheme="minorHAnsi"/>
          <w:lang w:val="es-ES" w:eastAsia="en-US"/>
        </w:rPr>
      </w:pPr>
      <w:r w:rsidRPr="0048636A">
        <w:rPr>
          <w:rFonts w:eastAsiaTheme="minorHAnsi"/>
          <w:lang w:val="es-ES" w:eastAsia="en-US"/>
        </w:rPr>
        <w:t>1</w:t>
      </w:r>
      <w:r w:rsidR="00FA1249">
        <w:rPr>
          <w:rFonts w:eastAsiaTheme="minorHAnsi"/>
          <w:lang w:val="es-ES" w:eastAsia="en-US"/>
        </w:rPr>
        <w:t>.</w:t>
      </w:r>
      <w:r w:rsidRPr="0048636A">
        <w:rPr>
          <w:rFonts w:eastAsiaTheme="minorHAnsi"/>
          <w:lang w:val="es-ES" w:eastAsia="en-US"/>
        </w:rPr>
        <w:t>-</w:t>
      </w:r>
      <w:r>
        <w:rPr>
          <w:rFonts w:eastAsiaTheme="minorHAnsi"/>
          <w:lang w:val="es-ES" w:eastAsia="en-US"/>
        </w:rPr>
        <w:t xml:space="preserve"> </w:t>
      </w:r>
      <w:r w:rsidR="001657DB" w:rsidRPr="001657DB">
        <w:rPr>
          <w:rFonts w:eastAsiaTheme="minorHAnsi"/>
          <w:lang w:val="es-ES" w:eastAsia="en-US"/>
        </w:rPr>
        <w:t>Que el Estado tiene la responsabilidad de garantizar la protección de la salud pública, mediante el aseguramiento de la calidad, seguridad y eficacia de los medicamentos que se comercializan en el territorio nacional, conforme a principios científicos y técnicos actualizados.</w:t>
      </w:r>
    </w:p>
    <w:p w14:paraId="2B5527A7" w14:textId="77777777" w:rsidR="00574682" w:rsidRDefault="00574682" w:rsidP="001657DB">
      <w:pPr>
        <w:spacing w:line="360" w:lineRule="auto"/>
        <w:jc w:val="both"/>
        <w:rPr>
          <w:rFonts w:eastAsiaTheme="minorHAnsi"/>
          <w:lang w:val="es-ES" w:eastAsia="en-US"/>
        </w:rPr>
      </w:pPr>
    </w:p>
    <w:p w14:paraId="75B288D0" w14:textId="505DA7FC" w:rsidR="00FA1249" w:rsidRPr="00FA1249" w:rsidRDefault="00574682" w:rsidP="00FA1249">
      <w:pPr>
        <w:spacing w:line="360" w:lineRule="auto"/>
        <w:jc w:val="both"/>
        <w:rPr>
          <w:rFonts w:eastAsiaTheme="minorHAnsi"/>
          <w:lang w:eastAsia="en-US"/>
        </w:rPr>
      </w:pPr>
      <w:r>
        <w:rPr>
          <w:rFonts w:eastAsiaTheme="minorHAnsi"/>
          <w:lang w:val="es-ES" w:eastAsia="en-US"/>
        </w:rPr>
        <w:t>2</w:t>
      </w:r>
      <w:r w:rsidR="00FA1249">
        <w:rPr>
          <w:rFonts w:eastAsiaTheme="minorHAnsi"/>
          <w:lang w:val="es-ES" w:eastAsia="en-US"/>
        </w:rPr>
        <w:t>.</w:t>
      </w:r>
      <w:r w:rsidRPr="0048636A">
        <w:rPr>
          <w:rFonts w:eastAsiaTheme="minorHAnsi"/>
          <w:lang w:val="es-ES" w:eastAsia="en-US"/>
        </w:rPr>
        <w:t>-</w:t>
      </w:r>
      <w:r>
        <w:rPr>
          <w:rFonts w:eastAsiaTheme="minorHAnsi"/>
          <w:lang w:val="es-ES" w:eastAsia="en-US"/>
        </w:rPr>
        <w:t xml:space="preserve"> </w:t>
      </w:r>
      <w:r w:rsidR="009010C5" w:rsidRPr="00FA1249">
        <w:rPr>
          <w:rFonts w:eastAsiaTheme="minorHAnsi"/>
          <w:lang w:eastAsia="en-US"/>
        </w:rPr>
        <w:t>Que,</w:t>
      </w:r>
      <w:r w:rsidR="00FA1249" w:rsidRPr="00FA1249">
        <w:rPr>
          <w:rFonts w:eastAsiaTheme="minorHAnsi"/>
          <w:lang w:eastAsia="en-US"/>
        </w:rPr>
        <w:t xml:space="preserve"> de conformidad con la Ley General de Salud, corresponde al Ministerio de Salud regular, controlar y vigilar el registro sanitario de medicamentos, asegurando su calidad, seguridad y eficacia</w:t>
      </w:r>
    </w:p>
    <w:p w14:paraId="23FC2753" w14:textId="5D37951D" w:rsidR="00FA1249" w:rsidRPr="006D6283" w:rsidRDefault="00FA1249" w:rsidP="001657DB">
      <w:pPr>
        <w:spacing w:line="360" w:lineRule="auto"/>
        <w:jc w:val="both"/>
        <w:rPr>
          <w:rFonts w:eastAsiaTheme="minorHAnsi"/>
          <w:lang w:eastAsia="en-US"/>
        </w:rPr>
      </w:pPr>
    </w:p>
    <w:p w14:paraId="52DAA26B" w14:textId="4D311212" w:rsidR="00FA1249" w:rsidRPr="00FA1249" w:rsidRDefault="00FA1249" w:rsidP="00FA1249">
      <w:pPr>
        <w:spacing w:line="360" w:lineRule="auto"/>
        <w:jc w:val="both"/>
        <w:rPr>
          <w:rFonts w:eastAsiaTheme="minorHAnsi"/>
          <w:lang w:eastAsia="en-US"/>
        </w:rPr>
      </w:pPr>
      <w:r>
        <w:rPr>
          <w:rFonts w:eastAsiaTheme="minorHAnsi"/>
          <w:lang w:val="es-ES" w:eastAsia="en-US"/>
        </w:rPr>
        <w:t xml:space="preserve">3.- </w:t>
      </w:r>
      <w:r w:rsidRPr="00FA1249">
        <w:rPr>
          <w:rFonts w:eastAsiaTheme="minorHAnsi"/>
          <w:lang w:eastAsia="en-US"/>
        </w:rPr>
        <w:t>Que el Ministerio de Salud, en su condición de autoridad sanitaria nacional, es competente para definir los requisitos técnicos aplicables al registro sanitario de medicamentos</w:t>
      </w:r>
      <w:r w:rsidR="00DC4B88">
        <w:rPr>
          <w:rFonts w:eastAsiaTheme="minorHAnsi"/>
          <w:lang w:eastAsia="en-US"/>
        </w:rPr>
        <w:t>.</w:t>
      </w:r>
    </w:p>
    <w:p w14:paraId="5BE72CCB" w14:textId="2895C0D5" w:rsidR="00FA1249" w:rsidRDefault="00FA1249" w:rsidP="001657DB">
      <w:pPr>
        <w:spacing w:line="360" w:lineRule="auto"/>
        <w:jc w:val="both"/>
        <w:rPr>
          <w:rFonts w:eastAsiaTheme="minorHAnsi"/>
          <w:lang w:val="es-ES" w:eastAsia="en-US"/>
        </w:rPr>
      </w:pPr>
      <w:r>
        <w:rPr>
          <w:rFonts w:eastAsiaTheme="minorHAnsi"/>
          <w:lang w:val="es-ES" w:eastAsia="en-US"/>
        </w:rPr>
        <w:t xml:space="preserve"> </w:t>
      </w:r>
    </w:p>
    <w:p w14:paraId="5E358442" w14:textId="34025773" w:rsidR="001657DB" w:rsidRPr="001657DB" w:rsidRDefault="00FA1249" w:rsidP="001657DB">
      <w:pPr>
        <w:spacing w:line="360" w:lineRule="auto"/>
        <w:jc w:val="both"/>
        <w:rPr>
          <w:rFonts w:eastAsiaTheme="minorHAnsi"/>
          <w:lang w:val="es-ES" w:eastAsia="en-US"/>
        </w:rPr>
      </w:pPr>
      <w:r>
        <w:rPr>
          <w:rFonts w:eastAsiaTheme="minorHAnsi"/>
          <w:lang w:val="es-ES" w:eastAsia="en-US"/>
        </w:rPr>
        <w:t xml:space="preserve">4.- </w:t>
      </w:r>
      <w:r w:rsidR="001657DB" w:rsidRPr="001657DB">
        <w:rPr>
          <w:rFonts w:eastAsiaTheme="minorHAnsi"/>
          <w:lang w:val="es-ES" w:eastAsia="en-US"/>
        </w:rPr>
        <w:t xml:space="preserve">Que </w:t>
      </w:r>
      <w:r w:rsidR="00A576DE">
        <w:rPr>
          <w:rFonts w:eastAsiaTheme="minorHAnsi"/>
          <w:lang w:val="es-ES" w:eastAsia="en-US"/>
        </w:rPr>
        <w:t xml:space="preserve">el artículo 1 del </w:t>
      </w:r>
      <w:r w:rsidR="001657DB" w:rsidRPr="001657DB">
        <w:rPr>
          <w:rFonts w:eastAsiaTheme="minorHAnsi"/>
          <w:lang w:val="es-ES" w:eastAsia="en-US"/>
        </w:rPr>
        <w:t xml:space="preserve">Decreto Ejecutivo N.º 39433-S </w:t>
      </w:r>
      <w:r w:rsidR="00EB6BA0">
        <w:rPr>
          <w:rFonts w:eastAsiaTheme="minorHAnsi"/>
          <w:lang w:val="es-ES" w:eastAsia="en-US"/>
        </w:rPr>
        <w:t>“</w:t>
      </w:r>
      <w:r w:rsidR="00EB6BA0" w:rsidRPr="009010C5">
        <w:rPr>
          <w:rFonts w:eastAsiaTheme="minorHAnsi"/>
          <w:lang w:eastAsia="en-US"/>
        </w:rPr>
        <w:t xml:space="preserve">Reconocimiento </w:t>
      </w:r>
      <w:r w:rsidR="00EB6BA0">
        <w:rPr>
          <w:rFonts w:eastAsiaTheme="minorHAnsi"/>
          <w:lang w:eastAsia="en-US"/>
        </w:rPr>
        <w:t>d</w:t>
      </w:r>
      <w:r w:rsidR="00EB6BA0" w:rsidRPr="009010C5">
        <w:rPr>
          <w:rFonts w:eastAsiaTheme="minorHAnsi"/>
          <w:lang w:eastAsia="en-US"/>
        </w:rPr>
        <w:t xml:space="preserve">e </w:t>
      </w:r>
      <w:r w:rsidR="00EB6BA0">
        <w:rPr>
          <w:rFonts w:eastAsiaTheme="minorHAnsi"/>
          <w:lang w:eastAsia="en-US"/>
        </w:rPr>
        <w:t>l</w:t>
      </w:r>
      <w:r w:rsidR="00EB6BA0" w:rsidRPr="009010C5">
        <w:rPr>
          <w:rFonts w:eastAsiaTheme="minorHAnsi"/>
          <w:lang w:eastAsia="en-US"/>
        </w:rPr>
        <w:t xml:space="preserve">a </w:t>
      </w:r>
      <w:r w:rsidR="00EB6BA0">
        <w:rPr>
          <w:rFonts w:eastAsiaTheme="minorHAnsi"/>
          <w:lang w:eastAsia="en-US"/>
        </w:rPr>
        <w:t>e</w:t>
      </w:r>
      <w:r w:rsidR="00EB6BA0" w:rsidRPr="009010C5">
        <w:rPr>
          <w:rFonts w:eastAsiaTheme="minorHAnsi"/>
          <w:lang w:eastAsia="en-US"/>
        </w:rPr>
        <w:t xml:space="preserve">valuación </w:t>
      </w:r>
      <w:r w:rsidR="00EB6BA0">
        <w:rPr>
          <w:rFonts w:eastAsiaTheme="minorHAnsi"/>
          <w:lang w:eastAsia="en-US"/>
        </w:rPr>
        <w:t>y</w:t>
      </w:r>
      <w:r w:rsidR="00EB6BA0" w:rsidRPr="009010C5">
        <w:rPr>
          <w:rFonts w:eastAsiaTheme="minorHAnsi"/>
          <w:lang w:eastAsia="en-US"/>
        </w:rPr>
        <w:t xml:space="preserve"> </w:t>
      </w:r>
      <w:r w:rsidR="00EB6BA0">
        <w:rPr>
          <w:rFonts w:eastAsiaTheme="minorHAnsi"/>
          <w:lang w:eastAsia="en-US"/>
        </w:rPr>
        <w:t>a</w:t>
      </w:r>
      <w:r w:rsidR="00EB6BA0" w:rsidRPr="009010C5">
        <w:rPr>
          <w:rFonts w:eastAsiaTheme="minorHAnsi"/>
          <w:lang w:eastAsia="en-US"/>
        </w:rPr>
        <w:t>probación </w:t>
      </w:r>
      <w:r w:rsidR="00EB6BA0">
        <w:rPr>
          <w:rFonts w:eastAsiaTheme="minorHAnsi"/>
          <w:lang w:eastAsia="en-US"/>
        </w:rPr>
        <w:t>d</w:t>
      </w:r>
      <w:r w:rsidR="00EB6BA0" w:rsidRPr="009010C5">
        <w:rPr>
          <w:rFonts w:eastAsiaTheme="minorHAnsi"/>
          <w:lang w:eastAsia="en-US"/>
        </w:rPr>
        <w:t xml:space="preserve">e Informes Finales </w:t>
      </w:r>
      <w:r w:rsidR="00EB6BA0">
        <w:rPr>
          <w:rFonts w:eastAsiaTheme="minorHAnsi"/>
          <w:lang w:eastAsia="en-US"/>
        </w:rPr>
        <w:t>d</w:t>
      </w:r>
      <w:r w:rsidR="00EB6BA0" w:rsidRPr="009010C5">
        <w:rPr>
          <w:rFonts w:eastAsiaTheme="minorHAnsi"/>
          <w:lang w:eastAsia="en-US"/>
        </w:rPr>
        <w:t xml:space="preserve">e Estudios Clínicos </w:t>
      </w:r>
      <w:r w:rsidR="00EB6BA0">
        <w:rPr>
          <w:rFonts w:eastAsiaTheme="minorHAnsi"/>
          <w:lang w:eastAsia="en-US"/>
        </w:rPr>
        <w:t>y</w:t>
      </w:r>
      <w:r w:rsidR="00EB6BA0" w:rsidRPr="009010C5">
        <w:rPr>
          <w:rFonts w:eastAsiaTheme="minorHAnsi"/>
          <w:lang w:eastAsia="en-US"/>
        </w:rPr>
        <w:t xml:space="preserve"> No Clínicos </w:t>
      </w:r>
      <w:r w:rsidR="00EB6BA0">
        <w:rPr>
          <w:rFonts w:eastAsiaTheme="minorHAnsi"/>
          <w:lang w:eastAsia="en-US"/>
        </w:rPr>
        <w:t>p</w:t>
      </w:r>
      <w:r w:rsidR="00EB6BA0" w:rsidRPr="009010C5">
        <w:rPr>
          <w:rFonts w:eastAsiaTheme="minorHAnsi"/>
          <w:lang w:eastAsia="en-US"/>
        </w:rPr>
        <w:t xml:space="preserve">or </w:t>
      </w:r>
      <w:r w:rsidR="00EB6BA0">
        <w:rPr>
          <w:rFonts w:eastAsiaTheme="minorHAnsi"/>
          <w:lang w:eastAsia="en-US"/>
        </w:rPr>
        <w:t>p</w:t>
      </w:r>
      <w:r w:rsidR="00EB6BA0" w:rsidRPr="009010C5">
        <w:rPr>
          <w:rFonts w:eastAsiaTheme="minorHAnsi"/>
          <w:lang w:eastAsia="en-US"/>
        </w:rPr>
        <w:t xml:space="preserve">arte </w:t>
      </w:r>
      <w:r w:rsidR="00EB6BA0">
        <w:rPr>
          <w:rFonts w:eastAsiaTheme="minorHAnsi"/>
          <w:lang w:eastAsia="en-US"/>
        </w:rPr>
        <w:t>d</w:t>
      </w:r>
      <w:r w:rsidR="00EB6BA0" w:rsidRPr="009010C5">
        <w:rPr>
          <w:rFonts w:eastAsiaTheme="minorHAnsi"/>
          <w:lang w:eastAsia="en-US"/>
        </w:rPr>
        <w:t xml:space="preserve">e </w:t>
      </w:r>
      <w:r w:rsidR="00EB6BA0">
        <w:rPr>
          <w:rFonts w:eastAsiaTheme="minorHAnsi"/>
          <w:lang w:eastAsia="en-US"/>
        </w:rPr>
        <w:t>l</w:t>
      </w:r>
      <w:r w:rsidR="00EB6BA0" w:rsidRPr="009010C5">
        <w:rPr>
          <w:rFonts w:eastAsiaTheme="minorHAnsi"/>
          <w:lang w:eastAsia="en-US"/>
        </w:rPr>
        <w:t xml:space="preserve">as Autoridades Reguladoras </w:t>
      </w:r>
      <w:r w:rsidR="00EB6BA0">
        <w:rPr>
          <w:rFonts w:eastAsiaTheme="minorHAnsi"/>
          <w:lang w:eastAsia="en-US"/>
        </w:rPr>
        <w:t>d</w:t>
      </w:r>
      <w:r w:rsidR="00EB6BA0" w:rsidRPr="009010C5">
        <w:rPr>
          <w:rFonts w:eastAsiaTheme="minorHAnsi"/>
          <w:lang w:eastAsia="en-US"/>
        </w:rPr>
        <w:t xml:space="preserve">e Referencia </w:t>
      </w:r>
      <w:r w:rsidR="00EB6BA0">
        <w:rPr>
          <w:rFonts w:eastAsiaTheme="minorHAnsi"/>
          <w:lang w:eastAsia="en-US"/>
        </w:rPr>
        <w:t>c</w:t>
      </w:r>
      <w:r w:rsidR="00EB6BA0" w:rsidRPr="009010C5">
        <w:rPr>
          <w:rFonts w:eastAsiaTheme="minorHAnsi"/>
          <w:lang w:eastAsia="en-US"/>
        </w:rPr>
        <w:t>omo </w:t>
      </w:r>
      <w:r w:rsidR="00EB6BA0">
        <w:rPr>
          <w:rFonts w:eastAsiaTheme="minorHAnsi"/>
          <w:lang w:eastAsia="en-US"/>
        </w:rPr>
        <w:t>e</w:t>
      </w:r>
      <w:r w:rsidR="00EB6BA0" w:rsidRPr="009010C5">
        <w:rPr>
          <w:rFonts w:eastAsiaTheme="minorHAnsi"/>
          <w:lang w:eastAsia="en-US"/>
        </w:rPr>
        <w:t xml:space="preserve">videncia </w:t>
      </w:r>
      <w:r w:rsidR="00EB6BA0">
        <w:rPr>
          <w:rFonts w:eastAsiaTheme="minorHAnsi"/>
          <w:lang w:eastAsia="en-US"/>
        </w:rPr>
        <w:t>p</w:t>
      </w:r>
      <w:r w:rsidR="00EB6BA0" w:rsidRPr="009010C5">
        <w:rPr>
          <w:rFonts w:eastAsiaTheme="minorHAnsi"/>
          <w:lang w:eastAsia="en-US"/>
        </w:rPr>
        <w:t xml:space="preserve">ara </w:t>
      </w:r>
      <w:r w:rsidR="00EB6BA0">
        <w:rPr>
          <w:rFonts w:eastAsiaTheme="minorHAnsi"/>
          <w:lang w:eastAsia="en-US"/>
        </w:rPr>
        <w:t>e</w:t>
      </w:r>
      <w:r w:rsidR="00EB6BA0" w:rsidRPr="009010C5">
        <w:rPr>
          <w:rFonts w:eastAsiaTheme="minorHAnsi"/>
          <w:lang w:eastAsia="en-US"/>
        </w:rPr>
        <w:t>l Registro</w:t>
      </w:r>
      <w:r w:rsidR="00EB6BA0">
        <w:rPr>
          <w:rFonts w:eastAsiaTheme="minorHAnsi"/>
          <w:lang w:eastAsia="en-US"/>
        </w:rPr>
        <w:t xml:space="preserve"> </w:t>
      </w:r>
      <w:r w:rsidR="00EB6BA0" w:rsidRPr="009010C5">
        <w:rPr>
          <w:rFonts w:eastAsiaTheme="minorHAnsi"/>
          <w:lang w:eastAsia="en-US"/>
        </w:rPr>
        <w:t xml:space="preserve">Sanitario </w:t>
      </w:r>
      <w:r w:rsidR="00EB6BA0">
        <w:rPr>
          <w:rFonts w:eastAsiaTheme="minorHAnsi"/>
          <w:lang w:eastAsia="en-US"/>
        </w:rPr>
        <w:t>d</w:t>
      </w:r>
      <w:r w:rsidR="00EB6BA0" w:rsidRPr="009010C5">
        <w:rPr>
          <w:rFonts w:eastAsiaTheme="minorHAnsi"/>
          <w:lang w:eastAsia="en-US"/>
        </w:rPr>
        <w:t>e Medicamentos</w:t>
      </w:r>
      <w:r w:rsidR="00EB6BA0">
        <w:rPr>
          <w:rFonts w:eastAsiaTheme="minorHAnsi"/>
          <w:lang w:eastAsia="en-US"/>
        </w:rPr>
        <w:t xml:space="preserve">” emitido el 09 de noviembre de 2015 </w:t>
      </w:r>
      <w:r w:rsidR="001657DB" w:rsidRPr="001657DB">
        <w:rPr>
          <w:rFonts w:eastAsiaTheme="minorHAnsi"/>
          <w:lang w:val="es-ES" w:eastAsia="en-US"/>
        </w:rPr>
        <w:t xml:space="preserve">establece el reconocimiento de la </w:t>
      </w:r>
      <w:r w:rsidR="001657DB" w:rsidRPr="001657DB">
        <w:rPr>
          <w:rFonts w:eastAsiaTheme="minorHAnsi"/>
          <w:lang w:val="es-ES" w:eastAsia="en-US"/>
        </w:rPr>
        <w:lastRenderedPageBreak/>
        <w:t>evaluación y aprobación de informes finales de estudios clínicos y no clínicos por parte de Autoridades Reguladoras de referencia, como mecanismo para fortalecer los procesos de registro sanitario de medicamentos.</w:t>
      </w:r>
    </w:p>
    <w:p w14:paraId="2901EDC0" w14:textId="77777777" w:rsidR="00574682" w:rsidRDefault="00574682" w:rsidP="001657DB">
      <w:pPr>
        <w:spacing w:line="360" w:lineRule="auto"/>
        <w:jc w:val="both"/>
        <w:rPr>
          <w:rFonts w:eastAsiaTheme="minorHAnsi"/>
          <w:lang w:val="es-ES" w:eastAsia="en-US"/>
        </w:rPr>
      </w:pPr>
    </w:p>
    <w:p w14:paraId="461FB6D6" w14:textId="0B7205B8" w:rsidR="001657DB" w:rsidRPr="001657DB" w:rsidRDefault="00FA1249" w:rsidP="001657DB">
      <w:pPr>
        <w:spacing w:line="360" w:lineRule="auto"/>
        <w:jc w:val="both"/>
        <w:rPr>
          <w:rFonts w:eastAsiaTheme="minorHAnsi"/>
          <w:lang w:val="es-ES" w:eastAsia="en-US"/>
        </w:rPr>
      </w:pPr>
      <w:r>
        <w:rPr>
          <w:rFonts w:eastAsiaTheme="minorHAnsi"/>
          <w:lang w:val="es-ES" w:eastAsia="en-US"/>
        </w:rPr>
        <w:t>5.-</w:t>
      </w:r>
      <w:r w:rsidR="000C349B">
        <w:rPr>
          <w:rFonts w:eastAsiaTheme="minorHAnsi"/>
          <w:lang w:val="es-ES" w:eastAsia="en-US"/>
        </w:rPr>
        <w:t xml:space="preserve"> </w:t>
      </w:r>
      <w:r w:rsidR="001657DB" w:rsidRPr="001657DB">
        <w:rPr>
          <w:rFonts w:eastAsiaTheme="minorHAnsi"/>
          <w:lang w:val="es-ES" w:eastAsia="en-US"/>
        </w:rPr>
        <w:t>Que la evolución de los estándares internacionales en materia de regulación farmacéutica ha promovido la adopción de herramientas armonizadas que faciliten la evaluación técnica de medicamentos, entre ellas el Documento Técnico Común (CTD</w:t>
      </w:r>
      <w:r w:rsidR="009008EF">
        <w:rPr>
          <w:rFonts w:eastAsiaTheme="minorHAnsi"/>
          <w:lang w:val="es-ES" w:eastAsia="en-US"/>
        </w:rPr>
        <w:t>, por sus siglas en inglés</w:t>
      </w:r>
      <w:r w:rsidR="001657DB" w:rsidRPr="001657DB">
        <w:rPr>
          <w:rFonts w:eastAsiaTheme="minorHAnsi"/>
          <w:lang w:val="es-ES" w:eastAsia="en-US"/>
        </w:rPr>
        <w:t>) desarrollado por el Consejo Internacional para la Armonización</w:t>
      </w:r>
      <w:r w:rsidR="00CB5CBF">
        <w:rPr>
          <w:rFonts w:eastAsiaTheme="minorHAnsi"/>
          <w:lang w:val="es-ES" w:eastAsia="en-US"/>
        </w:rPr>
        <w:t xml:space="preserve"> </w:t>
      </w:r>
      <w:r w:rsidR="001657DB" w:rsidRPr="001657DB">
        <w:rPr>
          <w:rFonts w:eastAsiaTheme="minorHAnsi"/>
          <w:lang w:val="es-ES" w:eastAsia="en-US"/>
        </w:rPr>
        <w:t>de Requisitos Técnicos para Productos Farmacéuticos de Uso Humano</w:t>
      </w:r>
      <w:r w:rsidR="001765F3">
        <w:rPr>
          <w:rFonts w:eastAsiaTheme="minorHAnsi"/>
          <w:lang w:val="es-ES" w:eastAsia="en-US"/>
        </w:rPr>
        <w:t xml:space="preserve"> </w:t>
      </w:r>
      <w:r w:rsidR="001765F3" w:rsidRPr="001657DB">
        <w:rPr>
          <w:rFonts w:eastAsiaTheme="minorHAnsi"/>
          <w:lang w:val="es-ES" w:eastAsia="en-US"/>
        </w:rPr>
        <w:t>(ICH</w:t>
      </w:r>
      <w:r w:rsidR="001765F3">
        <w:rPr>
          <w:rFonts w:eastAsiaTheme="minorHAnsi"/>
          <w:lang w:val="es-ES" w:eastAsia="en-US"/>
        </w:rPr>
        <w:t>, por sus siglas en inglés</w:t>
      </w:r>
      <w:r w:rsidR="001765F3" w:rsidRPr="001657DB">
        <w:rPr>
          <w:rFonts w:eastAsiaTheme="minorHAnsi"/>
          <w:lang w:val="es-ES" w:eastAsia="en-US"/>
        </w:rPr>
        <w:t>)</w:t>
      </w:r>
      <w:r w:rsidR="001765F3">
        <w:rPr>
          <w:rFonts w:eastAsiaTheme="minorHAnsi"/>
          <w:lang w:val="es-ES" w:eastAsia="en-US"/>
        </w:rPr>
        <w:t>, como formato estandarizado para la preparación y presentación de solicitudes de registro sanitario</w:t>
      </w:r>
      <w:r w:rsidR="001657DB" w:rsidRPr="001657DB">
        <w:rPr>
          <w:rFonts w:eastAsiaTheme="minorHAnsi"/>
          <w:lang w:val="es-ES" w:eastAsia="en-US"/>
        </w:rPr>
        <w:t>.</w:t>
      </w:r>
    </w:p>
    <w:p w14:paraId="6C5AA5E2" w14:textId="77777777" w:rsidR="003E39BA" w:rsidRDefault="003E39BA" w:rsidP="001657DB">
      <w:pPr>
        <w:spacing w:line="360" w:lineRule="auto"/>
        <w:jc w:val="both"/>
        <w:rPr>
          <w:rFonts w:eastAsiaTheme="minorHAnsi"/>
          <w:lang w:val="es-ES" w:eastAsia="en-US"/>
        </w:rPr>
      </w:pPr>
    </w:p>
    <w:p w14:paraId="49B607EF" w14:textId="751B2A2A" w:rsidR="001657DB" w:rsidRPr="001657DB" w:rsidRDefault="00FA1249" w:rsidP="001657DB">
      <w:pPr>
        <w:spacing w:line="360" w:lineRule="auto"/>
        <w:jc w:val="both"/>
        <w:rPr>
          <w:rFonts w:eastAsiaTheme="minorHAnsi"/>
          <w:lang w:val="es-ES" w:eastAsia="en-US"/>
        </w:rPr>
      </w:pPr>
      <w:r>
        <w:rPr>
          <w:rFonts w:eastAsiaTheme="minorHAnsi"/>
          <w:lang w:val="es-ES" w:eastAsia="en-US"/>
        </w:rPr>
        <w:t xml:space="preserve">6.- </w:t>
      </w:r>
      <w:r w:rsidR="001657DB" w:rsidRPr="001657DB">
        <w:rPr>
          <w:rFonts w:eastAsiaTheme="minorHAnsi"/>
          <w:lang w:val="es-ES" w:eastAsia="en-US"/>
        </w:rPr>
        <w:t>Que el CTD constituye un formato</w:t>
      </w:r>
      <w:r w:rsidR="00C60498">
        <w:rPr>
          <w:rFonts w:eastAsiaTheme="minorHAnsi"/>
          <w:lang w:val="es-ES" w:eastAsia="en-US"/>
        </w:rPr>
        <w:t xml:space="preserve"> </w:t>
      </w:r>
      <w:r w:rsidR="00C60498" w:rsidRPr="00C60498">
        <w:rPr>
          <w:rFonts w:eastAsiaTheme="minorHAnsi"/>
          <w:lang w:eastAsia="en-US"/>
        </w:rPr>
        <w:t>utilizado por diversas autoridades reguladoras de referencia para la presentación y evaluación de la información relativa a la calidad, seguridad y eficacia de los medicamentos</w:t>
      </w:r>
      <w:r w:rsidR="001657DB" w:rsidRPr="001657DB">
        <w:rPr>
          <w:rFonts w:eastAsiaTheme="minorHAnsi"/>
          <w:lang w:val="es-ES" w:eastAsia="en-US"/>
        </w:rPr>
        <w:t xml:space="preserve">, </w:t>
      </w:r>
      <w:r w:rsidR="000C349B">
        <w:rPr>
          <w:rFonts w:eastAsiaTheme="minorHAnsi"/>
          <w:lang w:val="es-ES" w:eastAsia="en-US"/>
        </w:rPr>
        <w:t xml:space="preserve">favoreciendo </w:t>
      </w:r>
      <w:r w:rsidR="000C349B" w:rsidRPr="001657DB">
        <w:rPr>
          <w:rFonts w:eastAsiaTheme="minorHAnsi"/>
          <w:lang w:val="es-ES" w:eastAsia="en-US"/>
        </w:rPr>
        <w:t>la</w:t>
      </w:r>
      <w:r w:rsidR="001657DB" w:rsidRPr="001657DB">
        <w:rPr>
          <w:rFonts w:eastAsiaTheme="minorHAnsi"/>
          <w:lang w:val="es-ES" w:eastAsia="en-US"/>
        </w:rPr>
        <w:t xml:space="preserve"> convergencia regulatoria, la eficiencia en los procesos de evaluación y el reconocimiento </w:t>
      </w:r>
      <w:r w:rsidR="00C60498">
        <w:rPr>
          <w:rFonts w:eastAsiaTheme="minorHAnsi"/>
          <w:lang w:val="es-ES" w:eastAsia="en-US"/>
        </w:rPr>
        <w:t xml:space="preserve">de la evidencia </w:t>
      </w:r>
      <w:r w:rsidR="000C349B">
        <w:rPr>
          <w:rFonts w:eastAsiaTheme="minorHAnsi"/>
          <w:lang w:val="es-ES" w:eastAsia="en-US"/>
        </w:rPr>
        <w:t xml:space="preserve">científica </w:t>
      </w:r>
      <w:r w:rsidR="000C349B" w:rsidRPr="001657DB">
        <w:rPr>
          <w:rFonts w:eastAsiaTheme="minorHAnsi"/>
          <w:lang w:val="es-ES" w:eastAsia="en-US"/>
        </w:rPr>
        <w:t>entre</w:t>
      </w:r>
      <w:r w:rsidR="001657DB" w:rsidRPr="001657DB">
        <w:rPr>
          <w:rFonts w:eastAsiaTheme="minorHAnsi"/>
          <w:lang w:val="es-ES" w:eastAsia="en-US"/>
        </w:rPr>
        <w:t xml:space="preserve"> autoridades sanitarias.</w:t>
      </w:r>
    </w:p>
    <w:p w14:paraId="24CF3B8C" w14:textId="77777777" w:rsidR="00574682" w:rsidRDefault="00574682" w:rsidP="001657DB">
      <w:pPr>
        <w:spacing w:line="360" w:lineRule="auto"/>
        <w:jc w:val="both"/>
        <w:rPr>
          <w:rFonts w:eastAsiaTheme="minorHAnsi"/>
          <w:lang w:val="es-ES" w:eastAsia="en-US"/>
        </w:rPr>
      </w:pPr>
    </w:p>
    <w:p w14:paraId="221CFCF8" w14:textId="0103C5CD" w:rsidR="001765F3" w:rsidRPr="001765F3" w:rsidRDefault="001765F3" w:rsidP="001765F3">
      <w:pPr>
        <w:spacing w:line="360" w:lineRule="auto"/>
        <w:jc w:val="both"/>
        <w:rPr>
          <w:rFonts w:eastAsiaTheme="minorHAnsi"/>
          <w:lang w:eastAsia="en-US"/>
        </w:rPr>
      </w:pPr>
      <w:r>
        <w:rPr>
          <w:rFonts w:eastAsiaTheme="minorHAnsi"/>
          <w:lang w:val="es-ES" w:eastAsia="en-US"/>
        </w:rPr>
        <w:t xml:space="preserve">7.- </w:t>
      </w:r>
      <w:r w:rsidRPr="001765F3">
        <w:rPr>
          <w:rFonts w:eastAsiaTheme="minorHAnsi"/>
          <w:lang w:eastAsia="en-US"/>
        </w:rPr>
        <w:t>Que el Decreto Ejecutivo N.º 39433-S</w:t>
      </w:r>
      <w:r>
        <w:rPr>
          <w:rFonts w:eastAsiaTheme="minorHAnsi"/>
          <w:lang w:eastAsia="en-US"/>
        </w:rPr>
        <w:t xml:space="preserve"> </w:t>
      </w:r>
      <w:r>
        <w:rPr>
          <w:rFonts w:eastAsiaTheme="minorHAnsi"/>
          <w:lang w:val="es-ES" w:eastAsia="en-US"/>
        </w:rPr>
        <w:t>“</w:t>
      </w:r>
      <w:r w:rsidRPr="009010C5">
        <w:rPr>
          <w:rFonts w:eastAsiaTheme="minorHAnsi"/>
          <w:lang w:eastAsia="en-US"/>
        </w:rPr>
        <w:t xml:space="preserve">Reconocimiento </w:t>
      </w:r>
      <w:r>
        <w:rPr>
          <w:rFonts w:eastAsiaTheme="minorHAnsi"/>
          <w:lang w:eastAsia="en-US"/>
        </w:rPr>
        <w:t>d</w:t>
      </w:r>
      <w:r w:rsidRPr="009010C5">
        <w:rPr>
          <w:rFonts w:eastAsiaTheme="minorHAnsi"/>
          <w:lang w:eastAsia="en-US"/>
        </w:rPr>
        <w:t xml:space="preserve">e </w:t>
      </w:r>
      <w:r>
        <w:rPr>
          <w:rFonts w:eastAsiaTheme="minorHAnsi"/>
          <w:lang w:eastAsia="en-US"/>
        </w:rPr>
        <w:t>l</w:t>
      </w:r>
      <w:r w:rsidRPr="009010C5">
        <w:rPr>
          <w:rFonts w:eastAsiaTheme="minorHAnsi"/>
          <w:lang w:eastAsia="en-US"/>
        </w:rPr>
        <w:t xml:space="preserve">a </w:t>
      </w:r>
      <w:r>
        <w:rPr>
          <w:rFonts w:eastAsiaTheme="minorHAnsi"/>
          <w:lang w:eastAsia="en-US"/>
        </w:rPr>
        <w:t>e</w:t>
      </w:r>
      <w:r w:rsidRPr="009010C5">
        <w:rPr>
          <w:rFonts w:eastAsiaTheme="minorHAnsi"/>
          <w:lang w:eastAsia="en-US"/>
        </w:rPr>
        <w:t xml:space="preserve">valuación </w:t>
      </w:r>
      <w:r>
        <w:rPr>
          <w:rFonts w:eastAsiaTheme="minorHAnsi"/>
          <w:lang w:eastAsia="en-US"/>
        </w:rPr>
        <w:t>y</w:t>
      </w:r>
      <w:r w:rsidRPr="009010C5">
        <w:rPr>
          <w:rFonts w:eastAsiaTheme="minorHAnsi"/>
          <w:lang w:eastAsia="en-US"/>
        </w:rPr>
        <w:t xml:space="preserve"> </w:t>
      </w:r>
      <w:r>
        <w:rPr>
          <w:rFonts w:eastAsiaTheme="minorHAnsi"/>
          <w:lang w:eastAsia="en-US"/>
        </w:rPr>
        <w:t>a</w:t>
      </w:r>
      <w:r w:rsidRPr="009010C5">
        <w:rPr>
          <w:rFonts w:eastAsiaTheme="minorHAnsi"/>
          <w:lang w:eastAsia="en-US"/>
        </w:rPr>
        <w:t>probación </w:t>
      </w:r>
      <w:r>
        <w:rPr>
          <w:rFonts w:eastAsiaTheme="minorHAnsi"/>
          <w:lang w:eastAsia="en-US"/>
        </w:rPr>
        <w:t>d</w:t>
      </w:r>
      <w:r w:rsidRPr="009010C5">
        <w:rPr>
          <w:rFonts w:eastAsiaTheme="minorHAnsi"/>
          <w:lang w:eastAsia="en-US"/>
        </w:rPr>
        <w:t xml:space="preserve">e Informes Finales </w:t>
      </w:r>
      <w:r>
        <w:rPr>
          <w:rFonts w:eastAsiaTheme="minorHAnsi"/>
          <w:lang w:eastAsia="en-US"/>
        </w:rPr>
        <w:t>d</w:t>
      </w:r>
      <w:r w:rsidRPr="009010C5">
        <w:rPr>
          <w:rFonts w:eastAsiaTheme="minorHAnsi"/>
          <w:lang w:eastAsia="en-US"/>
        </w:rPr>
        <w:t xml:space="preserve">e Estudios Clínicos </w:t>
      </w:r>
      <w:r>
        <w:rPr>
          <w:rFonts w:eastAsiaTheme="minorHAnsi"/>
          <w:lang w:eastAsia="en-US"/>
        </w:rPr>
        <w:t>y</w:t>
      </w:r>
      <w:r w:rsidRPr="009010C5">
        <w:rPr>
          <w:rFonts w:eastAsiaTheme="minorHAnsi"/>
          <w:lang w:eastAsia="en-US"/>
        </w:rPr>
        <w:t xml:space="preserve"> No Clínicos </w:t>
      </w:r>
      <w:r>
        <w:rPr>
          <w:rFonts w:eastAsiaTheme="minorHAnsi"/>
          <w:lang w:eastAsia="en-US"/>
        </w:rPr>
        <w:t>p</w:t>
      </w:r>
      <w:r w:rsidRPr="009010C5">
        <w:rPr>
          <w:rFonts w:eastAsiaTheme="minorHAnsi"/>
          <w:lang w:eastAsia="en-US"/>
        </w:rPr>
        <w:t xml:space="preserve">or </w:t>
      </w:r>
      <w:r>
        <w:rPr>
          <w:rFonts w:eastAsiaTheme="minorHAnsi"/>
          <w:lang w:eastAsia="en-US"/>
        </w:rPr>
        <w:t>p</w:t>
      </w:r>
      <w:r w:rsidRPr="009010C5">
        <w:rPr>
          <w:rFonts w:eastAsiaTheme="minorHAnsi"/>
          <w:lang w:eastAsia="en-US"/>
        </w:rPr>
        <w:t xml:space="preserve">arte </w:t>
      </w:r>
      <w:r>
        <w:rPr>
          <w:rFonts w:eastAsiaTheme="minorHAnsi"/>
          <w:lang w:eastAsia="en-US"/>
        </w:rPr>
        <w:t>d</w:t>
      </w:r>
      <w:r w:rsidRPr="009010C5">
        <w:rPr>
          <w:rFonts w:eastAsiaTheme="minorHAnsi"/>
          <w:lang w:eastAsia="en-US"/>
        </w:rPr>
        <w:t xml:space="preserve">e </w:t>
      </w:r>
      <w:r>
        <w:rPr>
          <w:rFonts w:eastAsiaTheme="minorHAnsi"/>
          <w:lang w:eastAsia="en-US"/>
        </w:rPr>
        <w:t>l</w:t>
      </w:r>
      <w:r w:rsidRPr="009010C5">
        <w:rPr>
          <w:rFonts w:eastAsiaTheme="minorHAnsi"/>
          <w:lang w:eastAsia="en-US"/>
        </w:rPr>
        <w:t xml:space="preserve">as Autoridades Reguladoras </w:t>
      </w:r>
      <w:r>
        <w:rPr>
          <w:rFonts w:eastAsiaTheme="minorHAnsi"/>
          <w:lang w:eastAsia="en-US"/>
        </w:rPr>
        <w:t>d</w:t>
      </w:r>
      <w:r w:rsidRPr="009010C5">
        <w:rPr>
          <w:rFonts w:eastAsiaTheme="minorHAnsi"/>
          <w:lang w:eastAsia="en-US"/>
        </w:rPr>
        <w:t xml:space="preserve">e Referencia </w:t>
      </w:r>
      <w:r>
        <w:rPr>
          <w:rFonts w:eastAsiaTheme="minorHAnsi"/>
          <w:lang w:eastAsia="en-US"/>
        </w:rPr>
        <w:t>c</w:t>
      </w:r>
      <w:r w:rsidRPr="009010C5">
        <w:rPr>
          <w:rFonts w:eastAsiaTheme="minorHAnsi"/>
          <w:lang w:eastAsia="en-US"/>
        </w:rPr>
        <w:t>omo </w:t>
      </w:r>
      <w:r>
        <w:rPr>
          <w:rFonts w:eastAsiaTheme="minorHAnsi"/>
          <w:lang w:eastAsia="en-US"/>
        </w:rPr>
        <w:t>e</w:t>
      </w:r>
      <w:r w:rsidRPr="009010C5">
        <w:rPr>
          <w:rFonts w:eastAsiaTheme="minorHAnsi"/>
          <w:lang w:eastAsia="en-US"/>
        </w:rPr>
        <w:t xml:space="preserve">videncia </w:t>
      </w:r>
      <w:r>
        <w:rPr>
          <w:rFonts w:eastAsiaTheme="minorHAnsi"/>
          <w:lang w:eastAsia="en-US"/>
        </w:rPr>
        <w:t>p</w:t>
      </w:r>
      <w:r w:rsidRPr="009010C5">
        <w:rPr>
          <w:rFonts w:eastAsiaTheme="minorHAnsi"/>
          <w:lang w:eastAsia="en-US"/>
        </w:rPr>
        <w:t xml:space="preserve">ara </w:t>
      </w:r>
      <w:r>
        <w:rPr>
          <w:rFonts w:eastAsiaTheme="minorHAnsi"/>
          <w:lang w:eastAsia="en-US"/>
        </w:rPr>
        <w:t>e</w:t>
      </w:r>
      <w:r w:rsidRPr="009010C5">
        <w:rPr>
          <w:rFonts w:eastAsiaTheme="minorHAnsi"/>
          <w:lang w:eastAsia="en-US"/>
        </w:rPr>
        <w:t>l Registro</w:t>
      </w:r>
      <w:r>
        <w:rPr>
          <w:rFonts w:eastAsiaTheme="minorHAnsi"/>
          <w:lang w:eastAsia="en-US"/>
        </w:rPr>
        <w:t xml:space="preserve"> </w:t>
      </w:r>
      <w:r w:rsidRPr="009010C5">
        <w:rPr>
          <w:rFonts w:eastAsiaTheme="minorHAnsi"/>
          <w:lang w:eastAsia="en-US"/>
        </w:rPr>
        <w:t xml:space="preserve">Sanitario </w:t>
      </w:r>
      <w:r>
        <w:rPr>
          <w:rFonts w:eastAsiaTheme="minorHAnsi"/>
          <w:lang w:eastAsia="en-US"/>
        </w:rPr>
        <w:t>d</w:t>
      </w:r>
      <w:r w:rsidRPr="009010C5">
        <w:rPr>
          <w:rFonts w:eastAsiaTheme="minorHAnsi"/>
          <w:lang w:eastAsia="en-US"/>
        </w:rPr>
        <w:t>e Medicamentos</w:t>
      </w:r>
      <w:r>
        <w:rPr>
          <w:rFonts w:eastAsiaTheme="minorHAnsi"/>
          <w:lang w:eastAsia="en-US"/>
        </w:rPr>
        <w:t xml:space="preserve">” emitido el 09 de noviembre de 2015, </w:t>
      </w:r>
      <w:r w:rsidRPr="001765F3">
        <w:rPr>
          <w:rFonts w:eastAsiaTheme="minorHAnsi"/>
          <w:lang w:eastAsia="en-US"/>
        </w:rPr>
        <w:t xml:space="preserve"> presenta limitaciones en cuanto a la claridad y precisión de las definiciones relativas a los informes concluyentes de estudios clínicos y no clínicos, lo que puede generar interpretaciones subjetivas, inconsistencias en los procesos de evaluación y dificultades para la adecuada comprensión de los requisitos técnicos por parte de los administrados; situación que evidencia la necesidad de su actualización conforme a estándares internacionales armonizados que permitan fortalecer la seguridad jurídica, la transparencia y la eficiencia en el proceso de registro sanitario de medicamentos.</w:t>
      </w:r>
    </w:p>
    <w:p w14:paraId="4FE1E043" w14:textId="77777777" w:rsidR="001765F3" w:rsidRPr="000C349B" w:rsidRDefault="001765F3" w:rsidP="001657DB">
      <w:pPr>
        <w:spacing w:line="360" w:lineRule="auto"/>
        <w:jc w:val="both"/>
        <w:rPr>
          <w:rFonts w:eastAsiaTheme="minorHAnsi"/>
          <w:lang w:eastAsia="en-US"/>
        </w:rPr>
      </w:pPr>
    </w:p>
    <w:p w14:paraId="675B2DA5" w14:textId="171926AD" w:rsidR="001657DB" w:rsidRPr="001657DB" w:rsidRDefault="00934015" w:rsidP="001657DB">
      <w:pPr>
        <w:spacing w:line="360" w:lineRule="auto"/>
        <w:jc w:val="both"/>
        <w:rPr>
          <w:rFonts w:eastAsiaTheme="minorHAnsi"/>
          <w:lang w:val="es-ES" w:eastAsia="en-US"/>
        </w:rPr>
      </w:pPr>
      <w:r>
        <w:rPr>
          <w:rFonts w:eastAsiaTheme="minorHAnsi"/>
          <w:lang w:val="es-ES" w:eastAsia="en-US"/>
        </w:rPr>
        <w:t>8</w:t>
      </w:r>
      <w:r w:rsidR="00FA1249">
        <w:rPr>
          <w:rFonts w:eastAsiaTheme="minorHAnsi"/>
          <w:lang w:val="es-ES" w:eastAsia="en-US"/>
        </w:rPr>
        <w:t xml:space="preserve">.- </w:t>
      </w:r>
      <w:r w:rsidR="001657DB" w:rsidRPr="001657DB">
        <w:rPr>
          <w:rFonts w:eastAsiaTheme="minorHAnsi"/>
          <w:lang w:val="es-ES" w:eastAsia="en-US"/>
        </w:rPr>
        <w:t>Que resulta necesario adecuar las definiciones contenidas en el Decreto</w:t>
      </w:r>
      <w:r w:rsidR="009010C5">
        <w:rPr>
          <w:rFonts w:eastAsiaTheme="minorHAnsi"/>
          <w:lang w:val="es-ES" w:eastAsia="en-US"/>
        </w:rPr>
        <w:t xml:space="preserve"> Ejecutivo </w:t>
      </w:r>
      <w:r w:rsidR="001657DB" w:rsidRPr="001657DB">
        <w:rPr>
          <w:rFonts w:eastAsiaTheme="minorHAnsi"/>
          <w:lang w:val="es-ES" w:eastAsia="en-US"/>
        </w:rPr>
        <w:t xml:space="preserve"> N.º 39433-S </w:t>
      </w:r>
      <w:r w:rsidR="009010C5">
        <w:rPr>
          <w:rFonts w:eastAsiaTheme="minorHAnsi"/>
          <w:lang w:val="es-ES" w:eastAsia="en-US"/>
        </w:rPr>
        <w:t>“</w:t>
      </w:r>
      <w:r w:rsidR="009010C5" w:rsidRPr="009010C5">
        <w:rPr>
          <w:rFonts w:eastAsiaTheme="minorHAnsi"/>
          <w:lang w:eastAsia="en-US"/>
        </w:rPr>
        <w:t xml:space="preserve">Reconocimiento </w:t>
      </w:r>
      <w:r w:rsidR="009010C5">
        <w:rPr>
          <w:rFonts w:eastAsiaTheme="minorHAnsi"/>
          <w:lang w:eastAsia="en-US"/>
        </w:rPr>
        <w:t>d</w:t>
      </w:r>
      <w:r w:rsidR="009010C5" w:rsidRPr="009010C5">
        <w:rPr>
          <w:rFonts w:eastAsiaTheme="minorHAnsi"/>
          <w:lang w:eastAsia="en-US"/>
        </w:rPr>
        <w:t xml:space="preserve">e </w:t>
      </w:r>
      <w:r w:rsidR="009010C5">
        <w:rPr>
          <w:rFonts w:eastAsiaTheme="minorHAnsi"/>
          <w:lang w:eastAsia="en-US"/>
        </w:rPr>
        <w:t>l</w:t>
      </w:r>
      <w:r w:rsidR="009010C5" w:rsidRPr="009010C5">
        <w:rPr>
          <w:rFonts w:eastAsiaTheme="minorHAnsi"/>
          <w:lang w:eastAsia="en-US"/>
        </w:rPr>
        <w:t xml:space="preserve">a </w:t>
      </w:r>
      <w:r w:rsidR="009010C5">
        <w:rPr>
          <w:rFonts w:eastAsiaTheme="minorHAnsi"/>
          <w:lang w:eastAsia="en-US"/>
        </w:rPr>
        <w:t>e</w:t>
      </w:r>
      <w:r w:rsidR="009010C5" w:rsidRPr="009010C5">
        <w:rPr>
          <w:rFonts w:eastAsiaTheme="minorHAnsi"/>
          <w:lang w:eastAsia="en-US"/>
        </w:rPr>
        <w:t xml:space="preserve">valuación </w:t>
      </w:r>
      <w:r w:rsidR="009010C5">
        <w:rPr>
          <w:rFonts w:eastAsiaTheme="minorHAnsi"/>
          <w:lang w:eastAsia="en-US"/>
        </w:rPr>
        <w:t>y</w:t>
      </w:r>
      <w:r w:rsidR="009010C5" w:rsidRPr="009010C5">
        <w:rPr>
          <w:rFonts w:eastAsiaTheme="minorHAnsi"/>
          <w:lang w:eastAsia="en-US"/>
        </w:rPr>
        <w:t xml:space="preserve"> </w:t>
      </w:r>
      <w:r w:rsidR="009010C5">
        <w:rPr>
          <w:rFonts w:eastAsiaTheme="minorHAnsi"/>
          <w:lang w:eastAsia="en-US"/>
        </w:rPr>
        <w:t>a</w:t>
      </w:r>
      <w:r w:rsidR="009010C5" w:rsidRPr="009010C5">
        <w:rPr>
          <w:rFonts w:eastAsiaTheme="minorHAnsi"/>
          <w:lang w:eastAsia="en-US"/>
        </w:rPr>
        <w:t>probación </w:t>
      </w:r>
      <w:r w:rsidR="009010C5">
        <w:rPr>
          <w:rFonts w:eastAsiaTheme="minorHAnsi"/>
          <w:lang w:eastAsia="en-US"/>
        </w:rPr>
        <w:t>d</w:t>
      </w:r>
      <w:r w:rsidR="009010C5" w:rsidRPr="009010C5">
        <w:rPr>
          <w:rFonts w:eastAsiaTheme="minorHAnsi"/>
          <w:lang w:eastAsia="en-US"/>
        </w:rPr>
        <w:t xml:space="preserve">e Informes Finales </w:t>
      </w:r>
      <w:r w:rsidR="009010C5">
        <w:rPr>
          <w:rFonts w:eastAsiaTheme="minorHAnsi"/>
          <w:lang w:eastAsia="en-US"/>
        </w:rPr>
        <w:t>d</w:t>
      </w:r>
      <w:r w:rsidR="009010C5" w:rsidRPr="009010C5">
        <w:rPr>
          <w:rFonts w:eastAsiaTheme="minorHAnsi"/>
          <w:lang w:eastAsia="en-US"/>
        </w:rPr>
        <w:t xml:space="preserve">e Estudios Clínicos </w:t>
      </w:r>
      <w:r w:rsidR="009010C5">
        <w:rPr>
          <w:rFonts w:eastAsiaTheme="minorHAnsi"/>
          <w:lang w:eastAsia="en-US"/>
        </w:rPr>
        <w:t>y</w:t>
      </w:r>
      <w:r w:rsidR="009010C5" w:rsidRPr="009010C5">
        <w:rPr>
          <w:rFonts w:eastAsiaTheme="minorHAnsi"/>
          <w:lang w:eastAsia="en-US"/>
        </w:rPr>
        <w:t xml:space="preserve"> No Clínicos </w:t>
      </w:r>
      <w:r w:rsidR="009010C5">
        <w:rPr>
          <w:rFonts w:eastAsiaTheme="minorHAnsi"/>
          <w:lang w:eastAsia="en-US"/>
        </w:rPr>
        <w:t>p</w:t>
      </w:r>
      <w:r w:rsidR="009010C5" w:rsidRPr="009010C5">
        <w:rPr>
          <w:rFonts w:eastAsiaTheme="minorHAnsi"/>
          <w:lang w:eastAsia="en-US"/>
        </w:rPr>
        <w:t xml:space="preserve">or </w:t>
      </w:r>
      <w:r w:rsidR="009010C5">
        <w:rPr>
          <w:rFonts w:eastAsiaTheme="minorHAnsi"/>
          <w:lang w:eastAsia="en-US"/>
        </w:rPr>
        <w:t>p</w:t>
      </w:r>
      <w:r w:rsidR="009010C5" w:rsidRPr="009010C5">
        <w:rPr>
          <w:rFonts w:eastAsiaTheme="minorHAnsi"/>
          <w:lang w:eastAsia="en-US"/>
        </w:rPr>
        <w:t xml:space="preserve">arte </w:t>
      </w:r>
      <w:r w:rsidR="009010C5">
        <w:rPr>
          <w:rFonts w:eastAsiaTheme="minorHAnsi"/>
          <w:lang w:eastAsia="en-US"/>
        </w:rPr>
        <w:t>d</w:t>
      </w:r>
      <w:r w:rsidR="009010C5" w:rsidRPr="009010C5">
        <w:rPr>
          <w:rFonts w:eastAsiaTheme="minorHAnsi"/>
          <w:lang w:eastAsia="en-US"/>
        </w:rPr>
        <w:t xml:space="preserve">e </w:t>
      </w:r>
      <w:r w:rsidR="009010C5">
        <w:rPr>
          <w:rFonts w:eastAsiaTheme="minorHAnsi"/>
          <w:lang w:eastAsia="en-US"/>
        </w:rPr>
        <w:t>l</w:t>
      </w:r>
      <w:r w:rsidR="009010C5" w:rsidRPr="009010C5">
        <w:rPr>
          <w:rFonts w:eastAsiaTheme="minorHAnsi"/>
          <w:lang w:eastAsia="en-US"/>
        </w:rPr>
        <w:t xml:space="preserve">as Autoridades Reguladoras </w:t>
      </w:r>
      <w:r w:rsidR="009010C5">
        <w:rPr>
          <w:rFonts w:eastAsiaTheme="minorHAnsi"/>
          <w:lang w:eastAsia="en-US"/>
        </w:rPr>
        <w:t>d</w:t>
      </w:r>
      <w:r w:rsidR="009010C5" w:rsidRPr="009010C5">
        <w:rPr>
          <w:rFonts w:eastAsiaTheme="minorHAnsi"/>
          <w:lang w:eastAsia="en-US"/>
        </w:rPr>
        <w:t xml:space="preserve">e Referencia </w:t>
      </w:r>
      <w:r w:rsidR="009010C5">
        <w:rPr>
          <w:rFonts w:eastAsiaTheme="minorHAnsi"/>
          <w:lang w:eastAsia="en-US"/>
        </w:rPr>
        <w:t>c</w:t>
      </w:r>
      <w:r w:rsidR="009010C5" w:rsidRPr="009010C5">
        <w:rPr>
          <w:rFonts w:eastAsiaTheme="minorHAnsi"/>
          <w:lang w:eastAsia="en-US"/>
        </w:rPr>
        <w:t>omo </w:t>
      </w:r>
      <w:r w:rsidR="009010C5">
        <w:rPr>
          <w:rFonts w:eastAsiaTheme="minorHAnsi"/>
          <w:lang w:eastAsia="en-US"/>
        </w:rPr>
        <w:t>e</w:t>
      </w:r>
      <w:r w:rsidR="009010C5" w:rsidRPr="009010C5">
        <w:rPr>
          <w:rFonts w:eastAsiaTheme="minorHAnsi"/>
          <w:lang w:eastAsia="en-US"/>
        </w:rPr>
        <w:t xml:space="preserve">videncia </w:t>
      </w:r>
      <w:r w:rsidR="009010C5">
        <w:rPr>
          <w:rFonts w:eastAsiaTheme="minorHAnsi"/>
          <w:lang w:eastAsia="en-US"/>
        </w:rPr>
        <w:t>p</w:t>
      </w:r>
      <w:r w:rsidR="009010C5" w:rsidRPr="009010C5">
        <w:rPr>
          <w:rFonts w:eastAsiaTheme="minorHAnsi"/>
          <w:lang w:eastAsia="en-US"/>
        </w:rPr>
        <w:t xml:space="preserve">ara </w:t>
      </w:r>
      <w:r w:rsidR="009010C5">
        <w:rPr>
          <w:rFonts w:eastAsiaTheme="minorHAnsi"/>
          <w:lang w:eastAsia="en-US"/>
        </w:rPr>
        <w:t>e</w:t>
      </w:r>
      <w:r w:rsidR="009010C5" w:rsidRPr="009010C5">
        <w:rPr>
          <w:rFonts w:eastAsiaTheme="minorHAnsi"/>
          <w:lang w:eastAsia="en-US"/>
        </w:rPr>
        <w:t>l Registro</w:t>
      </w:r>
      <w:r w:rsidR="009010C5">
        <w:rPr>
          <w:rFonts w:eastAsiaTheme="minorHAnsi"/>
          <w:lang w:eastAsia="en-US"/>
        </w:rPr>
        <w:t xml:space="preserve"> </w:t>
      </w:r>
      <w:r w:rsidR="009010C5" w:rsidRPr="009010C5">
        <w:rPr>
          <w:rFonts w:eastAsiaTheme="minorHAnsi"/>
          <w:lang w:eastAsia="en-US"/>
        </w:rPr>
        <w:t xml:space="preserve">Sanitario </w:t>
      </w:r>
      <w:r w:rsidR="009010C5">
        <w:rPr>
          <w:rFonts w:eastAsiaTheme="minorHAnsi"/>
          <w:lang w:eastAsia="en-US"/>
        </w:rPr>
        <w:t>d</w:t>
      </w:r>
      <w:r w:rsidR="009010C5" w:rsidRPr="009010C5">
        <w:rPr>
          <w:rFonts w:eastAsiaTheme="minorHAnsi"/>
          <w:lang w:eastAsia="en-US"/>
        </w:rPr>
        <w:t>e Medicamentos</w:t>
      </w:r>
      <w:r w:rsidR="009010C5">
        <w:rPr>
          <w:rFonts w:eastAsiaTheme="minorHAnsi"/>
          <w:lang w:eastAsia="en-US"/>
        </w:rPr>
        <w:t xml:space="preserve">” emitido el 09 de noviembre </w:t>
      </w:r>
      <w:r w:rsidR="009010C5">
        <w:rPr>
          <w:rFonts w:eastAsiaTheme="minorHAnsi"/>
          <w:lang w:eastAsia="en-US"/>
        </w:rPr>
        <w:lastRenderedPageBreak/>
        <w:t xml:space="preserve">de 2015, </w:t>
      </w:r>
      <w:r w:rsidR="001657DB" w:rsidRPr="001657DB">
        <w:rPr>
          <w:rFonts w:eastAsiaTheme="minorHAnsi"/>
          <w:lang w:val="es-ES" w:eastAsia="en-US"/>
        </w:rPr>
        <w:t>a los estándares internacionales vigentes, con el fin de esclarecer el alcance y contenido de los informes concluyentes de estudios clínicos y no clínicos, conforme a las secciones pertinentes del CTD</w:t>
      </w:r>
      <w:r w:rsidR="008468DA">
        <w:rPr>
          <w:rFonts w:eastAsiaTheme="minorHAnsi"/>
          <w:lang w:val="es-ES" w:eastAsia="en-US"/>
        </w:rPr>
        <w:t>, para la aplicación del presente reglamento.</w:t>
      </w:r>
    </w:p>
    <w:p w14:paraId="788A9A5D" w14:textId="77777777" w:rsidR="00574682" w:rsidRDefault="00574682" w:rsidP="001657DB">
      <w:pPr>
        <w:spacing w:line="360" w:lineRule="auto"/>
        <w:jc w:val="both"/>
        <w:rPr>
          <w:rFonts w:eastAsiaTheme="minorHAnsi"/>
          <w:lang w:val="es-ES" w:eastAsia="en-US"/>
        </w:rPr>
      </w:pPr>
    </w:p>
    <w:p w14:paraId="2FF2FA45" w14:textId="45FB31CB" w:rsidR="001657DB" w:rsidRPr="001657DB" w:rsidRDefault="00934015" w:rsidP="001657DB">
      <w:pPr>
        <w:spacing w:line="360" w:lineRule="auto"/>
        <w:jc w:val="both"/>
        <w:rPr>
          <w:rFonts w:eastAsiaTheme="minorHAnsi"/>
          <w:lang w:val="es-ES" w:eastAsia="en-US"/>
        </w:rPr>
      </w:pPr>
      <w:r>
        <w:rPr>
          <w:rFonts w:eastAsiaTheme="minorHAnsi"/>
          <w:lang w:val="es-ES" w:eastAsia="en-US"/>
        </w:rPr>
        <w:t>9</w:t>
      </w:r>
      <w:r w:rsidR="00FA1249">
        <w:rPr>
          <w:rFonts w:eastAsiaTheme="minorHAnsi"/>
          <w:lang w:val="es-ES" w:eastAsia="en-US"/>
        </w:rPr>
        <w:t xml:space="preserve">.- </w:t>
      </w:r>
      <w:r w:rsidR="00DD0E73" w:rsidRPr="00DD0E73">
        <w:rPr>
          <w:rFonts w:eastAsiaTheme="minorHAnsi"/>
          <w:lang w:val="es-ES" w:eastAsia="en-US"/>
        </w:rPr>
        <w:t>Que la actualización de las definiciones de informe concluyente del estudio clínico e informe concluyente del estudio no clínico permite una mejor comprensión del alcance y contenido de la evidencia científica que debe presentarse para la conformación completa del expediente de registro sanitario, facilitando la identificación de la información clínica y no clínica requerida y promoviendo una aplicación uniforme de los requisitos establecidos en el presente reglamento.</w:t>
      </w:r>
    </w:p>
    <w:p w14:paraId="417AB755" w14:textId="77777777" w:rsidR="00574682" w:rsidRDefault="00574682" w:rsidP="001657DB">
      <w:pPr>
        <w:spacing w:line="360" w:lineRule="auto"/>
        <w:jc w:val="both"/>
        <w:rPr>
          <w:rFonts w:eastAsiaTheme="minorHAnsi"/>
          <w:lang w:val="es-ES" w:eastAsia="en-US"/>
        </w:rPr>
      </w:pPr>
    </w:p>
    <w:p w14:paraId="6F1A9239" w14:textId="5BD02708" w:rsidR="001657DB" w:rsidRPr="001657DB" w:rsidRDefault="00934015" w:rsidP="001657DB">
      <w:pPr>
        <w:spacing w:line="360" w:lineRule="auto"/>
        <w:jc w:val="both"/>
        <w:rPr>
          <w:rFonts w:eastAsiaTheme="minorHAnsi"/>
          <w:lang w:val="es-ES" w:eastAsia="en-US"/>
        </w:rPr>
      </w:pPr>
      <w:r>
        <w:rPr>
          <w:rFonts w:eastAsiaTheme="minorHAnsi"/>
          <w:lang w:val="es-ES" w:eastAsia="en-US"/>
        </w:rPr>
        <w:t>10</w:t>
      </w:r>
      <w:r w:rsidR="00FA1249">
        <w:rPr>
          <w:rFonts w:eastAsiaTheme="minorHAnsi"/>
          <w:lang w:val="es-ES" w:eastAsia="en-US"/>
        </w:rPr>
        <w:t xml:space="preserve">.- </w:t>
      </w:r>
      <w:r w:rsidR="001657DB" w:rsidRPr="001657DB">
        <w:rPr>
          <w:rFonts w:eastAsiaTheme="minorHAnsi"/>
          <w:lang w:val="es-ES" w:eastAsia="en-US"/>
        </w:rPr>
        <w:t>Que el fortalecimiento del marco regulatorio mediante la armonización con estándares internacionales facilita el acceso oportuno a medicamentos seguros y eficaces, sin menoscabo de los principios de rigor científico y protección de la salud pública.</w:t>
      </w:r>
    </w:p>
    <w:p w14:paraId="150144E2" w14:textId="77777777" w:rsidR="00574682" w:rsidRDefault="00574682" w:rsidP="001657DB">
      <w:pPr>
        <w:spacing w:line="360" w:lineRule="auto"/>
        <w:jc w:val="both"/>
        <w:rPr>
          <w:rFonts w:eastAsiaTheme="minorHAnsi"/>
          <w:lang w:val="es-ES" w:eastAsia="en-US"/>
        </w:rPr>
      </w:pPr>
    </w:p>
    <w:p w14:paraId="6CB1F988" w14:textId="25E34AD1" w:rsidR="00281B9D" w:rsidRDefault="00FA1249" w:rsidP="00281B9D">
      <w:pPr>
        <w:spacing w:line="360" w:lineRule="auto"/>
        <w:jc w:val="both"/>
        <w:rPr>
          <w:rFonts w:eastAsiaTheme="minorHAnsi"/>
          <w:lang w:eastAsia="en-US"/>
        </w:rPr>
      </w:pPr>
      <w:r>
        <w:rPr>
          <w:rFonts w:eastAsiaTheme="minorHAnsi"/>
          <w:lang w:val="es-ES" w:eastAsia="en-US"/>
        </w:rPr>
        <w:t>1</w:t>
      </w:r>
      <w:r w:rsidR="00934015">
        <w:rPr>
          <w:rFonts w:eastAsiaTheme="minorHAnsi"/>
          <w:lang w:val="es-ES" w:eastAsia="en-US"/>
        </w:rPr>
        <w:t>1</w:t>
      </w:r>
      <w:r>
        <w:rPr>
          <w:rFonts w:eastAsiaTheme="minorHAnsi"/>
          <w:lang w:val="es-ES" w:eastAsia="en-US"/>
        </w:rPr>
        <w:t>.-</w:t>
      </w:r>
      <w:r w:rsidR="00281B9D" w:rsidRPr="00281B9D">
        <w:rPr>
          <w:lang w:eastAsia="zh-CN"/>
        </w:rPr>
        <w:t xml:space="preserve"> </w:t>
      </w:r>
      <w:r w:rsidR="00281B9D" w:rsidRPr="00281B9D">
        <w:rPr>
          <w:rFonts w:eastAsiaTheme="minorHAnsi"/>
          <w:lang w:eastAsia="en-US"/>
        </w:rPr>
        <w:t>Que la presente reforma</w:t>
      </w:r>
      <w:r w:rsidR="00281B9D">
        <w:rPr>
          <w:rFonts w:eastAsiaTheme="minorHAnsi"/>
          <w:lang w:eastAsia="en-US"/>
        </w:rPr>
        <w:t xml:space="preserve"> al</w:t>
      </w:r>
      <w:r w:rsidR="00281B9D" w:rsidRPr="00281B9D">
        <w:rPr>
          <w:rFonts w:eastAsiaTheme="minorHAnsi"/>
          <w:lang w:val="es-ES" w:eastAsia="en-US"/>
        </w:rPr>
        <w:t xml:space="preserve"> </w:t>
      </w:r>
      <w:r w:rsidR="00281B9D" w:rsidRPr="001657DB">
        <w:rPr>
          <w:rFonts w:eastAsiaTheme="minorHAnsi"/>
          <w:lang w:val="es-ES" w:eastAsia="en-US"/>
        </w:rPr>
        <w:t>Decreto Ejecutivo N.º 39433-S</w:t>
      </w:r>
      <w:r w:rsidR="001765F3">
        <w:rPr>
          <w:rFonts w:eastAsiaTheme="minorHAnsi"/>
          <w:lang w:val="es-ES" w:eastAsia="en-US"/>
        </w:rPr>
        <w:t xml:space="preserve"> “</w:t>
      </w:r>
      <w:r w:rsidR="001765F3" w:rsidRPr="009010C5">
        <w:rPr>
          <w:rFonts w:eastAsiaTheme="minorHAnsi"/>
          <w:lang w:eastAsia="en-US"/>
        </w:rPr>
        <w:t xml:space="preserve">Reconocimiento </w:t>
      </w:r>
      <w:r w:rsidR="001765F3">
        <w:rPr>
          <w:rFonts w:eastAsiaTheme="minorHAnsi"/>
          <w:lang w:eastAsia="en-US"/>
        </w:rPr>
        <w:t>d</w:t>
      </w:r>
      <w:r w:rsidR="001765F3" w:rsidRPr="009010C5">
        <w:rPr>
          <w:rFonts w:eastAsiaTheme="minorHAnsi"/>
          <w:lang w:eastAsia="en-US"/>
        </w:rPr>
        <w:t xml:space="preserve">e </w:t>
      </w:r>
      <w:r w:rsidR="001765F3">
        <w:rPr>
          <w:rFonts w:eastAsiaTheme="minorHAnsi"/>
          <w:lang w:eastAsia="en-US"/>
        </w:rPr>
        <w:t>l</w:t>
      </w:r>
      <w:r w:rsidR="001765F3" w:rsidRPr="009010C5">
        <w:rPr>
          <w:rFonts w:eastAsiaTheme="minorHAnsi"/>
          <w:lang w:eastAsia="en-US"/>
        </w:rPr>
        <w:t xml:space="preserve">a </w:t>
      </w:r>
      <w:r w:rsidR="001765F3">
        <w:rPr>
          <w:rFonts w:eastAsiaTheme="minorHAnsi"/>
          <w:lang w:eastAsia="en-US"/>
        </w:rPr>
        <w:t>e</w:t>
      </w:r>
      <w:r w:rsidR="001765F3" w:rsidRPr="009010C5">
        <w:rPr>
          <w:rFonts w:eastAsiaTheme="minorHAnsi"/>
          <w:lang w:eastAsia="en-US"/>
        </w:rPr>
        <w:t xml:space="preserve">valuación </w:t>
      </w:r>
      <w:r w:rsidR="001765F3">
        <w:rPr>
          <w:rFonts w:eastAsiaTheme="minorHAnsi"/>
          <w:lang w:eastAsia="en-US"/>
        </w:rPr>
        <w:t>y</w:t>
      </w:r>
      <w:r w:rsidR="001765F3" w:rsidRPr="009010C5">
        <w:rPr>
          <w:rFonts w:eastAsiaTheme="minorHAnsi"/>
          <w:lang w:eastAsia="en-US"/>
        </w:rPr>
        <w:t xml:space="preserve"> </w:t>
      </w:r>
      <w:r w:rsidR="001765F3">
        <w:rPr>
          <w:rFonts w:eastAsiaTheme="minorHAnsi"/>
          <w:lang w:eastAsia="en-US"/>
        </w:rPr>
        <w:t>a</w:t>
      </w:r>
      <w:r w:rsidR="001765F3" w:rsidRPr="009010C5">
        <w:rPr>
          <w:rFonts w:eastAsiaTheme="minorHAnsi"/>
          <w:lang w:eastAsia="en-US"/>
        </w:rPr>
        <w:t>probación </w:t>
      </w:r>
      <w:r w:rsidR="001765F3">
        <w:rPr>
          <w:rFonts w:eastAsiaTheme="minorHAnsi"/>
          <w:lang w:eastAsia="en-US"/>
        </w:rPr>
        <w:t>d</w:t>
      </w:r>
      <w:r w:rsidR="001765F3" w:rsidRPr="009010C5">
        <w:rPr>
          <w:rFonts w:eastAsiaTheme="minorHAnsi"/>
          <w:lang w:eastAsia="en-US"/>
        </w:rPr>
        <w:t xml:space="preserve">e Informes Finales </w:t>
      </w:r>
      <w:r w:rsidR="001765F3">
        <w:rPr>
          <w:rFonts w:eastAsiaTheme="minorHAnsi"/>
          <w:lang w:eastAsia="en-US"/>
        </w:rPr>
        <w:t>d</w:t>
      </w:r>
      <w:r w:rsidR="001765F3" w:rsidRPr="009010C5">
        <w:rPr>
          <w:rFonts w:eastAsiaTheme="minorHAnsi"/>
          <w:lang w:eastAsia="en-US"/>
        </w:rPr>
        <w:t xml:space="preserve">e Estudios Clínicos </w:t>
      </w:r>
      <w:r w:rsidR="001765F3">
        <w:rPr>
          <w:rFonts w:eastAsiaTheme="minorHAnsi"/>
          <w:lang w:eastAsia="en-US"/>
        </w:rPr>
        <w:t>y</w:t>
      </w:r>
      <w:r w:rsidR="001765F3" w:rsidRPr="009010C5">
        <w:rPr>
          <w:rFonts w:eastAsiaTheme="minorHAnsi"/>
          <w:lang w:eastAsia="en-US"/>
        </w:rPr>
        <w:t xml:space="preserve"> No Clínicos </w:t>
      </w:r>
      <w:r w:rsidR="001765F3">
        <w:rPr>
          <w:rFonts w:eastAsiaTheme="minorHAnsi"/>
          <w:lang w:eastAsia="en-US"/>
        </w:rPr>
        <w:t>p</w:t>
      </w:r>
      <w:r w:rsidR="001765F3" w:rsidRPr="009010C5">
        <w:rPr>
          <w:rFonts w:eastAsiaTheme="minorHAnsi"/>
          <w:lang w:eastAsia="en-US"/>
        </w:rPr>
        <w:t xml:space="preserve">or </w:t>
      </w:r>
      <w:r w:rsidR="001765F3">
        <w:rPr>
          <w:rFonts w:eastAsiaTheme="minorHAnsi"/>
          <w:lang w:eastAsia="en-US"/>
        </w:rPr>
        <w:t>p</w:t>
      </w:r>
      <w:r w:rsidR="001765F3" w:rsidRPr="009010C5">
        <w:rPr>
          <w:rFonts w:eastAsiaTheme="minorHAnsi"/>
          <w:lang w:eastAsia="en-US"/>
        </w:rPr>
        <w:t xml:space="preserve">arte </w:t>
      </w:r>
      <w:r w:rsidR="001765F3">
        <w:rPr>
          <w:rFonts w:eastAsiaTheme="minorHAnsi"/>
          <w:lang w:eastAsia="en-US"/>
        </w:rPr>
        <w:t>d</w:t>
      </w:r>
      <w:r w:rsidR="001765F3" w:rsidRPr="009010C5">
        <w:rPr>
          <w:rFonts w:eastAsiaTheme="minorHAnsi"/>
          <w:lang w:eastAsia="en-US"/>
        </w:rPr>
        <w:t xml:space="preserve">e </w:t>
      </w:r>
      <w:r w:rsidR="001765F3">
        <w:rPr>
          <w:rFonts w:eastAsiaTheme="minorHAnsi"/>
          <w:lang w:eastAsia="en-US"/>
        </w:rPr>
        <w:t>l</w:t>
      </w:r>
      <w:r w:rsidR="001765F3" w:rsidRPr="009010C5">
        <w:rPr>
          <w:rFonts w:eastAsiaTheme="minorHAnsi"/>
          <w:lang w:eastAsia="en-US"/>
        </w:rPr>
        <w:t xml:space="preserve">as Autoridades Reguladoras </w:t>
      </w:r>
      <w:r w:rsidR="001765F3">
        <w:rPr>
          <w:rFonts w:eastAsiaTheme="minorHAnsi"/>
          <w:lang w:eastAsia="en-US"/>
        </w:rPr>
        <w:t>d</w:t>
      </w:r>
      <w:r w:rsidR="001765F3" w:rsidRPr="009010C5">
        <w:rPr>
          <w:rFonts w:eastAsiaTheme="minorHAnsi"/>
          <w:lang w:eastAsia="en-US"/>
        </w:rPr>
        <w:t xml:space="preserve">e Referencia </w:t>
      </w:r>
      <w:r w:rsidR="001765F3">
        <w:rPr>
          <w:rFonts w:eastAsiaTheme="minorHAnsi"/>
          <w:lang w:eastAsia="en-US"/>
        </w:rPr>
        <w:t>c</w:t>
      </w:r>
      <w:r w:rsidR="001765F3" w:rsidRPr="009010C5">
        <w:rPr>
          <w:rFonts w:eastAsiaTheme="minorHAnsi"/>
          <w:lang w:eastAsia="en-US"/>
        </w:rPr>
        <w:t>omo </w:t>
      </w:r>
      <w:r w:rsidR="001765F3">
        <w:rPr>
          <w:rFonts w:eastAsiaTheme="minorHAnsi"/>
          <w:lang w:eastAsia="en-US"/>
        </w:rPr>
        <w:t>e</w:t>
      </w:r>
      <w:r w:rsidR="001765F3" w:rsidRPr="009010C5">
        <w:rPr>
          <w:rFonts w:eastAsiaTheme="minorHAnsi"/>
          <w:lang w:eastAsia="en-US"/>
        </w:rPr>
        <w:t xml:space="preserve">videncia </w:t>
      </w:r>
      <w:r w:rsidR="001765F3">
        <w:rPr>
          <w:rFonts w:eastAsiaTheme="minorHAnsi"/>
          <w:lang w:eastAsia="en-US"/>
        </w:rPr>
        <w:t>p</w:t>
      </w:r>
      <w:r w:rsidR="001765F3" w:rsidRPr="009010C5">
        <w:rPr>
          <w:rFonts w:eastAsiaTheme="minorHAnsi"/>
          <w:lang w:eastAsia="en-US"/>
        </w:rPr>
        <w:t xml:space="preserve">ara </w:t>
      </w:r>
      <w:r w:rsidR="001765F3">
        <w:rPr>
          <w:rFonts w:eastAsiaTheme="minorHAnsi"/>
          <w:lang w:eastAsia="en-US"/>
        </w:rPr>
        <w:t>e</w:t>
      </w:r>
      <w:r w:rsidR="001765F3" w:rsidRPr="009010C5">
        <w:rPr>
          <w:rFonts w:eastAsiaTheme="minorHAnsi"/>
          <w:lang w:eastAsia="en-US"/>
        </w:rPr>
        <w:t>l Registro</w:t>
      </w:r>
      <w:r w:rsidR="001765F3">
        <w:rPr>
          <w:rFonts w:eastAsiaTheme="minorHAnsi"/>
          <w:lang w:eastAsia="en-US"/>
        </w:rPr>
        <w:t xml:space="preserve"> </w:t>
      </w:r>
      <w:r w:rsidR="001765F3" w:rsidRPr="009010C5">
        <w:rPr>
          <w:rFonts w:eastAsiaTheme="minorHAnsi"/>
          <w:lang w:eastAsia="en-US"/>
        </w:rPr>
        <w:t xml:space="preserve">Sanitario </w:t>
      </w:r>
      <w:r w:rsidR="001765F3">
        <w:rPr>
          <w:rFonts w:eastAsiaTheme="minorHAnsi"/>
          <w:lang w:eastAsia="en-US"/>
        </w:rPr>
        <w:t>d</w:t>
      </w:r>
      <w:r w:rsidR="001765F3" w:rsidRPr="009010C5">
        <w:rPr>
          <w:rFonts w:eastAsiaTheme="minorHAnsi"/>
          <w:lang w:eastAsia="en-US"/>
        </w:rPr>
        <w:t>e Medicamentos</w:t>
      </w:r>
      <w:r w:rsidR="001765F3">
        <w:rPr>
          <w:rFonts w:eastAsiaTheme="minorHAnsi"/>
          <w:lang w:eastAsia="en-US"/>
        </w:rPr>
        <w:t>” emitido el 09 de noviembre de 2015</w:t>
      </w:r>
      <w:r w:rsidR="00281B9D">
        <w:rPr>
          <w:rFonts w:eastAsiaTheme="minorHAnsi"/>
          <w:lang w:val="es-ES" w:eastAsia="en-US"/>
        </w:rPr>
        <w:t>,</w:t>
      </w:r>
      <w:r w:rsidR="00281B9D" w:rsidRPr="00281B9D">
        <w:rPr>
          <w:rFonts w:eastAsiaTheme="minorHAnsi"/>
          <w:lang w:eastAsia="en-US"/>
        </w:rPr>
        <w:t xml:space="preserve"> resulta oportuna y conveniente, en virtud de la necesidad de actualizar y fortalecer el marco regulatorio nacional en materia de registro sanitario de medicamentos, a fin de incorporar estándares técnicos internacionales armonizados que permitan mejorar la claridad normativa, optimizar los procesos de evaluación por parte de la autoridad sanitaria y asegurar una aplicación uniforme de los requisitos regulatorios; contribuyendo de esta manera a una gestión más eficiente, a la seguridad jurídica de los administrados y al acceso oportuno de la población a medicamentos seguros, eficaces y de calidad.</w:t>
      </w:r>
    </w:p>
    <w:p w14:paraId="15A2FD91" w14:textId="77777777" w:rsidR="005F4DBE" w:rsidRDefault="005F4DBE" w:rsidP="00281B9D">
      <w:pPr>
        <w:spacing w:line="360" w:lineRule="auto"/>
        <w:jc w:val="both"/>
        <w:rPr>
          <w:rFonts w:eastAsiaTheme="minorHAnsi"/>
          <w:lang w:eastAsia="en-US"/>
        </w:rPr>
      </w:pPr>
    </w:p>
    <w:p w14:paraId="49921695" w14:textId="3F83DBBB" w:rsidR="005F4DBE" w:rsidRPr="005F4DBE" w:rsidRDefault="005F4DBE" w:rsidP="00281B9D">
      <w:pPr>
        <w:spacing w:line="360" w:lineRule="auto"/>
        <w:jc w:val="both"/>
        <w:rPr>
          <w:rFonts w:eastAsiaTheme="minorHAnsi"/>
          <w:lang w:eastAsia="en-US"/>
        </w:rPr>
      </w:pPr>
      <w:r w:rsidRPr="005F4DBE">
        <w:rPr>
          <w:rFonts w:eastAsiaTheme="minorHAnsi"/>
          <w:lang w:eastAsia="en-US"/>
        </w:rPr>
        <w:t>1</w:t>
      </w:r>
      <w:r w:rsidR="00934015">
        <w:rPr>
          <w:rFonts w:eastAsiaTheme="minorHAnsi"/>
          <w:lang w:eastAsia="en-US"/>
        </w:rPr>
        <w:t>2</w:t>
      </w:r>
      <w:r w:rsidRPr="005F4DBE">
        <w:rPr>
          <w:rFonts w:eastAsiaTheme="minorHAnsi"/>
          <w:lang w:eastAsia="en-US"/>
        </w:rPr>
        <w:t>.-</w:t>
      </w:r>
      <w:r w:rsidRPr="005F4DBE">
        <w:rPr>
          <w:color w:val="000000"/>
          <w:shd w:val="clear" w:color="auto" w:fill="FFFFFF"/>
        </w:rPr>
        <w:t xml:space="preserve"> </w:t>
      </w:r>
      <w:r w:rsidRPr="005F4DBE">
        <w:rPr>
          <w:rFonts w:eastAsiaTheme="minorHAnsi"/>
          <w:lang w:eastAsia="en-US"/>
        </w:rPr>
        <w:t>Que en concordancia con lo establecido el artículo 361 de la Ley Nº 6227 del 2 de mayo de 1978 “Ley General de la Administración Pública” el presente Decreto Ejecutivo cumplió con el trámite de consulta pública, la misma se realizó en la página web del Ministerio de Salud, en fecha </w:t>
      </w:r>
      <w:proofErr w:type="spellStart"/>
      <w:r w:rsidRPr="005F4DBE">
        <w:rPr>
          <w:rFonts w:eastAsiaTheme="minorHAnsi"/>
          <w:lang w:eastAsia="en-US"/>
        </w:rPr>
        <w:t>xxxxxx</w:t>
      </w:r>
      <w:proofErr w:type="spellEnd"/>
      <w:r w:rsidRPr="005F4DBE">
        <w:rPr>
          <w:rFonts w:eastAsiaTheme="minorHAnsi"/>
          <w:lang w:eastAsia="en-US"/>
        </w:rPr>
        <w:t>, siendo que fueron atendidas todas las observaciones emitidas por los administrados.      </w:t>
      </w:r>
    </w:p>
    <w:p w14:paraId="12EB847F" w14:textId="02BEB98A" w:rsidR="005D045D" w:rsidRPr="001657DB" w:rsidRDefault="005D045D" w:rsidP="001657DB">
      <w:pPr>
        <w:spacing w:line="360" w:lineRule="auto"/>
        <w:jc w:val="both"/>
        <w:rPr>
          <w:rFonts w:eastAsiaTheme="minorHAnsi"/>
          <w:lang w:eastAsia="en-US"/>
        </w:rPr>
      </w:pPr>
    </w:p>
    <w:p w14:paraId="46FB1552" w14:textId="77777777" w:rsidR="001657DB" w:rsidRDefault="001657DB" w:rsidP="00A744C1">
      <w:pPr>
        <w:spacing w:line="360" w:lineRule="auto"/>
        <w:jc w:val="both"/>
        <w:rPr>
          <w:rFonts w:eastAsiaTheme="minorHAnsi"/>
          <w:lang w:val="es-ES" w:eastAsia="en-US"/>
        </w:rPr>
      </w:pPr>
    </w:p>
    <w:p w14:paraId="08840112" w14:textId="7CCE2007" w:rsidR="00467A7E" w:rsidRDefault="00FA1249" w:rsidP="00A744C1">
      <w:pPr>
        <w:spacing w:line="360" w:lineRule="auto"/>
        <w:jc w:val="both"/>
        <w:rPr>
          <w:lang w:val="es-ES"/>
        </w:rPr>
      </w:pPr>
      <w:r>
        <w:rPr>
          <w:rFonts w:eastAsiaTheme="minorHAnsi"/>
          <w:lang w:val="es-ES" w:eastAsia="en-US"/>
        </w:rPr>
        <w:lastRenderedPageBreak/>
        <w:t>1</w:t>
      </w:r>
      <w:r w:rsidR="00934015">
        <w:rPr>
          <w:rFonts w:eastAsiaTheme="minorHAnsi"/>
          <w:lang w:val="es-ES" w:eastAsia="en-US"/>
        </w:rPr>
        <w:t>3</w:t>
      </w:r>
      <w:r>
        <w:rPr>
          <w:rFonts w:eastAsiaTheme="minorHAnsi"/>
          <w:lang w:val="es-ES" w:eastAsia="en-US"/>
        </w:rPr>
        <w:t>.-</w:t>
      </w:r>
      <w:r w:rsidR="0048636A" w:rsidRPr="0048636A">
        <w:rPr>
          <w:rFonts w:eastAsiaTheme="minorHAnsi"/>
          <w:lang w:val="es-ES" w:eastAsia="en-US"/>
        </w:rPr>
        <w:t xml:space="preserve">Que de conformidad con el artículo 12 bis del Decreto Ejecutivo N°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 </w:t>
      </w:r>
    </w:p>
    <w:p w14:paraId="2C0A2FB1" w14:textId="77777777" w:rsidR="001657DB" w:rsidRPr="001657DB" w:rsidRDefault="001657DB" w:rsidP="00A744C1">
      <w:pPr>
        <w:spacing w:line="360" w:lineRule="auto"/>
        <w:jc w:val="both"/>
      </w:pPr>
    </w:p>
    <w:p w14:paraId="0CE881CE" w14:textId="26B20AFB" w:rsidR="00467A7E" w:rsidRPr="006D6283" w:rsidRDefault="00224B2E" w:rsidP="00A744C1">
      <w:pPr>
        <w:spacing w:line="360" w:lineRule="auto"/>
        <w:jc w:val="both"/>
        <w:rPr>
          <w:b/>
          <w:bCs/>
          <w:lang w:val="es-ES"/>
        </w:rPr>
      </w:pPr>
      <w:r w:rsidRPr="006D6283">
        <w:rPr>
          <w:b/>
          <w:bCs/>
          <w:lang w:val="es-ES"/>
        </w:rPr>
        <w:t>POR TANTO,</w:t>
      </w:r>
    </w:p>
    <w:p w14:paraId="126FBDB2" w14:textId="77777777" w:rsidR="00AA2E36" w:rsidRPr="006D6283" w:rsidRDefault="00AA2E36" w:rsidP="00A744C1">
      <w:pPr>
        <w:spacing w:line="360" w:lineRule="auto"/>
        <w:rPr>
          <w:b/>
          <w:bCs/>
          <w:lang w:val="es-ES"/>
        </w:rPr>
      </w:pPr>
    </w:p>
    <w:p w14:paraId="27ECCF28" w14:textId="3E5F04B9" w:rsidR="008D4516" w:rsidRPr="006D6283" w:rsidRDefault="00224B2E" w:rsidP="00A744C1">
      <w:pPr>
        <w:spacing w:line="360" w:lineRule="auto"/>
        <w:jc w:val="center"/>
        <w:rPr>
          <w:b/>
          <w:bCs/>
          <w:lang w:val="es-ES"/>
        </w:rPr>
      </w:pPr>
      <w:r w:rsidRPr="006D6283">
        <w:rPr>
          <w:b/>
          <w:bCs/>
          <w:lang w:val="es-ES"/>
        </w:rPr>
        <w:t>DECRETAN:</w:t>
      </w:r>
    </w:p>
    <w:p w14:paraId="3806CD8F" w14:textId="77777777" w:rsidR="001657DB" w:rsidRDefault="001657DB" w:rsidP="00A744C1">
      <w:pPr>
        <w:spacing w:line="360" w:lineRule="auto"/>
        <w:jc w:val="center"/>
        <w:rPr>
          <w:lang w:val="es-ES"/>
        </w:rPr>
      </w:pPr>
    </w:p>
    <w:p w14:paraId="778C70E3" w14:textId="0E412735" w:rsidR="001657DB" w:rsidRPr="001657DB" w:rsidRDefault="00224B2E" w:rsidP="001657DB">
      <w:pPr>
        <w:spacing w:line="360" w:lineRule="auto"/>
        <w:jc w:val="center"/>
        <w:rPr>
          <w:b/>
          <w:bCs/>
          <w:lang w:val="es-ES"/>
        </w:rPr>
      </w:pPr>
      <w:r w:rsidRPr="001657DB">
        <w:rPr>
          <w:b/>
          <w:bCs/>
          <w:lang w:val="es-ES"/>
        </w:rPr>
        <w:t xml:space="preserve">REFORMA DEL DECRETO EJECUTIVO Nº 39433-S DEL 09 DE NOVIEMBRE DEL 2015 </w:t>
      </w:r>
      <w:r>
        <w:rPr>
          <w:b/>
          <w:bCs/>
          <w:lang w:val="es-ES"/>
        </w:rPr>
        <w:t>“</w:t>
      </w:r>
      <w:r w:rsidRPr="001657DB">
        <w:rPr>
          <w:b/>
          <w:bCs/>
          <w:lang w:val="es-ES"/>
        </w:rPr>
        <w:t>RECONOCIMIENTO DE LA EVALUACIÓN Y APROBACIÓN DE INFORMES FINALES DE ESTUDIOS CLÍNICOS Y NO CLÍNICOS POR PARTE DE LAS AUTORIDADES REGULADORAS DE REFERENCIA COMO EVIDENCIA PARA EL REGISTRO SANITARIO DE MEDICAMENTOS</w:t>
      </w:r>
      <w:r>
        <w:rPr>
          <w:b/>
          <w:bCs/>
          <w:lang w:val="es-ES"/>
        </w:rPr>
        <w:t>”</w:t>
      </w:r>
      <w:r w:rsidR="001657DB" w:rsidRPr="001657DB">
        <w:rPr>
          <w:b/>
          <w:bCs/>
          <w:lang w:val="es-ES"/>
        </w:rPr>
        <w:t>.</w:t>
      </w:r>
    </w:p>
    <w:p w14:paraId="6AD65970" w14:textId="77777777" w:rsidR="001657DB" w:rsidRPr="001657DB" w:rsidRDefault="001657DB" w:rsidP="001657DB">
      <w:pPr>
        <w:spacing w:line="360" w:lineRule="auto"/>
        <w:jc w:val="both"/>
        <w:rPr>
          <w:lang w:val="es-ES"/>
        </w:rPr>
      </w:pPr>
    </w:p>
    <w:p w14:paraId="324D2D29" w14:textId="4BAC0A01" w:rsidR="007F478F" w:rsidRDefault="3276277C" w:rsidP="39A9F41B">
      <w:pPr>
        <w:spacing w:line="360" w:lineRule="auto"/>
        <w:jc w:val="both"/>
        <w:rPr>
          <w:rFonts w:eastAsiaTheme="minorEastAsia"/>
          <w:lang w:val="es-ES" w:eastAsia="en-US"/>
        </w:rPr>
      </w:pPr>
      <w:r w:rsidRPr="39A9F41B">
        <w:rPr>
          <w:b/>
          <w:bCs/>
          <w:color w:val="000000" w:themeColor="text1"/>
        </w:rPr>
        <w:t xml:space="preserve">Artículo </w:t>
      </w:r>
      <w:r w:rsidR="0771D330" w:rsidRPr="39A9F41B">
        <w:rPr>
          <w:b/>
          <w:bCs/>
          <w:color w:val="000000" w:themeColor="text1"/>
        </w:rPr>
        <w:t>1</w:t>
      </w:r>
      <w:r w:rsidR="00224B2E">
        <w:rPr>
          <w:b/>
          <w:bCs/>
          <w:color w:val="000000" w:themeColor="text1"/>
        </w:rPr>
        <w:t>.</w:t>
      </w:r>
      <w:r w:rsidR="0771D330" w:rsidRPr="39A9F41B">
        <w:rPr>
          <w:b/>
          <w:bCs/>
          <w:color w:val="000000" w:themeColor="text1"/>
        </w:rPr>
        <w:t>-</w:t>
      </w:r>
      <w:r w:rsidR="13FA86C8">
        <w:t xml:space="preserve"> </w:t>
      </w:r>
      <w:r w:rsidR="13FA86C8" w:rsidRPr="39A9F41B">
        <w:rPr>
          <w:rFonts w:eastAsiaTheme="minorEastAsia"/>
          <w:lang w:eastAsia="en-US"/>
        </w:rPr>
        <w:t>Refórme</w:t>
      </w:r>
      <w:r w:rsidR="00985CEA">
        <w:rPr>
          <w:rFonts w:eastAsiaTheme="minorEastAsia"/>
          <w:lang w:eastAsia="en-US"/>
        </w:rPr>
        <w:t xml:space="preserve">se </w:t>
      </w:r>
      <w:r w:rsidR="13FA86C8" w:rsidRPr="39A9F41B">
        <w:rPr>
          <w:rFonts w:eastAsiaTheme="minorEastAsia"/>
          <w:lang w:eastAsia="en-US"/>
        </w:rPr>
        <w:t xml:space="preserve">el </w:t>
      </w:r>
      <w:r w:rsidR="2B1C8650" w:rsidRPr="39A9F41B">
        <w:rPr>
          <w:rFonts w:eastAsiaTheme="minorEastAsia"/>
          <w:lang w:eastAsia="en-US"/>
        </w:rPr>
        <w:t xml:space="preserve">numeral 3 del </w:t>
      </w:r>
      <w:r w:rsidR="13FA86C8" w:rsidRPr="39A9F41B">
        <w:rPr>
          <w:rFonts w:eastAsiaTheme="minorEastAsia"/>
          <w:lang w:eastAsia="en-US"/>
        </w:rPr>
        <w:t>artículo 2, y adiciónese un inciso d) al artículo 3</w:t>
      </w:r>
      <w:r w:rsidR="00985CEA">
        <w:rPr>
          <w:rFonts w:eastAsiaTheme="minorEastAsia"/>
          <w:lang w:eastAsia="en-US"/>
        </w:rPr>
        <w:t xml:space="preserve"> </w:t>
      </w:r>
      <w:r w:rsidR="13FA86C8" w:rsidRPr="39A9F41B">
        <w:rPr>
          <w:rFonts w:eastAsiaTheme="minorEastAsia"/>
          <w:lang w:eastAsia="en-US"/>
        </w:rPr>
        <w:t>del Decreto Ejecutivo N° 39433-S del 09 de noviembre de 2015, "Reconocimiento de la Evaluación y Aprobación de Informes Finales de Estudios Clínicos y No Clínicos por parte de las Autoridades Reguladoras de Referencia como Evidencia para el Registro Sanitario de Medicamentos", publicado en La Gaceta N° 19 del 28 de enero de 2016, para que en lo sucesivo se lean de la siguiente manera:</w:t>
      </w:r>
    </w:p>
    <w:p w14:paraId="6F2A1192" w14:textId="77777777" w:rsidR="009D2ED0" w:rsidRDefault="009D2ED0" w:rsidP="00A744C1">
      <w:pPr>
        <w:spacing w:line="360" w:lineRule="auto"/>
        <w:jc w:val="both"/>
        <w:rPr>
          <w:rFonts w:eastAsiaTheme="minorHAnsi"/>
          <w:lang w:val="es-ES" w:eastAsia="en-US"/>
        </w:rPr>
      </w:pPr>
    </w:p>
    <w:p w14:paraId="207C22C9" w14:textId="77777777" w:rsidR="00D147AD" w:rsidRDefault="007F6AC5" w:rsidP="001657DB">
      <w:pPr>
        <w:spacing w:line="360" w:lineRule="auto"/>
        <w:jc w:val="both"/>
        <w:rPr>
          <w:rFonts w:eastAsiaTheme="minorHAnsi"/>
          <w:lang w:eastAsia="en-US"/>
        </w:rPr>
      </w:pPr>
      <w:r w:rsidRPr="007F6AC5">
        <w:rPr>
          <w:rFonts w:eastAsiaTheme="minorHAnsi"/>
          <w:lang w:val="es-ES" w:eastAsia="en-US"/>
        </w:rPr>
        <w:t>"</w:t>
      </w:r>
      <w:r w:rsidR="00D147AD" w:rsidRPr="00D147AD">
        <w:rPr>
          <w:rFonts w:ascii="Verdana" w:hAnsi="Verdana"/>
          <w:color w:val="000000"/>
          <w:sz w:val="20"/>
          <w:szCs w:val="20"/>
        </w:rPr>
        <w:t xml:space="preserve"> </w:t>
      </w:r>
      <w:r w:rsidR="00D147AD" w:rsidRPr="00D147AD">
        <w:rPr>
          <w:rFonts w:eastAsiaTheme="minorHAnsi"/>
          <w:lang w:eastAsia="en-US"/>
        </w:rPr>
        <w:t xml:space="preserve">Artículo 2º- Se considerarán como Autoridades Reguladoras de Referencia las que cumplan con los siguientes criterios de calificación: </w:t>
      </w:r>
    </w:p>
    <w:p w14:paraId="2A54199E" w14:textId="77777777" w:rsidR="00D147AD" w:rsidRDefault="00D147AD" w:rsidP="001657DB">
      <w:pPr>
        <w:spacing w:line="360" w:lineRule="auto"/>
        <w:jc w:val="both"/>
        <w:rPr>
          <w:rFonts w:eastAsiaTheme="minorHAnsi"/>
          <w:lang w:eastAsia="en-US"/>
        </w:rPr>
      </w:pPr>
    </w:p>
    <w:p w14:paraId="5C929177" w14:textId="0CA4D38A" w:rsidR="00D147AD" w:rsidRDefault="00D147AD" w:rsidP="001657DB">
      <w:pPr>
        <w:spacing w:line="360" w:lineRule="auto"/>
        <w:jc w:val="both"/>
        <w:rPr>
          <w:rFonts w:eastAsiaTheme="minorHAnsi"/>
          <w:lang w:eastAsia="en-US"/>
        </w:rPr>
      </w:pPr>
      <w:r>
        <w:rPr>
          <w:rFonts w:eastAsiaTheme="minorHAnsi"/>
          <w:lang w:eastAsia="en-US"/>
        </w:rPr>
        <w:t>(…)</w:t>
      </w:r>
    </w:p>
    <w:p w14:paraId="3B7EDB03" w14:textId="77777777" w:rsidR="00D147AD" w:rsidRDefault="00D147AD" w:rsidP="001657DB">
      <w:pPr>
        <w:spacing w:line="360" w:lineRule="auto"/>
        <w:jc w:val="both"/>
        <w:rPr>
          <w:rFonts w:eastAsiaTheme="minorHAnsi"/>
          <w:lang w:eastAsia="en-US"/>
        </w:rPr>
      </w:pPr>
    </w:p>
    <w:p w14:paraId="05979B9A" w14:textId="554F418D" w:rsidR="007F6AC5" w:rsidRPr="007F6AC5" w:rsidRDefault="001657DB" w:rsidP="001657DB">
      <w:pPr>
        <w:spacing w:line="360" w:lineRule="auto"/>
        <w:jc w:val="both"/>
        <w:rPr>
          <w:rFonts w:eastAsiaTheme="minorHAnsi"/>
          <w:lang w:val="es-ES" w:eastAsia="en-US"/>
        </w:rPr>
      </w:pPr>
      <w:r w:rsidRPr="001657DB">
        <w:rPr>
          <w:rFonts w:eastAsiaTheme="minorHAnsi"/>
          <w:lang w:eastAsia="en-US"/>
        </w:rPr>
        <w:t>3. </w:t>
      </w:r>
      <w:r w:rsidRPr="001657DB">
        <w:rPr>
          <w:rFonts w:eastAsiaTheme="minorHAnsi"/>
          <w:b/>
          <w:bCs/>
          <w:lang w:eastAsia="en-US"/>
        </w:rPr>
        <w:t>Definiciones</w:t>
      </w:r>
      <w:r w:rsidRPr="001657DB">
        <w:rPr>
          <w:rFonts w:eastAsiaTheme="minorHAnsi"/>
          <w:lang w:eastAsia="en-US"/>
        </w:rPr>
        <w:t>. Para efectos de interpretación de este decreto se deben considerar las siguientes definiciones:</w:t>
      </w:r>
    </w:p>
    <w:p w14:paraId="2439129A" w14:textId="77777777" w:rsidR="007F6AC5" w:rsidRPr="007F6AC5" w:rsidRDefault="007F6AC5" w:rsidP="001657DB">
      <w:pPr>
        <w:spacing w:line="360" w:lineRule="auto"/>
        <w:jc w:val="both"/>
        <w:rPr>
          <w:rFonts w:eastAsiaTheme="minorHAnsi"/>
          <w:lang w:val="es-ES" w:eastAsia="en-US"/>
        </w:rPr>
      </w:pPr>
    </w:p>
    <w:p w14:paraId="5240EC24" w14:textId="14480E82" w:rsidR="00985CEA" w:rsidRPr="00985CEA" w:rsidRDefault="00985CEA" w:rsidP="00985CEA">
      <w:pPr>
        <w:spacing w:line="360" w:lineRule="auto"/>
        <w:jc w:val="both"/>
        <w:rPr>
          <w:rFonts w:eastAsiaTheme="minorHAnsi"/>
          <w:lang w:eastAsia="en-US"/>
        </w:rPr>
      </w:pPr>
      <w:r w:rsidRPr="00985CEA">
        <w:rPr>
          <w:rFonts w:eastAsiaTheme="minorHAnsi"/>
          <w:lang w:eastAsia="en-US"/>
        </w:rPr>
        <w:lastRenderedPageBreak/>
        <w:t>a) </w:t>
      </w:r>
      <w:r w:rsidRPr="00985CEA">
        <w:rPr>
          <w:rFonts w:eastAsiaTheme="minorHAnsi"/>
          <w:b/>
          <w:bCs/>
          <w:lang w:eastAsia="en-US"/>
        </w:rPr>
        <w:t>Alternativa farmacéutica</w:t>
      </w:r>
      <w:r w:rsidRPr="00985CEA">
        <w:rPr>
          <w:rFonts w:eastAsiaTheme="minorHAnsi"/>
          <w:lang w:eastAsia="en-US"/>
        </w:rPr>
        <w:t>: los productos son alternativas farmacéuticas si contienen la misma fracción o fracciones activas desde el punto de vista farmacéutico, pero difieren en cuanto a su forma farmacéutica (por ejemplo, tabletas versus cápsulas), concentración y/o su composición química (por ejemplo, distintas sales o ésteres). Las alternativas farmacéuticas liberan la misma fracción activa por la misma vía de administración, pero en los demás aspectos no son equivalentes farmacéuticos. Pueden o no ser bioequivalentes o equivalentes terapéuticos al producto comparador.</w:t>
      </w:r>
    </w:p>
    <w:p w14:paraId="3EC96911" w14:textId="1A42C646" w:rsidR="00985CEA" w:rsidRPr="00985CEA" w:rsidRDefault="00985CEA" w:rsidP="00985CEA">
      <w:pPr>
        <w:spacing w:line="360" w:lineRule="auto"/>
        <w:jc w:val="both"/>
        <w:rPr>
          <w:rFonts w:eastAsiaTheme="minorHAnsi"/>
          <w:lang w:eastAsia="en-US"/>
        </w:rPr>
      </w:pPr>
      <w:r w:rsidRPr="00985CEA">
        <w:rPr>
          <w:rFonts w:eastAsiaTheme="minorHAnsi"/>
          <w:lang w:eastAsia="en-US"/>
        </w:rPr>
        <w:br/>
        <w:t>b) </w:t>
      </w:r>
      <w:r w:rsidRPr="00985CEA">
        <w:rPr>
          <w:rFonts w:eastAsiaTheme="minorHAnsi"/>
          <w:b/>
          <w:bCs/>
          <w:lang w:eastAsia="en-US"/>
        </w:rPr>
        <w:t>Autoridad reguladora de referencia</w:t>
      </w:r>
      <w:r w:rsidRPr="00985CEA">
        <w:rPr>
          <w:rFonts w:eastAsiaTheme="minorHAnsi"/>
          <w:lang w:eastAsia="en-US"/>
        </w:rPr>
        <w:t>: autoridad responsable de la regulación sanitaria en cada país o región, que cumple los criterios establecidos en el presente decreto.</w:t>
      </w:r>
    </w:p>
    <w:p w14:paraId="4FD08D30" w14:textId="6D634841" w:rsidR="00985CEA" w:rsidRPr="00985CEA" w:rsidRDefault="00985CEA" w:rsidP="00985CEA">
      <w:pPr>
        <w:spacing w:line="360" w:lineRule="auto"/>
        <w:jc w:val="both"/>
        <w:rPr>
          <w:rFonts w:eastAsiaTheme="minorHAnsi"/>
          <w:lang w:eastAsia="en-US"/>
        </w:rPr>
      </w:pPr>
    </w:p>
    <w:p w14:paraId="0EC54661" w14:textId="77777777" w:rsidR="00985CEA" w:rsidRPr="00985CEA" w:rsidRDefault="00985CEA" w:rsidP="00985CEA">
      <w:pPr>
        <w:spacing w:line="360" w:lineRule="auto"/>
        <w:jc w:val="both"/>
        <w:rPr>
          <w:rFonts w:eastAsiaTheme="minorHAnsi"/>
          <w:lang w:eastAsia="en-US"/>
        </w:rPr>
      </w:pPr>
      <w:r w:rsidRPr="00985CEA">
        <w:rPr>
          <w:rFonts w:eastAsiaTheme="minorHAnsi"/>
          <w:lang w:eastAsia="en-US"/>
        </w:rPr>
        <w:t>c) </w:t>
      </w:r>
      <w:r w:rsidRPr="00985CEA">
        <w:rPr>
          <w:rFonts w:eastAsiaTheme="minorHAnsi"/>
          <w:b/>
          <w:bCs/>
          <w:lang w:eastAsia="en-US"/>
        </w:rPr>
        <w:t>Autoridad reguladora de referencia regional</w:t>
      </w:r>
      <w:r w:rsidRPr="00985CEA">
        <w:rPr>
          <w:rFonts w:eastAsiaTheme="minorHAnsi"/>
          <w:lang w:eastAsia="en-US"/>
        </w:rPr>
        <w:t>: es la autoridad reguladora nacional competente y eficiente en el desempeño de las funciones de regulación sanitaria recomendadas por la OPS/OMS, para garantizar la calidad, inocuidad y eficacia de los medicamentos y productos biológicos.</w:t>
      </w:r>
    </w:p>
    <w:p w14:paraId="75CC288E" w14:textId="2E1C0B1E" w:rsidR="00985CEA" w:rsidRPr="00985CEA" w:rsidRDefault="00985CEA" w:rsidP="00985CEA">
      <w:pPr>
        <w:spacing w:line="360" w:lineRule="auto"/>
        <w:jc w:val="both"/>
        <w:rPr>
          <w:rFonts w:eastAsiaTheme="minorHAnsi"/>
          <w:lang w:eastAsia="en-US"/>
        </w:rPr>
      </w:pPr>
      <w:r w:rsidRPr="00985CEA">
        <w:rPr>
          <w:rFonts w:eastAsiaTheme="minorHAnsi"/>
          <w:lang w:eastAsia="en-US"/>
        </w:rPr>
        <w:br/>
        <w:t>d) </w:t>
      </w:r>
      <w:r w:rsidRPr="00985CEA">
        <w:rPr>
          <w:rFonts w:eastAsiaTheme="minorHAnsi"/>
          <w:b/>
          <w:bCs/>
          <w:lang w:eastAsia="en-US"/>
        </w:rPr>
        <w:t>Criterio de exclusión</w:t>
      </w:r>
      <w:r w:rsidRPr="00985CEA">
        <w:rPr>
          <w:rFonts w:eastAsiaTheme="minorHAnsi"/>
          <w:lang w:eastAsia="en-US"/>
        </w:rPr>
        <w:t>: se refiere a la característica o cualidad que hace que, en caso de que una autoridad no cumpla alguna de ellas durante el proceso de calificación, dicha autoridad no pueda ser considerada autoridad reguladora de referencia.</w:t>
      </w:r>
    </w:p>
    <w:p w14:paraId="1BD12BFF" w14:textId="23D20DB9" w:rsidR="00985CEA" w:rsidRDefault="00985CEA" w:rsidP="00985CEA">
      <w:pPr>
        <w:spacing w:line="360" w:lineRule="auto"/>
        <w:jc w:val="both"/>
        <w:rPr>
          <w:rFonts w:eastAsiaTheme="minorHAnsi"/>
          <w:lang w:val="es-ES" w:eastAsia="en-US"/>
        </w:rPr>
      </w:pPr>
      <w:r w:rsidRPr="00985CEA">
        <w:rPr>
          <w:rFonts w:eastAsiaTheme="minorHAnsi"/>
          <w:lang w:eastAsia="en-US"/>
        </w:rPr>
        <w:br/>
      </w:r>
      <w:r w:rsidRPr="00985CEA">
        <w:rPr>
          <w:rFonts w:eastAsiaTheme="minorHAnsi"/>
          <w:lang w:val="es-ES" w:eastAsia="en-US"/>
        </w:rPr>
        <w:t>e) </w:t>
      </w:r>
      <w:r w:rsidRPr="00985CEA">
        <w:rPr>
          <w:rFonts w:eastAsiaTheme="minorHAnsi"/>
          <w:b/>
          <w:bCs/>
          <w:lang w:val="es-ES" w:eastAsia="en-US"/>
        </w:rPr>
        <w:t>Criterio de inclusión</w:t>
      </w:r>
      <w:r w:rsidRPr="00985CEA">
        <w:rPr>
          <w:rFonts w:eastAsiaTheme="minorHAnsi"/>
          <w:lang w:val="es-ES" w:eastAsia="en-US"/>
        </w:rPr>
        <w:t>: se refiere a la característica o cualidad que hace que, en caso de que una autoridad cumpla al menos una de ellas durante el proceso de calificación, dicha autoridad pueda ser elegible para ser considerada autoridad reguladora de referencia.</w:t>
      </w:r>
    </w:p>
    <w:p w14:paraId="4F655544" w14:textId="77777777" w:rsidR="007732C5" w:rsidRDefault="007732C5" w:rsidP="00985CEA">
      <w:pPr>
        <w:spacing w:line="360" w:lineRule="auto"/>
        <w:jc w:val="both"/>
        <w:rPr>
          <w:rFonts w:eastAsiaTheme="minorHAnsi"/>
          <w:lang w:val="es-ES" w:eastAsia="en-US"/>
        </w:rPr>
      </w:pPr>
    </w:p>
    <w:p w14:paraId="7489FA7E" w14:textId="7AE0DC9D" w:rsidR="007732C5" w:rsidRPr="00985CEA" w:rsidRDefault="007732C5" w:rsidP="00985CEA">
      <w:pPr>
        <w:spacing w:line="360" w:lineRule="auto"/>
        <w:jc w:val="both"/>
        <w:rPr>
          <w:rFonts w:eastAsiaTheme="minorHAnsi"/>
          <w:lang w:eastAsia="en-US"/>
        </w:rPr>
      </w:pPr>
      <w:r>
        <w:rPr>
          <w:rFonts w:eastAsiaTheme="minorHAnsi"/>
          <w:lang w:val="es-ES" w:eastAsia="en-US"/>
        </w:rPr>
        <w:t xml:space="preserve">f) </w:t>
      </w:r>
      <w:r w:rsidRPr="007732C5">
        <w:rPr>
          <w:rFonts w:eastAsiaTheme="minorHAnsi"/>
          <w:lang w:eastAsia="en-US"/>
        </w:rPr>
        <w:t> </w:t>
      </w:r>
      <w:r w:rsidRPr="007732C5">
        <w:rPr>
          <w:rFonts w:eastAsiaTheme="minorHAnsi"/>
          <w:b/>
          <w:bCs/>
          <w:lang w:eastAsia="en-US"/>
        </w:rPr>
        <w:t>Declaración jurada</w:t>
      </w:r>
      <w:r w:rsidRPr="007732C5">
        <w:rPr>
          <w:rFonts w:eastAsiaTheme="minorHAnsi"/>
          <w:lang w:eastAsia="en-US"/>
        </w:rPr>
        <w:t>: Es una manifestación escrita que se realiza bajo juramento, por medio de la cual se asegura la veracidad de lo declarado.</w:t>
      </w:r>
    </w:p>
    <w:p w14:paraId="01CB134E" w14:textId="77777777" w:rsidR="00574682" w:rsidRDefault="00574682" w:rsidP="00A744C1">
      <w:pPr>
        <w:spacing w:line="360" w:lineRule="auto"/>
        <w:jc w:val="both"/>
        <w:rPr>
          <w:rFonts w:eastAsiaTheme="minorHAnsi"/>
          <w:lang w:eastAsia="en-US"/>
        </w:rPr>
      </w:pPr>
    </w:p>
    <w:p w14:paraId="3F73DB25" w14:textId="087898F6" w:rsidR="00BB77E1" w:rsidRDefault="007732C5" w:rsidP="00A744C1">
      <w:pPr>
        <w:spacing w:line="360" w:lineRule="auto"/>
        <w:jc w:val="both"/>
        <w:rPr>
          <w:rFonts w:eastAsiaTheme="minorHAnsi"/>
          <w:lang w:val="es-ES" w:eastAsia="en-US"/>
        </w:rPr>
      </w:pPr>
      <w:r>
        <w:rPr>
          <w:rFonts w:eastAsiaTheme="minorHAnsi"/>
          <w:lang w:eastAsia="en-US"/>
        </w:rPr>
        <w:t>g</w:t>
      </w:r>
      <w:r w:rsidR="001657DB">
        <w:rPr>
          <w:rFonts w:eastAsiaTheme="minorHAnsi"/>
          <w:lang w:eastAsia="en-US"/>
        </w:rPr>
        <w:t xml:space="preserve">) </w:t>
      </w:r>
      <w:r w:rsidR="001657DB" w:rsidRPr="006D6283">
        <w:rPr>
          <w:rFonts w:eastAsiaTheme="minorHAnsi"/>
          <w:b/>
          <w:bCs/>
          <w:lang w:eastAsia="en-US"/>
        </w:rPr>
        <w:t>Documento Técnico Común (CTD</w:t>
      </w:r>
      <w:r w:rsidR="00E813DC" w:rsidRPr="006D6283">
        <w:rPr>
          <w:rFonts w:eastAsiaTheme="minorHAnsi"/>
          <w:b/>
          <w:bCs/>
          <w:lang w:eastAsia="en-US"/>
        </w:rPr>
        <w:t>, por sus siglas en inglés</w:t>
      </w:r>
      <w:r w:rsidR="001657DB" w:rsidRPr="006D6283">
        <w:rPr>
          <w:rFonts w:eastAsiaTheme="minorHAnsi"/>
          <w:b/>
          <w:bCs/>
          <w:lang w:eastAsia="en-US"/>
        </w:rPr>
        <w:t>):</w:t>
      </w:r>
      <w:r w:rsidR="001657DB" w:rsidRPr="001657DB">
        <w:rPr>
          <w:rFonts w:eastAsiaTheme="minorHAnsi"/>
          <w:lang w:eastAsia="en-US"/>
        </w:rPr>
        <w:t xml:space="preserve"> Formato armonizado internacionalmente para la preparación y presentación de solicitudes de registro sanitario de medicamentos, desarrollado por el Consejo Internacional para la Armonización de Requisitos Técnicos para Productos Farmacéuticos de Uso Humano (ICH, por sus siglas en inglés) y descrito en la Guía ICH M4: The Common </w:t>
      </w:r>
      <w:proofErr w:type="spellStart"/>
      <w:r w:rsidR="001657DB" w:rsidRPr="001657DB">
        <w:rPr>
          <w:rFonts w:eastAsiaTheme="minorHAnsi"/>
          <w:lang w:eastAsia="en-US"/>
        </w:rPr>
        <w:t>Technical</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Document</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for</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the</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Registration</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of</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Pharmaceuticals</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for</w:t>
      </w:r>
      <w:proofErr w:type="spellEnd"/>
      <w:r w:rsidR="001657DB" w:rsidRPr="001657DB">
        <w:rPr>
          <w:rFonts w:eastAsiaTheme="minorHAnsi"/>
          <w:lang w:eastAsia="en-US"/>
        </w:rPr>
        <w:t xml:space="preserve"> Human Use. El CTD organiza la información </w:t>
      </w:r>
      <w:r w:rsidR="001657DB" w:rsidRPr="001657DB">
        <w:rPr>
          <w:rFonts w:eastAsiaTheme="minorHAnsi"/>
          <w:lang w:eastAsia="en-US"/>
        </w:rPr>
        <w:lastRenderedPageBreak/>
        <w:t>científica y técnica relacionada con la calidad, seguridad y eficacia de un medicamento en módulos estandarizados</w:t>
      </w:r>
      <w:r w:rsidR="007E0DCD">
        <w:rPr>
          <w:rFonts w:eastAsiaTheme="minorHAnsi"/>
          <w:lang w:eastAsia="en-US"/>
        </w:rPr>
        <w:t xml:space="preserve"> para facilitar su </w:t>
      </w:r>
      <w:r w:rsidR="001657DB" w:rsidRPr="001657DB">
        <w:rPr>
          <w:rFonts w:eastAsiaTheme="minorHAnsi"/>
          <w:lang w:eastAsia="en-US"/>
        </w:rPr>
        <w:t xml:space="preserve">evaluación </w:t>
      </w:r>
      <w:r w:rsidR="007E0DCD">
        <w:rPr>
          <w:rFonts w:eastAsiaTheme="minorHAnsi"/>
          <w:lang w:eastAsia="en-US"/>
        </w:rPr>
        <w:t xml:space="preserve">por las autoridades </w:t>
      </w:r>
      <w:r w:rsidR="001657DB" w:rsidRPr="001657DB">
        <w:rPr>
          <w:rFonts w:eastAsiaTheme="minorHAnsi"/>
          <w:lang w:eastAsia="en-US"/>
        </w:rPr>
        <w:t>regulatoria</w:t>
      </w:r>
      <w:r w:rsidR="007E0DCD">
        <w:rPr>
          <w:rFonts w:eastAsiaTheme="minorHAnsi"/>
          <w:lang w:eastAsia="en-US"/>
        </w:rPr>
        <w:t xml:space="preserve">s. </w:t>
      </w:r>
    </w:p>
    <w:p w14:paraId="1062966A" w14:textId="77777777" w:rsidR="001657DB" w:rsidRDefault="001657DB" w:rsidP="001657DB">
      <w:pPr>
        <w:spacing w:line="360" w:lineRule="auto"/>
        <w:jc w:val="both"/>
        <w:rPr>
          <w:rFonts w:eastAsiaTheme="minorHAnsi"/>
          <w:lang w:eastAsia="en-US"/>
        </w:rPr>
      </w:pPr>
    </w:p>
    <w:p w14:paraId="2058972C" w14:textId="1590C8EC" w:rsidR="001657DB" w:rsidRDefault="007732C5" w:rsidP="39A9F41B">
      <w:pPr>
        <w:spacing w:line="360" w:lineRule="auto"/>
        <w:jc w:val="both"/>
        <w:rPr>
          <w:rFonts w:eastAsiaTheme="minorEastAsia"/>
          <w:lang w:eastAsia="en-US"/>
        </w:rPr>
      </w:pPr>
      <w:r>
        <w:rPr>
          <w:rFonts w:eastAsiaTheme="minorEastAsia"/>
          <w:lang w:eastAsia="en-US"/>
        </w:rPr>
        <w:t>h</w:t>
      </w:r>
      <w:r w:rsidR="0BE3E8A0" w:rsidRPr="39A9F41B">
        <w:rPr>
          <w:rFonts w:eastAsiaTheme="minorEastAsia"/>
          <w:lang w:eastAsia="en-US"/>
        </w:rPr>
        <w:t xml:space="preserve">) </w:t>
      </w:r>
      <w:r w:rsidR="0BE3E8A0" w:rsidRPr="006D6283">
        <w:rPr>
          <w:rFonts w:eastAsiaTheme="minorEastAsia"/>
          <w:b/>
          <w:bCs/>
          <w:lang w:eastAsia="en-US"/>
        </w:rPr>
        <w:t xml:space="preserve">Informe concluyente del estudio clínico: </w:t>
      </w:r>
      <w:r w:rsidR="0BE3E8A0" w:rsidRPr="39A9F41B">
        <w:rPr>
          <w:rFonts w:eastAsiaTheme="minorEastAsia"/>
          <w:lang w:eastAsia="en-US"/>
        </w:rPr>
        <w:t>Documento integrado que resume, analiza e interpreta de manera crítica la evidencia clínica disponible de un medicamento, con el fin de demostrar su seguridad y eficacia para las condiciones de uso propuestas. Este informe corresponde a las secciones del Documento Técnico Común (CTD) relativas a</w:t>
      </w:r>
      <w:r w:rsidR="5F3EEFAA" w:rsidRPr="39A9F41B">
        <w:rPr>
          <w:rFonts w:eastAsiaTheme="minorEastAsia"/>
          <w:lang w:eastAsia="en-US"/>
        </w:rPr>
        <w:t xml:space="preserve"> </w:t>
      </w:r>
      <w:r w:rsidR="0BE3E8A0" w:rsidRPr="39A9F41B">
        <w:rPr>
          <w:rFonts w:eastAsiaTheme="minorEastAsia"/>
          <w:lang w:eastAsia="en-US"/>
        </w:rPr>
        <w:t>l</w:t>
      </w:r>
      <w:r w:rsidR="2EC4ECBE" w:rsidRPr="39A9F41B">
        <w:rPr>
          <w:rFonts w:eastAsiaTheme="minorEastAsia"/>
          <w:lang w:eastAsia="en-US"/>
        </w:rPr>
        <w:t>a</w:t>
      </w:r>
      <w:r w:rsidR="0BE3E8A0" w:rsidRPr="39A9F41B">
        <w:rPr>
          <w:rFonts w:eastAsiaTheme="minorEastAsia"/>
          <w:lang w:eastAsia="en-US"/>
        </w:rPr>
        <w:t xml:space="preserve"> </w:t>
      </w:r>
      <w:r w:rsidR="38DF230E" w:rsidRPr="39A9F41B">
        <w:rPr>
          <w:rFonts w:eastAsiaTheme="minorEastAsia"/>
          <w:lang w:eastAsia="en-US"/>
        </w:rPr>
        <w:t xml:space="preserve">-Visión </w:t>
      </w:r>
      <w:r w:rsidR="2D8553FB" w:rsidRPr="39A9F41B">
        <w:rPr>
          <w:rFonts w:eastAsiaTheme="minorEastAsia"/>
          <w:lang w:eastAsia="en-US"/>
        </w:rPr>
        <w:t xml:space="preserve">General Clínica </w:t>
      </w:r>
      <w:r w:rsidR="0BE3E8A0" w:rsidRPr="39A9F41B">
        <w:rPr>
          <w:rFonts w:eastAsiaTheme="minorEastAsia"/>
          <w:lang w:eastAsia="en-US"/>
        </w:rPr>
        <w:t xml:space="preserve">(2.5 </w:t>
      </w:r>
      <w:proofErr w:type="spellStart"/>
      <w:r w:rsidR="0BE3E8A0" w:rsidRPr="39A9F41B">
        <w:rPr>
          <w:rFonts w:eastAsiaTheme="minorEastAsia"/>
          <w:lang w:eastAsia="en-US"/>
        </w:rPr>
        <w:t>Clinical</w:t>
      </w:r>
      <w:proofErr w:type="spellEnd"/>
      <w:r w:rsidR="0BE3E8A0" w:rsidRPr="39A9F41B">
        <w:rPr>
          <w:rFonts w:eastAsiaTheme="minorEastAsia"/>
          <w:lang w:eastAsia="en-US"/>
        </w:rPr>
        <w:t xml:space="preserve"> </w:t>
      </w:r>
      <w:proofErr w:type="spellStart"/>
      <w:r w:rsidR="0BE3E8A0" w:rsidRPr="39A9F41B">
        <w:rPr>
          <w:rFonts w:eastAsiaTheme="minorEastAsia"/>
          <w:lang w:eastAsia="en-US"/>
        </w:rPr>
        <w:t>Overview</w:t>
      </w:r>
      <w:proofErr w:type="spellEnd"/>
      <w:r w:rsidR="0BE3E8A0" w:rsidRPr="39A9F41B">
        <w:rPr>
          <w:rFonts w:eastAsiaTheme="minorEastAsia"/>
          <w:lang w:eastAsia="en-US"/>
        </w:rPr>
        <w:t xml:space="preserve">) y al Resumen Global de la Información Clínica (2.7 </w:t>
      </w:r>
      <w:proofErr w:type="spellStart"/>
      <w:r w:rsidR="0BE3E8A0" w:rsidRPr="39A9F41B">
        <w:rPr>
          <w:rFonts w:eastAsiaTheme="minorEastAsia"/>
          <w:lang w:eastAsia="en-US"/>
        </w:rPr>
        <w:t>Clinical</w:t>
      </w:r>
      <w:proofErr w:type="spellEnd"/>
      <w:r w:rsidR="0BE3E8A0" w:rsidRPr="39A9F41B">
        <w:rPr>
          <w:rFonts w:eastAsiaTheme="minorEastAsia"/>
          <w:lang w:eastAsia="en-US"/>
        </w:rPr>
        <w:t xml:space="preserve"> </w:t>
      </w:r>
      <w:proofErr w:type="spellStart"/>
      <w:r w:rsidR="0BE3E8A0" w:rsidRPr="39A9F41B">
        <w:rPr>
          <w:rFonts w:eastAsiaTheme="minorEastAsia"/>
          <w:lang w:eastAsia="en-US"/>
        </w:rPr>
        <w:t>Summary</w:t>
      </w:r>
      <w:proofErr w:type="spellEnd"/>
      <w:r w:rsidR="0BE3E8A0" w:rsidRPr="39A9F41B">
        <w:rPr>
          <w:rFonts w:eastAsiaTheme="minorEastAsia"/>
          <w:lang w:eastAsia="en-US"/>
        </w:rPr>
        <w:t>), las cuales integran y evalúan los resultados de los estudios clínicos realizados en seres humanos, incluyendo los análisis de eficacia, seguridad y la valoración beneficio-riesgo del producto.</w:t>
      </w:r>
    </w:p>
    <w:p w14:paraId="09D27285" w14:textId="77777777" w:rsidR="001657DB" w:rsidRPr="001657DB" w:rsidRDefault="001657DB" w:rsidP="001657DB">
      <w:pPr>
        <w:spacing w:line="360" w:lineRule="auto"/>
        <w:jc w:val="both"/>
        <w:rPr>
          <w:rFonts w:eastAsiaTheme="minorHAnsi"/>
          <w:lang w:eastAsia="en-US"/>
        </w:rPr>
      </w:pPr>
    </w:p>
    <w:p w14:paraId="01AC312E" w14:textId="6E78B802" w:rsidR="001657DB" w:rsidRPr="001657DB" w:rsidRDefault="007732C5" w:rsidP="001657DB">
      <w:pPr>
        <w:spacing w:line="360" w:lineRule="auto"/>
        <w:jc w:val="both"/>
        <w:rPr>
          <w:rFonts w:eastAsiaTheme="minorHAnsi"/>
          <w:lang w:eastAsia="en-US"/>
        </w:rPr>
      </w:pPr>
      <w:r>
        <w:rPr>
          <w:rFonts w:eastAsiaTheme="minorHAnsi"/>
          <w:lang w:eastAsia="en-US"/>
        </w:rPr>
        <w:t>i</w:t>
      </w:r>
      <w:r w:rsidR="001657DB" w:rsidRPr="001657DB">
        <w:rPr>
          <w:rFonts w:eastAsiaTheme="minorHAnsi"/>
          <w:lang w:eastAsia="en-US"/>
        </w:rPr>
        <w:t xml:space="preserve">) </w:t>
      </w:r>
      <w:r w:rsidR="001657DB" w:rsidRPr="006D6283">
        <w:rPr>
          <w:rFonts w:eastAsiaTheme="minorHAnsi"/>
          <w:b/>
          <w:bCs/>
          <w:lang w:eastAsia="en-US"/>
        </w:rPr>
        <w:t>Informe concluyente del estudio no clínico:</w:t>
      </w:r>
      <w:r w:rsidR="001657DB" w:rsidRPr="001657DB">
        <w:rPr>
          <w:rFonts w:eastAsiaTheme="minorHAnsi"/>
          <w:lang w:eastAsia="en-US"/>
        </w:rPr>
        <w:t xml:space="preserve"> Documento integrado que resume, analiza e interpreta de manera crítica la evidencia no clínica disponible de un medicamento, obtenida mediante estudios in vitro, estudios en animales de experimentación y otras investigaciones no realizadas en seres humanos, con el fin de caracterizar su perfil farmacológico y toxicológico, así como sustentar su seguridad para el desarrollo clínico y uso terapéutico. Este informe corresponde a las secciones del Documento Técnico Común (CTD) relativas a la Visión General No Clínica (2.4 </w:t>
      </w:r>
      <w:proofErr w:type="spellStart"/>
      <w:r w:rsidR="001657DB" w:rsidRPr="001657DB">
        <w:rPr>
          <w:rFonts w:eastAsiaTheme="minorHAnsi"/>
          <w:lang w:eastAsia="en-US"/>
        </w:rPr>
        <w:t>Nonclinical</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Overview</w:t>
      </w:r>
      <w:proofErr w:type="spellEnd"/>
      <w:r w:rsidR="001657DB" w:rsidRPr="001657DB">
        <w:rPr>
          <w:rFonts w:eastAsiaTheme="minorHAnsi"/>
          <w:lang w:eastAsia="en-US"/>
        </w:rPr>
        <w:t xml:space="preserve">) y a los Resúmenes Escritos y Tabulados No Clínicos (2.6 </w:t>
      </w:r>
      <w:proofErr w:type="spellStart"/>
      <w:r w:rsidR="001657DB" w:rsidRPr="001657DB">
        <w:rPr>
          <w:rFonts w:eastAsiaTheme="minorHAnsi"/>
          <w:lang w:eastAsia="en-US"/>
        </w:rPr>
        <w:t>Nonclinical</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Written</w:t>
      </w:r>
      <w:proofErr w:type="spellEnd"/>
      <w:r w:rsidR="001657DB" w:rsidRPr="001657DB">
        <w:rPr>
          <w:rFonts w:eastAsiaTheme="minorHAnsi"/>
          <w:lang w:eastAsia="en-US"/>
        </w:rPr>
        <w:t xml:space="preserve"> and </w:t>
      </w:r>
      <w:proofErr w:type="spellStart"/>
      <w:r w:rsidR="001657DB" w:rsidRPr="001657DB">
        <w:rPr>
          <w:rFonts w:eastAsiaTheme="minorHAnsi"/>
          <w:lang w:eastAsia="en-US"/>
        </w:rPr>
        <w:t>Tabulated</w:t>
      </w:r>
      <w:proofErr w:type="spellEnd"/>
      <w:r w:rsidR="001657DB" w:rsidRPr="001657DB">
        <w:rPr>
          <w:rFonts w:eastAsiaTheme="minorHAnsi"/>
          <w:lang w:eastAsia="en-US"/>
        </w:rPr>
        <w:t xml:space="preserve"> </w:t>
      </w:r>
      <w:proofErr w:type="spellStart"/>
      <w:r w:rsidR="001657DB" w:rsidRPr="001657DB">
        <w:rPr>
          <w:rFonts w:eastAsiaTheme="minorHAnsi"/>
          <w:lang w:eastAsia="en-US"/>
        </w:rPr>
        <w:t>Summaries</w:t>
      </w:r>
      <w:proofErr w:type="spellEnd"/>
      <w:r w:rsidR="001657DB" w:rsidRPr="001657DB">
        <w:rPr>
          <w:rFonts w:eastAsiaTheme="minorHAnsi"/>
          <w:lang w:eastAsia="en-US"/>
        </w:rPr>
        <w:t>), las cuales integran y evalúan los resultados farmacológicos, farmacocinéticos y toxicológicos disponibles.</w:t>
      </w:r>
    </w:p>
    <w:p w14:paraId="5570A9BF" w14:textId="77777777" w:rsidR="00BB77E1" w:rsidRPr="001657DB" w:rsidRDefault="00BB77E1" w:rsidP="00A744C1">
      <w:pPr>
        <w:spacing w:line="360" w:lineRule="auto"/>
        <w:jc w:val="both"/>
        <w:rPr>
          <w:rFonts w:eastAsiaTheme="minorHAnsi"/>
          <w:lang w:eastAsia="en-US"/>
        </w:rPr>
      </w:pPr>
    </w:p>
    <w:p w14:paraId="1A7EDE0A" w14:textId="2838205C" w:rsidR="00985CEA" w:rsidRPr="00985CEA" w:rsidRDefault="007732C5" w:rsidP="00985CEA">
      <w:pPr>
        <w:spacing w:line="360" w:lineRule="auto"/>
        <w:jc w:val="both"/>
        <w:rPr>
          <w:rFonts w:eastAsiaTheme="minorHAnsi"/>
          <w:lang w:eastAsia="en-US"/>
        </w:rPr>
      </w:pPr>
      <w:r>
        <w:rPr>
          <w:rFonts w:eastAsiaTheme="minorHAnsi"/>
          <w:lang w:val="es-ES" w:eastAsia="en-US"/>
        </w:rPr>
        <w:t>j</w:t>
      </w:r>
      <w:r w:rsidR="00985CEA" w:rsidRPr="00985CEA">
        <w:rPr>
          <w:rFonts w:eastAsiaTheme="minorHAnsi"/>
          <w:lang w:val="es-ES" w:eastAsia="en-US"/>
        </w:rPr>
        <w:t>) </w:t>
      </w:r>
      <w:r w:rsidR="00985CEA" w:rsidRPr="00985CEA">
        <w:rPr>
          <w:rFonts w:eastAsiaTheme="minorHAnsi"/>
          <w:b/>
          <w:bCs/>
          <w:lang w:val="es-ES" w:eastAsia="en-US"/>
        </w:rPr>
        <w:t>Estudios clínicos</w:t>
      </w:r>
      <w:r w:rsidR="00985CEA" w:rsidRPr="00985CEA">
        <w:rPr>
          <w:rFonts w:eastAsiaTheme="minorHAnsi"/>
          <w:lang w:val="es-ES" w:eastAsia="en-US"/>
        </w:rPr>
        <w:t>: Toda investigación en seres humanos destinada a descubrir o verificar los efectos clínicos, farmacológicos y/o otros efectos farmacodinámicos de un producto en investigación y/o para identificar cualquier reacción adversa a un producto en investigación y/o para estudiar la absorción, distribución, metabolismo y excreción de uno o más productos en investigación con el objeto de determinar su seguridad y/o eficacia. Los términos ensayo clínico y estudio clínico son sinónimos.</w:t>
      </w:r>
    </w:p>
    <w:p w14:paraId="2495B59D" w14:textId="0C3E382D" w:rsidR="00985CEA" w:rsidRPr="00985CEA" w:rsidRDefault="00985CEA" w:rsidP="00985CEA">
      <w:pPr>
        <w:spacing w:line="360" w:lineRule="auto"/>
        <w:jc w:val="both"/>
        <w:rPr>
          <w:rFonts w:eastAsiaTheme="minorHAnsi"/>
          <w:lang w:eastAsia="en-US"/>
        </w:rPr>
      </w:pPr>
      <w:r w:rsidRPr="00985CEA">
        <w:rPr>
          <w:rFonts w:eastAsiaTheme="minorHAnsi"/>
          <w:lang w:eastAsia="en-US"/>
        </w:rPr>
        <w:br/>
      </w:r>
      <w:r w:rsidR="007732C5">
        <w:rPr>
          <w:rFonts w:eastAsiaTheme="minorHAnsi"/>
          <w:lang w:val="es-ES" w:eastAsia="en-US"/>
        </w:rPr>
        <w:t>k</w:t>
      </w:r>
      <w:r w:rsidRPr="00985CEA">
        <w:rPr>
          <w:rFonts w:eastAsiaTheme="minorHAnsi"/>
          <w:lang w:val="es-ES" w:eastAsia="en-US"/>
        </w:rPr>
        <w:t>) </w:t>
      </w:r>
      <w:r w:rsidRPr="00985CEA">
        <w:rPr>
          <w:rFonts w:eastAsiaTheme="minorHAnsi"/>
          <w:b/>
          <w:bCs/>
          <w:lang w:val="es-ES" w:eastAsia="en-US"/>
        </w:rPr>
        <w:t>Estudios no clínicos</w:t>
      </w:r>
      <w:r w:rsidRPr="00985CEA">
        <w:rPr>
          <w:rFonts w:eastAsiaTheme="minorHAnsi"/>
          <w:lang w:val="es-ES" w:eastAsia="en-US"/>
        </w:rPr>
        <w:t>: Estudios preclínicos, fármaco-toxicológicos y farmacológicos o toxicológicos.</w:t>
      </w:r>
    </w:p>
    <w:p w14:paraId="24CF2E38" w14:textId="49FDC627" w:rsidR="00985CEA" w:rsidRPr="00985CEA" w:rsidRDefault="00985CEA" w:rsidP="00985CEA">
      <w:pPr>
        <w:spacing w:line="360" w:lineRule="auto"/>
        <w:jc w:val="both"/>
        <w:rPr>
          <w:rFonts w:eastAsiaTheme="minorHAnsi"/>
          <w:lang w:eastAsia="en-US"/>
        </w:rPr>
      </w:pPr>
      <w:r w:rsidRPr="00985CEA">
        <w:rPr>
          <w:rFonts w:eastAsiaTheme="minorHAnsi"/>
          <w:lang w:eastAsia="en-US"/>
        </w:rPr>
        <w:br/>
      </w:r>
      <w:r w:rsidR="007732C5">
        <w:rPr>
          <w:rFonts w:eastAsiaTheme="minorHAnsi"/>
          <w:lang w:val="es-ES" w:eastAsia="en-US"/>
        </w:rPr>
        <w:t>l</w:t>
      </w:r>
      <w:r w:rsidRPr="00985CEA">
        <w:rPr>
          <w:rFonts w:eastAsiaTheme="minorHAnsi"/>
          <w:lang w:val="es-ES" w:eastAsia="en-US"/>
        </w:rPr>
        <w:t>) </w:t>
      </w:r>
      <w:r w:rsidRPr="00985CEA">
        <w:rPr>
          <w:rFonts w:eastAsiaTheme="minorHAnsi"/>
          <w:b/>
          <w:bCs/>
          <w:lang w:val="es-ES" w:eastAsia="en-US"/>
        </w:rPr>
        <w:t>Estudios preclínicos</w:t>
      </w:r>
      <w:r w:rsidRPr="00985CEA">
        <w:rPr>
          <w:rFonts w:eastAsiaTheme="minorHAnsi"/>
          <w:lang w:val="es-ES" w:eastAsia="en-US"/>
        </w:rPr>
        <w:t xml:space="preserve">: Conjunto de estudios para el desarrollo de un medicamento que </w:t>
      </w:r>
      <w:r w:rsidRPr="00985CEA">
        <w:rPr>
          <w:rFonts w:eastAsiaTheme="minorHAnsi"/>
          <w:lang w:val="es-ES" w:eastAsia="en-US"/>
        </w:rPr>
        <w:lastRenderedPageBreak/>
        <w:t>se efectúan in vitro o en animales de experimentación y que se diseñan para obtener la información necesaria para decidir si se justifican estudios más amplios en seres humanos, sin exponerlos a riesgos injustificados.</w:t>
      </w:r>
    </w:p>
    <w:p w14:paraId="42D20C96" w14:textId="27A79BAA" w:rsidR="00985CEA" w:rsidRPr="00985CEA" w:rsidRDefault="00985CEA" w:rsidP="00985CEA">
      <w:pPr>
        <w:spacing w:line="360" w:lineRule="auto"/>
        <w:jc w:val="both"/>
        <w:rPr>
          <w:rFonts w:eastAsiaTheme="minorHAnsi"/>
          <w:lang w:eastAsia="en-US"/>
        </w:rPr>
      </w:pPr>
      <w:r w:rsidRPr="00985CEA">
        <w:rPr>
          <w:rFonts w:eastAsiaTheme="minorHAnsi"/>
          <w:lang w:eastAsia="en-US"/>
        </w:rPr>
        <w:br/>
      </w:r>
      <w:r w:rsidR="007732C5">
        <w:rPr>
          <w:rFonts w:eastAsiaTheme="minorHAnsi"/>
          <w:lang w:val="es-ES" w:eastAsia="en-US"/>
        </w:rPr>
        <w:t>m</w:t>
      </w:r>
      <w:r w:rsidRPr="00985CEA">
        <w:rPr>
          <w:rFonts w:eastAsiaTheme="minorHAnsi"/>
          <w:lang w:val="es-ES" w:eastAsia="en-US"/>
        </w:rPr>
        <w:t>) </w:t>
      </w:r>
      <w:r w:rsidRPr="00985CEA">
        <w:rPr>
          <w:rFonts w:eastAsiaTheme="minorHAnsi"/>
          <w:b/>
          <w:bCs/>
          <w:lang w:val="es-ES" w:eastAsia="en-US"/>
        </w:rPr>
        <w:t>Equivalente farmacéutico</w:t>
      </w:r>
      <w:r w:rsidRPr="00985CEA">
        <w:rPr>
          <w:rFonts w:eastAsiaTheme="minorHAnsi"/>
          <w:lang w:val="es-ES" w:eastAsia="en-US"/>
        </w:rPr>
        <w:t>: los productos son equivalentes farmacéuticos si contienen la misma dosis molar del mismo principio activo en la misma forma de dosificación, si cumplen con estándares comparables y si están destinados a ser administrados por la misma vía. La equivalencia farmacéutica no implica necesariamente equivalencia terapéutica, ya que las diferencias en las propiedades del estado sólido del principio activo, los excipientes, el proceso de fabricación, así como otras variables pueden llevar a diferencias en el desempeño del producto.</w:t>
      </w:r>
    </w:p>
    <w:p w14:paraId="476A8E83" w14:textId="77777777" w:rsidR="00985CEA" w:rsidRDefault="00985CEA" w:rsidP="00985CEA">
      <w:pPr>
        <w:spacing w:line="360" w:lineRule="auto"/>
        <w:jc w:val="both"/>
        <w:rPr>
          <w:rFonts w:eastAsiaTheme="minorHAnsi"/>
          <w:lang w:eastAsia="en-US"/>
        </w:rPr>
      </w:pPr>
    </w:p>
    <w:p w14:paraId="358183C8" w14:textId="640B85E6" w:rsidR="00985CEA" w:rsidRPr="00DC4B88" w:rsidRDefault="007732C5" w:rsidP="00985CEA">
      <w:pPr>
        <w:spacing w:line="360" w:lineRule="auto"/>
        <w:jc w:val="both"/>
        <w:rPr>
          <w:rFonts w:eastAsiaTheme="minorHAnsi"/>
          <w:lang w:val="es-ES" w:eastAsia="en-US"/>
        </w:rPr>
      </w:pPr>
      <w:r>
        <w:rPr>
          <w:rFonts w:eastAsiaTheme="minorHAnsi"/>
          <w:lang w:eastAsia="en-US"/>
        </w:rPr>
        <w:t>n</w:t>
      </w:r>
      <w:r w:rsidR="00985CEA" w:rsidRPr="00985CEA">
        <w:rPr>
          <w:rFonts w:eastAsiaTheme="minorHAnsi"/>
          <w:lang w:eastAsia="en-US"/>
        </w:rPr>
        <w:t>) </w:t>
      </w:r>
      <w:r w:rsidR="00985CEA" w:rsidRPr="00985CEA">
        <w:rPr>
          <w:rFonts w:eastAsiaTheme="minorHAnsi"/>
          <w:b/>
          <w:bCs/>
          <w:lang w:eastAsia="en-US"/>
        </w:rPr>
        <w:t>Equivalente terapéutico</w:t>
      </w:r>
      <w:r w:rsidR="00985CEA" w:rsidRPr="00985CEA">
        <w:rPr>
          <w:rFonts w:eastAsiaTheme="minorHAnsi"/>
          <w:lang w:eastAsia="en-US"/>
        </w:rPr>
        <w:t>:</w:t>
      </w:r>
      <w:r w:rsidR="00DC4B88">
        <w:rPr>
          <w:rFonts w:eastAsiaTheme="minorHAnsi"/>
          <w:lang w:eastAsia="en-US"/>
        </w:rPr>
        <w:t xml:space="preserve"> </w:t>
      </w:r>
      <w:r w:rsidR="00DC4B88" w:rsidRPr="00DC4B88">
        <w:rPr>
          <w:rFonts w:eastAsiaTheme="minorHAnsi"/>
          <w:lang w:eastAsia="en-US"/>
        </w:rPr>
        <w:t>dos productos farmacéuticos son considerados equivalentes terapéuticos si,</w:t>
      </w:r>
      <w:r w:rsidR="00DC4B88">
        <w:rPr>
          <w:rFonts w:eastAsiaTheme="minorHAnsi"/>
          <w:lang w:eastAsia="en-US"/>
        </w:rPr>
        <w:t xml:space="preserve"> S</w:t>
      </w:r>
      <w:r w:rsidR="00DC4B88" w:rsidRPr="00DC4B88">
        <w:rPr>
          <w:rFonts w:eastAsiaTheme="minorHAnsi"/>
          <w:lang w:eastAsia="en-US"/>
        </w:rPr>
        <w:t>on equivalentes farmacéuticos o alternativas farmacéuticas y después de la ala administración de la misma dosis molar, sus efectos respecto a eficacia y seguridad son esencialmente los mismos cuando son administrados a pacientes por la misma vía de administración y condiciones especificadas en el etiquetado. Esto puede demostrarse mediante estudios de equivalencia, tales como estudios farmacocinéticos, farmacodinámicos o estudios in vitro.</w:t>
      </w:r>
    </w:p>
    <w:p w14:paraId="44A95FFB" w14:textId="290D9EA3" w:rsidR="00985CEA" w:rsidRPr="00985CEA" w:rsidRDefault="00985CEA" w:rsidP="00985CEA">
      <w:pPr>
        <w:spacing w:line="360" w:lineRule="auto"/>
        <w:jc w:val="both"/>
        <w:rPr>
          <w:rFonts w:eastAsiaTheme="minorHAnsi"/>
          <w:lang w:eastAsia="en-US"/>
        </w:rPr>
      </w:pPr>
    </w:p>
    <w:p w14:paraId="30D3EF3C" w14:textId="291CAACA" w:rsidR="00985CEA" w:rsidRPr="00985CEA" w:rsidRDefault="007732C5" w:rsidP="00985CEA">
      <w:pPr>
        <w:spacing w:line="360" w:lineRule="auto"/>
        <w:jc w:val="both"/>
        <w:rPr>
          <w:rFonts w:eastAsiaTheme="minorHAnsi"/>
          <w:lang w:eastAsia="en-US"/>
        </w:rPr>
      </w:pPr>
      <w:r>
        <w:rPr>
          <w:rFonts w:eastAsiaTheme="minorHAnsi"/>
          <w:lang w:val="es-ES" w:eastAsia="en-US"/>
        </w:rPr>
        <w:t>o</w:t>
      </w:r>
      <w:r w:rsidR="00985CEA" w:rsidRPr="00985CEA">
        <w:rPr>
          <w:rFonts w:eastAsiaTheme="minorHAnsi"/>
          <w:lang w:val="es-ES" w:eastAsia="en-US"/>
        </w:rPr>
        <w:t>) </w:t>
      </w:r>
      <w:r w:rsidR="00985CEA" w:rsidRPr="00985CEA">
        <w:rPr>
          <w:rFonts w:eastAsiaTheme="minorHAnsi"/>
          <w:b/>
          <w:bCs/>
          <w:lang w:val="es-ES" w:eastAsia="en-US"/>
        </w:rPr>
        <w:t>Listado priorizado</w:t>
      </w:r>
      <w:r w:rsidR="00985CEA" w:rsidRPr="00985CEA">
        <w:rPr>
          <w:rFonts w:eastAsiaTheme="minorHAnsi"/>
          <w:lang w:val="es-ES" w:eastAsia="en-US"/>
        </w:rPr>
        <w:t>: Documento emitido por el Ministerio en el que, siguiendo criterios de riesgo sanitario, se clasifican los productos a los cuales se les aplicarán las disposiciones contenidas en la regulación de equivalencia terapéutica nacional.</w:t>
      </w:r>
    </w:p>
    <w:p w14:paraId="4CB8B954" w14:textId="4BD0BFE1" w:rsidR="00985CEA" w:rsidRPr="00985CEA" w:rsidRDefault="00985CEA" w:rsidP="00985CEA">
      <w:pPr>
        <w:spacing w:line="360" w:lineRule="auto"/>
        <w:jc w:val="both"/>
        <w:rPr>
          <w:rFonts w:eastAsiaTheme="minorHAnsi"/>
          <w:lang w:eastAsia="en-US"/>
        </w:rPr>
      </w:pPr>
      <w:r w:rsidRPr="00985CEA">
        <w:rPr>
          <w:rFonts w:eastAsiaTheme="minorHAnsi"/>
          <w:lang w:eastAsia="en-US"/>
        </w:rPr>
        <w:br/>
      </w:r>
      <w:r w:rsidR="007732C5">
        <w:rPr>
          <w:rFonts w:eastAsiaTheme="minorHAnsi"/>
          <w:lang w:eastAsia="en-US"/>
        </w:rPr>
        <w:t>p</w:t>
      </w:r>
      <w:r w:rsidRPr="00985CEA">
        <w:rPr>
          <w:rFonts w:eastAsiaTheme="minorHAnsi"/>
          <w:lang w:val="es-ES" w:eastAsia="en-US"/>
        </w:rPr>
        <w:t>) </w:t>
      </w:r>
      <w:r w:rsidRPr="00985CEA">
        <w:rPr>
          <w:rFonts w:eastAsiaTheme="minorHAnsi"/>
          <w:b/>
          <w:bCs/>
          <w:lang w:val="es-ES" w:eastAsia="en-US"/>
        </w:rPr>
        <w:t>Medicamento innovador</w:t>
      </w:r>
      <w:r w:rsidRPr="00985CEA">
        <w:rPr>
          <w:rFonts w:eastAsiaTheme="minorHAnsi"/>
          <w:lang w:val="es-ES" w:eastAsia="en-US"/>
        </w:rPr>
        <w:t>: generalmente el producto farmacéutico innovador es aquel que fue autorizado por primera vez en el mercado sobre la base de documentación completa de estudios de calidad, seguridad y eficacia.</w:t>
      </w:r>
    </w:p>
    <w:p w14:paraId="6042B276" w14:textId="225DF2EE" w:rsidR="00985CEA" w:rsidRPr="00985CEA" w:rsidRDefault="00985CEA" w:rsidP="00985CEA">
      <w:pPr>
        <w:spacing w:line="360" w:lineRule="auto"/>
        <w:jc w:val="both"/>
        <w:rPr>
          <w:rFonts w:eastAsiaTheme="minorHAnsi"/>
          <w:lang w:eastAsia="en-US"/>
        </w:rPr>
      </w:pPr>
      <w:r w:rsidRPr="00985CEA">
        <w:rPr>
          <w:rFonts w:eastAsiaTheme="minorHAnsi"/>
          <w:lang w:eastAsia="en-US"/>
        </w:rPr>
        <w:br/>
      </w:r>
      <w:r w:rsidR="007732C5">
        <w:rPr>
          <w:rFonts w:eastAsiaTheme="minorHAnsi"/>
          <w:lang w:val="es-ES" w:eastAsia="en-US"/>
        </w:rPr>
        <w:t>q</w:t>
      </w:r>
      <w:r w:rsidRPr="00985CEA">
        <w:rPr>
          <w:rFonts w:eastAsiaTheme="minorHAnsi"/>
          <w:lang w:val="es-ES" w:eastAsia="en-US"/>
        </w:rPr>
        <w:t>) </w:t>
      </w:r>
      <w:r w:rsidRPr="00985CEA">
        <w:rPr>
          <w:rFonts w:eastAsiaTheme="minorHAnsi"/>
          <w:b/>
          <w:bCs/>
          <w:lang w:val="es-ES" w:eastAsia="en-US"/>
        </w:rPr>
        <w:t>Medicamento multiorigen</w:t>
      </w:r>
      <w:r w:rsidRPr="00985CEA">
        <w:rPr>
          <w:rFonts w:eastAsiaTheme="minorHAnsi"/>
          <w:lang w:val="es-ES" w:eastAsia="en-US"/>
        </w:rPr>
        <w:t>: producto que es equivalente farmacéutico o alternativa farmacéutica y que puede o no ser equivalente terapéutico. Los medicamentos multiorigen que son equivalentes terapéuticos son intercambiables."</w:t>
      </w:r>
    </w:p>
    <w:p w14:paraId="1D1D3C98" w14:textId="093D6649" w:rsidR="00985CEA" w:rsidRPr="00985CEA" w:rsidRDefault="00985CEA" w:rsidP="00985CEA">
      <w:pPr>
        <w:spacing w:line="360" w:lineRule="auto"/>
        <w:jc w:val="both"/>
        <w:rPr>
          <w:rFonts w:eastAsiaTheme="minorHAnsi"/>
          <w:lang w:eastAsia="en-US"/>
        </w:rPr>
      </w:pPr>
      <w:r w:rsidRPr="00985CEA">
        <w:rPr>
          <w:rFonts w:eastAsiaTheme="minorHAnsi"/>
          <w:lang w:eastAsia="en-US"/>
        </w:rPr>
        <w:br/>
      </w:r>
      <w:r w:rsidR="007732C5">
        <w:rPr>
          <w:rFonts w:eastAsiaTheme="minorHAnsi"/>
          <w:lang w:val="es-ES" w:eastAsia="en-US"/>
        </w:rPr>
        <w:t>r</w:t>
      </w:r>
      <w:r w:rsidRPr="00985CEA">
        <w:rPr>
          <w:rFonts w:eastAsiaTheme="minorHAnsi"/>
          <w:lang w:val="es-ES" w:eastAsia="en-US"/>
        </w:rPr>
        <w:t>) </w:t>
      </w:r>
      <w:r w:rsidRPr="00985CEA">
        <w:rPr>
          <w:rFonts w:eastAsiaTheme="minorHAnsi"/>
          <w:b/>
          <w:bCs/>
          <w:lang w:val="es-ES" w:eastAsia="en-US"/>
        </w:rPr>
        <w:t>Nivel de Madurez 4</w:t>
      </w:r>
      <w:r w:rsidRPr="00985CEA">
        <w:rPr>
          <w:rFonts w:eastAsiaTheme="minorHAnsi"/>
          <w:lang w:val="es-ES" w:eastAsia="en-US"/>
        </w:rPr>
        <w:t xml:space="preserve">: en cuanto a la clasificación de autoridades realizada por la OMS, </w:t>
      </w:r>
      <w:r w:rsidRPr="00985CEA">
        <w:rPr>
          <w:rFonts w:eastAsiaTheme="minorHAnsi"/>
          <w:lang w:val="es-ES" w:eastAsia="en-US"/>
        </w:rPr>
        <w:lastRenderedPageBreak/>
        <w:t>se refiere a las autoridades reguladoras que cuentan con sistemas regulatorios que operan a un nivel avanzado de desempeño y mejora continua.</w:t>
      </w:r>
      <w:r>
        <w:rPr>
          <w:rFonts w:eastAsiaTheme="minorHAnsi"/>
          <w:lang w:val="es-ES" w:eastAsia="en-US"/>
        </w:rPr>
        <w:t>”</w:t>
      </w:r>
    </w:p>
    <w:p w14:paraId="5B9E122D" w14:textId="77777777" w:rsidR="00BB77E1" w:rsidRPr="00BB77E1" w:rsidRDefault="00BB77E1" w:rsidP="00A744C1">
      <w:pPr>
        <w:spacing w:line="360" w:lineRule="auto"/>
        <w:jc w:val="both"/>
        <w:rPr>
          <w:rFonts w:eastAsiaTheme="minorHAnsi"/>
          <w:lang w:val="es-ES" w:eastAsia="en-US"/>
        </w:rPr>
      </w:pPr>
    </w:p>
    <w:p w14:paraId="719E0405" w14:textId="19B952F3" w:rsidR="003E7F6C" w:rsidRPr="00BB77E1" w:rsidRDefault="001657DB" w:rsidP="00A744C1">
      <w:pPr>
        <w:spacing w:line="360" w:lineRule="auto"/>
        <w:jc w:val="both"/>
        <w:rPr>
          <w:rFonts w:eastAsiaTheme="minorHAnsi"/>
          <w:lang w:val="es-ES" w:eastAsia="en-US"/>
        </w:rPr>
      </w:pPr>
      <w:r>
        <w:rPr>
          <w:rFonts w:eastAsiaTheme="minorHAnsi"/>
          <w:lang w:eastAsia="en-US"/>
        </w:rPr>
        <w:t>“</w:t>
      </w:r>
      <w:r w:rsidRPr="001657DB">
        <w:rPr>
          <w:rFonts w:eastAsiaTheme="minorHAnsi"/>
          <w:lang w:eastAsia="en-US"/>
        </w:rPr>
        <w:t>Artículo 3º- Condiciones que deberán cumplir los informes concluyentes de estudios clínicos y no clínicos (preclínicos) de seguridad y eficacia,</w:t>
      </w:r>
      <w:r w:rsidR="006D6283">
        <w:rPr>
          <w:rFonts w:eastAsiaTheme="minorHAnsi"/>
          <w:lang w:eastAsia="en-US"/>
        </w:rPr>
        <w:t xml:space="preserve"> </w:t>
      </w:r>
      <w:r w:rsidRPr="001657DB">
        <w:rPr>
          <w:rFonts w:eastAsiaTheme="minorHAnsi"/>
          <w:lang w:eastAsia="en-US"/>
        </w:rPr>
        <w:t>bioequivalencia</w:t>
      </w:r>
      <w:r w:rsidR="006D6283">
        <w:rPr>
          <w:rFonts w:eastAsiaTheme="minorHAnsi"/>
          <w:lang w:eastAsia="en-US"/>
        </w:rPr>
        <w:t xml:space="preserve"> </w:t>
      </w:r>
      <w:r w:rsidRPr="001657DB">
        <w:rPr>
          <w:rFonts w:eastAsiaTheme="minorHAnsi"/>
          <w:lang w:eastAsia="en-US"/>
        </w:rPr>
        <w:t>o</w:t>
      </w:r>
      <w:r w:rsidR="006D6283">
        <w:rPr>
          <w:rFonts w:eastAsiaTheme="minorHAnsi"/>
          <w:lang w:eastAsia="en-US"/>
        </w:rPr>
        <w:t xml:space="preserve"> </w:t>
      </w:r>
      <w:r w:rsidRPr="001657DB">
        <w:rPr>
          <w:rFonts w:eastAsiaTheme="minorHAnsi"/>
          <w:lang w:eastAsia="en-US"/>
        </w:rPr>
        <w:t>biosimilitud</w:t>
      </w:r>
      <w:r w:rsidR="006D6283">
        <w:rPr>
          <w:rFonts w:eastAsiaTheme="minorHAnsi"/>
          <w:lang w:eastAsia="en-US"/>
        </w:rPr>
        <w:t xml:space="preserve"> </w:t>
      </w:r>
      <w:r w:rsidRPr="001657DB">
        <w:rPr>
          <w:rFonts w:eastAsiaTheme="minorHAnsi"/>
          <w:lang w:eastAsia="en-US"/>
        </w:rPr>
        <w:t>de un medicamento para que el Ministerio pueda reconocer su evaluación y aprobación:</w:t>
      </w:r>
    </w:p>
    <w:p w14:paraId="7862427B" w14:textId="77777777" w:rsidR="001657DB" w:rsidRDefault="001657DB" w:rsidP="00A744C1">
      <w:pPr>
        <w:spacing w:line="360" w:lineRule="auto"/>
        <w:jc w:val="both"/>
        <w:rPr>
          <w:rFonts w:eastAsiaTheme="minorHAnsi"/>
          <w:lang w:val="es-ES" w:eastAsia="en-US"/>
        </w:rPr>
      </w:pPr>
    </w:p>
    <w:p w14:paraId="08247974" w14:textId="2DF4DEE7" w:rsidR="00BB77E1" w:rsidRPr="00BB77E1" w:rsidRDefault="00BB77E1" w:rsidP="00A744C1">
      <w:pPr>
        <w:spacing w:line="360" w:lineRule="auto"/>
        <w:jc w:val="both"/>
        <w:rPr>
          <w:rFonts w:eastAsiaTheme="minorHAnsi"/>
          <w:lang w:val="es-ES" w:eastAsia="en-US"/>
        </w:rPr>
      </w:pPr>
      <w:r w:rsidRPr="00BB77E1">
        <w:rPr>
          <w:rFonts w:eastAsiaTheme="minorHAnsi"/>
          <w:lang w:val="es-ES" w:eastAsia="en-US"/>
        </w:rPr>
        <w:t>(...)</w:t>
      </w:r>
    </w:p>
    <w:p w14:paraId="28C24DAD" w14:textId="77777777" w:rsidR="00BB77E1" w:rsidRPr="00BB77E1" w:rsidRDefault="00BB77E1" w:rsidP="00A744C1">
      <w:pPr>
        <w:spacing w:line="360" w:lineRule="auto"/>
        <w:jc w:val="both"/>
        <w:rPr>
          <w:rFonts w:eastAsiaTheme="minorHAnsi"/>
          <w:lang w:val="es-ES" w:eastAsia="en-US"/>
        </w:rPr>
      </w:pPr>
    </w:p>
    <w:p w14:paraId="6842842B" w14:textId="3ED8A232" w:rsidR="00BB77E1" w:rsidRDefault="001657DB" w:rsidP="00A744C1">
      <w:pPr>
        <w:spacing w:line="360" w:lineRule="auto"/>
        <w:jc w:val="both"/>
        <w:rPr>
          <w:rFonts w:eastAsiaTheme="minorHAnsi"/>
          <w:lang w:val="es-ES" w:eastAsia="en-US"/>
        </w:rPr>
      </w:pPr>
      <w:r>
        <w:rPr>
          <w:rFonts w:eastAsiaTheme="minorHAnsi"/>
          <w:lang w:val="es-ES" w:eastAsia="en-US"/>
        </w:rPr>
        <w:t xml:space="preserve">d) </w:t>
      </w:r>
      <w:r w:rsidRPr="001657DB">
        <w:rPr>
          <w:rFonts w:eastAsiaTheme="minorHAnsi"/>
          <w:lang w:eastAsia="en-US"/>
        </w:rPr>
        <w:t>El Ministerio de Salud, en el ejercicio de sus competencias, podrá requerir al solicitante la presentación de información adicional relacionada con los estudios clínicos y no clínicos, incluidos datos, análisis o documentación complementaria, cuando por razones debidamente fundamentadas de salud pública, seguridad sanitaria o evaluación del beneficio-riesgo del medicamento así se estime necesario, con el fin de asegurar una adecuada valoración de su calidad, seguridad y eficacia.</w:t>
      </w:r>
    </w:p>
    <w:p w14:paraId="53917CF9" w14:textId="77777777" w:rsidR="003055C9" w:rsidRDefault="003055C9" w:rsidP="00A744C1">
      <w:pPr>
        <w:spacing w:line="360" w:lineRule="auto"/>
        <w:jc w:val="both"/>
        <w:rPr>
          <w:color w:val="000000"/>
        </w:rPr>
      </w:pPr>
    </w:p>
    <w:p w14:paraId="5FC3DA98" w14:textId="2CF6B5F4" w:rsidR="00F762F2" w:rsidRDefault="007B486F" w:rsidP="00A744C1">
      <w:pPr>
        <w:spacing w:line="360" w:lineRule="auto"/>
        <w:jc w:val="both"/>
        <w:rPr>
          <w:b/>
          <w:bCs/>
          <w:lang w:val="es-ES"/>
        </w:rPr>
      </w:pPr>
      <w:r w:rsidRPr="00815FFD">
        <w:rPr>
          <w:b/>
          <w:bCs/>
          <w:lang w:val="es-ES"/>
        </w:rPr>
        <w:t xml:space="preserve">Artículo </w:t>
      </w:r>
      <w:r w:rsidR="001657DB">
        <w:rPr>
          <w:b/>
          <w:bCs/>
          <w:lang w:val="es-ES"/>
        </w:rPr>
        <w:t>2</w:t>
      </w:r>
      <w:r w:rsidR="00224B2E">
        <w:rPr>
          <w:b/>
          <w:bCs/>
          <w:lang w:val="es-ES"/>
        </w:rPr>
        <w:t>.</w:t>
      </w:r>
      <w:r w:rsidR="009E3924" w:rsidRPr="00815FFD">
        <w:rPr>
          <w:b/>
          <w:bCs/>
          <w:lang w:val="es-ES"/>
        </w:rPr>
        <w:t xml:space="preserve">- </w:t>
      </w:r>
      <w:r w:rsidR="009E3924" w:rsidRPr="00815FFD">
        <w:rPr>
          <w:lang w:val="es-ES"/>
        </w:rPr>
        <w:t xml:space="preserve">El presente Decreto Ejecutivo empieza a regir </w:t>
      </w:r>
      <w:r w:rsidR="00574682">
        <w:rPr>
          <w:lang w:val="es-ES"/>
        </w:rPr>
        <w:t xml:space="preserve">a partir de </w:t>
      </w:r>
      <w:r w:rsidR="009E3924" w:rsidRPr="00815FFD">
        <w:rPr>
          <w:lang w:val="es-ES"/>
        </w:rPr>
        <w:t>su publicación en el diario oficial La Gaceta.</w:t>
      </w:r>
    </w:p>
    <w:p w14:paraId="786F6825" w14:textId="1B3E9639" w:rsidR="009D5157" w:rsidRPr="00A77336" w:rsidRDefault="009D5157" w:rsidP="00A744C1">
      <w:pPr>
        <w:spacing w:line="360" w:lineRule="auto"/>
      </w:pPr>
    </w:p>
    <w:p w14:paraId="64FB5C09" w14:textId="57F788CD" w:rsidR="009D5157" w:rsidRPr="00A77336" w:rsidRDefault="009D5157" w:rsidP="00A744C1">
      <w:pPr>
        <w:spacing w:line="360" w:lineRule="auto"/>
        <w:jc w:val="both"/>
        <w:rPr>
          <w:color w:val="000000"/>
        </w:rPr>
      </w:pPr>
      <w:r w:rsidRPr="00A77336">
        <w:rPr>
          <w:color w:val="000000"/>
        </w:rPr>
        <w:t xml:space="preserve">Dado en la Presidencia de la </w:t>
      </w:r>
      <w:r w:rsidR="000F597E" w:rsidRPr="00A77336">
        <w:rPr>
          <w:color w:val="000000"/>
        </w:rPr>
        <w:t>República. -</w:t>
      </w:r>
      <w:r w:rsidRPr="00A77336">
        <w:rPr>
          <w:color w:val="000000"/>
        </w:rPr>
        <w:t xml:space="preserve">San José, a los XX días del mes de XX del dos mil </w:t>
      </w:r>
      <w:r w:rsidR="009E3924" w:rsidRPr="00A77336">
        <w:rPr>
          <w:color w:val="000000"/>
        </w:rPr>
        <w:t>veinti</w:t>
      </w:r>
      <w:r w:rsidR="009E3924">
        <w:rPr>
          <w:color w:val="000000"/>
        </w:rPr>
        <w:t>séis</w:t>
      </w:r>
      <w:r w:rsidRPr="00A77336">
        <w:rPr>
          <w:color w:val="000000"/>
        </w:rPr>
        <w:t>.</w:t>
      </w:r>
    </w:p>
    <w:p w14:paraId="1FE61A6D" w14:textId="3C46B667" w:rsidR="007F478F" w:rsidRDefault="007F478F" w:rsidP="00A744C1">
      <w:pPr>
        <w:spacing w:line="360" w:lineRule="auto"/>
        <w:jc w:val="both"/>
        <w:rPr>
          <w:lang w:val="es-ES"/>
        </w:rPr>
      </w:pPr>
    </w:p>
    <w:p w14:paraId="0359543E" w14:textId="77777777" w:rsidR="00F67FB0" w:rsidRDefault="00F67FB0" w:rsidP="00A744C1">
      <w:pPr>
        <w:spacing w:line="360" w:lineRule="auto"/>
        <w:jc w:val="both"/>
        <w:rPr>
          <w:lang w:val="es-ES"/>
        </w:rPr>
      </w:pPr>
    </w:p>
    <w:p w14:paraId="68AB6502" w14:textId="77777777" w:rsidR="00F67FB0" w:rsidRDefault="00F67FB0" w:rsidP="00A744C1">
      <w:pPr>
        <w:spacing w:line="360" w:lineRule="auto"/>
        <w:jc w:val="both"/>
        <w:rPr>
          <w:lang w:val="es-ES"/>
        </w:rPr>
      </w:pPr>
    </w:p>
    <w:p w14:paraId="41AAA704" w14:textId="31D32334" w:rsidR="00F67FB0" w:rsidRPr="00F67FB0" w:rsidRDefault="00C37F23" w:rsidP="00A744C1">
      <w:pPr>
        <w:spacing w:line="360" w:lineRule="auto"/>
        <w:jc w:val="center"/>
        <w:rPr>
          <w:b/>
          <w:bCs/>
          <w:lang w:val="es-MX"/>
        </w:rPr>
      </w:pPr>
      <w:r>
        <w:rPr>
          <w:b/>
          <w:bCs/>
          <w:lang w:val="es-MX"/>
        </w:rPr>
        <w:t>LAURA FERNÁNDEZ DELGA</w:t>
      </w:r>
      <w:r w:rsidR="00815FFD">
        <w:rPr>
          <w:b/>
          <w:bCs/>
          <w:lang w:val="es-MX"/>
        </w:rPr>
        <w:t>D</w:t>
      </w:r>
      <w:r>
        <w:rPr>
          <w:b/>
          <w:bCs/>
          <w:lang w:val="es-MX"/>
        </w:rPr>
        <w:t>O</w:t>
      </w:r>
    </w:p>
    <w:p w14:paraId="629EAFF2" w14:textId="77777777" w:rsidR="00F67FB0" w:rsidRDefault="00F67FB0" w:rsidP="00A744C1">
      <w:pPr>
        <w:spacing w:line="360" w:lineRule="auto"/>
        <w:jc w:val="center"/>
        <w:rPr>
          <w:b/>
          <w:bCs/>
          <w:lang w:val="es-MX"/>
        </w:rPr>
      </w:pPr>
    </w:p>
    <w:p w14:paraId="77DE2236" w14:textId="77777777" w:rsidR="00453B14" w:rsidRPr="00F67FB0" w:rsidRDefault="00453B14" w:rsidP="00A744C1">
      <w:pPr>
        <w:spacing w:line="360" w:lineRule="auto"/>
        <w:jc w:val="center"/>
        <w:rPr>
          <w:b/>
          <w:bCs/>
          <w:lang w:val="es-MX"/>
        </w:rPr>
      </w:pPr>
    </w:p>
    <w:p w14:paraId="1B2257A2" w14:textId="77777777" w:rsidR="00F67FB0" w:rsidRPr="00F67FB0" w:rsidRDefault="00F67FB0" w:rsidP="00A744C1">
      <w:pPr>
        <w:spacing w:line="360" w:lineRule="auto"/>
        <w:jc w:val="center"/>
        <w:rPr>
          <w:b/>
          <w:bCs/>
          <w:lang w:val="es-MX"/>
        </w:rPr>
      </w:pPr>
    </w:p>
    <w:p w14:paraId="77E29CA2" w14:textId="618F9B09" w:rsidR="00F67FB0" w:rsidRPr="00F67FB0" w:rsidRDefault="00F04E61" w:rsidP="00A744C1">
      <w:pPr>
        <w:spacing w:line="360" w:lineRule="auto"/>
        <w:jc w:val="center"/>
        <w:rPr>
          <w:b/>
          <w:bCs/>
          <w:lang w:val="es-MX"/>
        </w:rPr>
      </w:pPr>
      <w:r>
        <w:rPr>
          <w:b/>
          <w:bCs/>
          <w:lang w:val="es-MX"/>
        </w:rPr>
        <w:t xml:space="preserve">DR. </w:t>
      </w:r>
      <w:r w:rsidR="00B36F80">
        <w:rPr>
          <w:b/>
          <w:bCs/>
          <w:lang w:val="es-MX"/>
        </w:rPr>
        <w:t>ALEXANDER SÁNCHEZ CABO</w:t>
      </w:r>
    </w:p>
    <w:p w14:paraId="7615E978" w14:textId="10359082" w:rsidR="00F67FB0" w:rsidRPr="00A77336" w:rsidRDefault="00F67FB0" w:rsidP="00A744C1">
      <w:pPr>
        <w:spacing w:line="360" w:lineRule="auto"/>
        <w:jc w:val="center"/>
        <w:rPr>
          <w:lang w:val="es-ES"/>
        </w:rPr>
      </w:pPr>
      <w:r w:rsidRPr="00F67FB0">
        <w:rPr>
          <w:b/>
          <w:bCs/>
          <w:lang w:val="es-MX"/>
        </w:rPr>
        <w:t>MINISTR</w:t>
      </w:r>
      <w:r w:rsidR="00C37F23">
        <w:rPr>
          <w:b/>
          <w:bCs/>
          <w:lang w:val="es-MX"/>
        </w:rPr>
        <w:t>O</w:t>
      </w:r>
      <w:r w:rsidRPr="00F67FB0">
        <w:rPr>
          <w:b/>
          <w:bCs/>
          <w:lang w:val="es-MX"/>
        </w:rPr>
        <w:t xml:space="preserve"> DE SALUD</w:t>
      </w:r>
    </w:p>
    <w:sectPr w:rsidR="00F67FB0" w:rsidRPr="00A77336">
      <w:headerReference w:type="even" r:id="rId11"/>
      <w:headerReference w:type="default" r:id="rId12"/>
      <w:footerReference w:type="default" r:id="rId13"/>
      <w:head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E48F9" w14:textId="77777777" w:rsidR="00993597" w:rsidRDefault="00993597" w:rsidP="00BD276C">
      <w:r>
        <w:separator/>
      </w:r>
    </w:p>
  </w:endnote>
  <w:endnote w:type="continuationSeparator" w:id="0">
    <w:p w14:paraId="64C56623" w14:textId="77777777" w:rsidR="00993597" w:rsidRDefault="00993597" w:rsidP="00BD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237394"/>
      <w:docPartObj>
        <w:docPartGallery w:val="Page Numbers (Bottom of Page)"/>
        <w:docPartUnique/>
      </w:docPartObj>
    </w:sdtPr>
    <w:sdtContent>
      <w:p w14:paraId="5667A6BE" w14:textId="0FD4B6AD" w:rsidR="00BD276C" w:rsidRDefault="00BD276C">
        <w:pPr>
          <w:pStyle w:val="Piedepgina"/>
          <w:jc w:val="right"/>
        </w:pPr>
        <w:r>
          <w:fldChar w:fldCharType="begin"/>
        </w:r>
        <w:r>
          <w:instrText>PAGE   \* MERGEFORMAT</w:instrText>
        </w:r>
        <w:r>
          <w:fldChar w:fldCharType="separate"/>
        </w:r>
        <w:r>
          <w:rPr>
            <w:lang w:val="es-ES"/>
          </w:rPr>
          <w:t>2</w:t>
        </w:r>
        <w:r>
          <w:fldChar w:fldCharType="end"/>
        </w:r>
      </w:p>
    </w:sdtContent>
  </w:sdt>
  <w:p w14:paraId="1B01CB6E" w14:textId="77777777" w:rsidR="00BD276C" w:rsidRDefault="00BD27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DD38" w14:textId="77777777" w:rsidR="00993597" w:rsidRDefault="00993597" w:rsidP="00BD276C">
      <w:r>
        <w:separator/>
      </w:r>
    </w:p>
  </w:footnote>
  <w:footnote w:type="continuationSeparator" w:id="0">
    <w:p w14:paraId="77538423" w14:textId="77777777" w:rsidR="00993597" w:rsidRDefault="00993597" w:rsidP="00BD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0FB3" w14:textId="32B1928E" w:rsidR="00BD276C" w:rsidRDefault="00000000">
    <w:pPr>
      <w:pStyle w:val="Encabezado"/>
    </w:pPr>
    <w:r>
      <w:rPr>
        <w:noProof/>
      </w:rPr>
      <w:pict w14:anchorId="1577D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519844" o:spid="_x0000_s1026" type="#_x0000_t136" style="position:absolute;margin-left:0;margin-top:0;width:479.55pt;height:119.85pt;rotation:315;z-index:-251658239;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428F" w14:textId="5512A206" w:rsidR="00BD276C" w:rsidRPr="006D6283" w:rsidRDefault="00000000" w:rsidP="006D6283">
    <w:pPr>
      <w:pStyle w:val="Encabezado"/>
      <w:jc w:val="center"/>
      <w:rPr>
        <w:b/>
        <w:bCs/>
      </w:rPr>
    </w:pPr>
    <w:r>
      <w:rPr>
        <w:b/>
        <w:bCs/>
        <w:noProof/>
      </w:rPr>
      <w:pict w14:anchorId="0B073A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519845" o:spid="_x0000_s1027" type="#_x0000_t136" style="position:absolute;left:0;text-align:left;margin-left:0;margin-top:0;width:479.55pt;height:119.85pt;rotation:315;z-index:-251658238;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r w:rsidR="006D6283" w:rsidRPr="006D6283">
      <w:rPr>
        <w:b/>
        <w:bCs/>
      </w:rPr>
      <w:t>BORRADOR VISTO BUENO DEL DESPACHO MINISTERIAL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7D10" w14:textId="20B6A9D7" w:rsidR="00BD276C" w:rsidRDefault="00000000">
    <w:pPr>
      <w:pStyle w:val="Encabezado"/>
    </w:pPr>
    <w:r>
      <w:rPr>
        <w:noProof/>
      </w:rPr>
      <w:pict w14:anchorId="55FB3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519843" o:spid="_x0000_s1025" type="#_x0000_t136" style="position:absolute;margin-left:0;margin-top:0;width:479.55pt;height:119.85pt;rotation:315;z-index:-251658240;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44654"/>
    <w:multiLevelType w:val="hybridMultilevel"/>
    <w:tmpl w:val="9BF8041E"/>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B865DAD"/>
    <w:multiLevelType w:val="hybridMultilevel"/>
    <w:tmpl w:val="F9524084"/>
    <w:lvl w:ilvl="0" w:tplc="04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3B36527"/>
    <w:multiLevelType w:val="hybridMultilevel"/>
    <w:tmpl w:val="1F4E742A"/>
    <w:lvl w:ilvl="0" w:tplc="9B70878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FF24CD7"/>
    <w:multiLevelType w:val="hybridMultilevel"/>
    <w:tmpl w:val="33FCC28E"/>
    <w:lvl w:ilvl="0" w:tplc="60726F64">
      <w:start w:val="1"/>
      <w:numFmt w:val="bullet"/>
      <w:lvlText w:val=""/>
      <w:lvlJc w:val="left"/>
      <w:pPr>
        <w:ind w:left="1080" w:hanging="360"/>
      </w:pPr>
      <w:rPr>
        <w:rFonts w:ascii="Symbol" w:hAnsi="Symbol"/>
      </w:rPr>
    </w:lvl>
    <w:lvl w:ilvl="1" w:tplc="A914F960">
      <w:start w:val="1"/>
      <w:numFmt w:val="bullet"/>
      <w:lvlText w:val=""/>
      <w:lvlJc w:val="left"/>
      <w:pPr>
        <w:ind w:left="1080" w:hanging="360"/>
      </w:pPr>
      <w:rPr>
        <w:rFonts w:ascii="Symbol" w:hAnsi="Symbol"/>
      </w:rPr>
    </w:lvl>
    <w:lvl w:ilvl="2" w:tplc="94E827C0">
      <w:start w:val="1"/>
      <w:numFmt w:val="bullet"/>
      <w:lvlText w:val=""/>
      <w:lvlJc w:val="left"/>
      <w:pPr>
        <w:ind w:left="1080" w:hanging="360"/>
      </w:pPr>
      <w:rPr>
        <w:rFonts w:ascii="Symbol" w:hAnsi="Symbol"/>
      </w:rPr>
    </w:lvl>
    <w:lvl w:ilvl="3" w:tplc="3FFE66A0">
      <w:start w:val="1"/>
      <w:numFmt w:val="bullet"/>
      <w:lvlText w:val=""/>
      <w:lvlJc w:val="left"/>
      <w:pPr>
        <w:ind w:left="1080" w:hanging="360"/>
      </w:pPr>
      <w:rPr>
        <w:rFonts w:ascii="Symbol" w:hAnsi="Symbol"/>
      </w:rPr>
    </w:lvl>
    <w:lvl w:ilvl="4" w:tplc="7FF8E944">
      <w:start w:val="1"/>
      <w:numFmt w:val="bullet"/>
      <w:lvlText w:val=""/>
      <w:lvlJc w:val="left"/>
      <w:pPr>
        <w:ind w:left="1080" w:hanging="360"/>
      </w:pPr>
      <w:rPr>
        <w:rFonts w:ascii="Symbol" w:hAnsi="Symbol"/>
      </w:rPr>
    </w:lvl>
    <w:lvl w:ilvl="5" w:tplc="8D883572">
      <w:start w:val="1"/>
      <w:numFmt w:val="bullet"/>
      <w:lvlText w:val=""/>
      <w:lvlJc w:val="left"/>
      <w:pPr>
        <w:ind w:left="1080" w:hanging="360"/>
      </w:pPr>
      <w:rPr>
        <w:rFonts w:ascii="Symbol" w:hAnsi="Symbol"/>
      </w:rPr>
    </w:lvl>
    <w:lvl w:ilvl="6" w:tplc="B7DABE5E">
      <w:start w:val="1"/>
      <w:numFmt w:val="bullet"/>
      <w:lvlText w:val=""/>
      <w:lvlJc w:val="left"/>
      <w:pPr>
        <w:ind w:left="1080" w:hanging="360"/>
      </w:pPr>
      <w:rPr>
        <w:rFonts w:ascii="Symbol" w:hAnsi="Symbol"/>
      </w:rPr>
    </w:lvl>
    <w:lvl w:ilvl="7" w:tplc="C062EFD0">
      <w:start w:val="1"/>
      <w:numFmt w:val="bullet"/>
      <w:lvlText w:val=""/>
      <w:lvlJc w:val="left"/>
      <w:pPr>
        <w:ind w:left="1080" w:hanging="360"/>
      </w:pPr>
      <w:rPr>
        <w:rFonts w:ascii="Symbol" w:hAnsi="Symbol"/>
      </w:rPr>
    </w:lvl>
    <w:lvl w:ilvl="8" w:tplc="A5067086">
      <w:start w:val="1"/>
      <w:numFmt w:val="bullet"/>
      <w:lvlText w:val=""/>
      <w:lvlJc w:val="left"/>
      <w:pPr>
        <w:ind w:left="1080" w:hanging="360"/>
      </w:pPr>
      <w:rPr>
        <w:rFonts w:ascii="Symbol" w:hAnsi="Symbol"/>
      </w:rPr>
    </w:lvl>
  </w:abstractNum>
  <w:abstractNum w:abstractNumId="4" w15:restartNumberingAfterBreak="0">
    <w:nsid w:val="60CB126D"/>
    <w:multiLevelType w:val="hybridMultilevel"/>
    <w:tmpl w:val="2ABA7F8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690C4246"/>
    <w:multiLevelType w:val="hybridMultilevel"/>
    <w:tmpl w:val="769E1040"/>
    <w:lvl w:ilvl="0" w:tplc="B9360564">
      <w:start w:val="1"/>
      <w:numFmt w:val="bullet"/>
      <w:lvlText w:val=""/>
      <w:lvlJc w:val="left"/>
      <w:pPr>
        <w:ind w:left="1080" w:hanging="360"/>
      </w:pPr>
      <w:rPr>
        <w:rFonts w:ascii="Symbol" w:hAnsi="Symbol"/>
      </w:rPr>
    </w:lvl>
    <w:lvl w:ilvl="1" w:tplc="0EDC85D8">
      <w:start w:val="1"/>
      <w:numFmt w:val="bullet"/>
      <w:lvlText w:val=""/>
      <w:lvlJc w:val="left"/>
      <w:pPr>
        <w:ind w:left="1080" w:hanging="360"/>
      </w:pPr>
      <w:rPr>
        <w:rFonts w:ascii="Symbol" w:hAnsi="Symbol"/>
      </w:rPr>
    </w:lvl>
    <w:lvl w:ilvl="2" w:tplc="3BF45C04">
      <w:start w:val="1"/>
      <w:numFmt w:val="bullet"/>
      <w:lvlText w:val=""/>
      <w:lvlJc w:val="left"/>
      <w:pPr>
        <w:ind w:left="1080" w:hanging="360"/>
      </w:pPr>
      <w:rPr>
        <w:rFonts w:ascii="Symbol" w:hAnsi="Symbol"/>
      </w:rPr>
    </w:lvl>
    <w:lvl w:ilvl="3" w:tplc="66AE869E">
      <w:start w:val="1"/>
      <w:numFmt w:val="bullet"/>
      <w:lvlText w:val=""/>
      <w:lvlJc w:val="left"/>
      <w:pPr>
        <w:ind w:left="1080" w:hanging="360"/>
      </w:pPr>
      <w:rPr>
        <w:rFonts w:ascii="Symbol" w:hAnsi="Symbol"/>
      </w:rPr>
    </w:lvl>
    <w:lvl w:ilvl="4" w:tplc="CF3602FA">
      <w:start w:val="1"/>
      <w:numFmt w:val="bullet"/>
      <w:lvlText w:val=""/>
      <w:lvlJc w:val="left"/>
      <w:pPr>
        <w:ind w:left="1080" w:hanging="360"/>
      </w:pPr>
      <w:rPr>
        <w:rFonts w:ascii="Symbol" w:hAnsi="Symbol"/>
      </w:rPr>
    </w:lvl>
    <w:lvl w:ilvl="5" w:tplc="90C693F2">
      <w:start w:val="1"/>
      <w:numFmt w:val="bullet"/>
      <w:lvlText w:val=""/>
      <w:lvlJc w:val="left"/>
      <w:pPr>
        <w:ind w:left="1080" w:hanging="360"/>
      </w:pPr>
      <w:rPr>
        <w:rFonts w:ascii="Symbol" w:hAnsi="Symbol"/>
      </w:rPr>
    </w:lvl>
    <w:lvl w:ilvl="6" w:tplc="5456ED0E">
      <w:start w:val="1"/>
      <w:numFmt w:val="bullet"/>
      <w:lvlText w:val=""/>
      <w:lvlJc w:val="left"/>
      <w:pPr>
        <w:ind w:left="1080" w:hanging="360"/>
      </w:pPr>
      <w:rPr>
        <w:rFonts w:ascii="Symbol" w:hAnsi="Symbol"/>
      </w:rPr>
    </w:lvl>
    <w:lvl w:ilvl="7" w:tplc="CA360262">
      <w:start w:val="1"/>
      <w:numFmt w:val="bullet"/>
      <w:lvlText w:val=""/>
      <w:lvlJc w:val="left"/>
      <w:pPr>
        <w:ind w:left="1080" w:hanging="360"/>
      </w:pPr>
      <w:rPr>
        <w:rFonts w:ascii="Symbol" w:hAnsi="Symbol"/>
      </w:rPr>
    </w:lvl>
    <w:lvl w:ilvl="8" w:tplc="B7EA0062">
      <w:start w:val="1"/>
      <w:numFmt w:val="bullet"/>
      <w:lvlText w:val=""/>
      <w:lvlJc w:val="left"/>
      <w:pPr>
        <w:ind w:left="1080" w:hanging="360"/>
      </w:pPr>
      <w:rPr>
        <w:rFonts w:ascii="Symbol" w:hAnsi="Symbol"/>
      </w:rPr>
    </w:lvl>
  </w:abstractNum>
  <w:num w:numId="1" w16cid:durableId="1381830849">
    <w:abstractNumId w:val="4"/>
  </w:num>
  <w:num w:numId="2" w16cid:durableId="1469544703">
    <w:abstractNumId w:val="1"/>
  </w:num>
  <w:num w:numId="3" w16cid:durableId="963970533">
    <w:abstractNumId w:val="0"/>
  </w:num>
  <w:num w:numId="4" w16cid:durableId="176191124">
    <w:abstractNumId w:val="2"/>
  </w:num>
  <w:num w:numId="5" w16cid:durableId="433283701">
    <w:abstractNumId w:val="3"/>
  </w:num>
  <w:num w:numId="6" w16cid:durableId="86729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D7"/>
    <w:rsid w:val="000112FB"/>
    <w:rsid w:val="00021B10"/>
    <w:rsid w:val="0002489F"/>
    <w:rsid w:val="00027AB4"/>
    <w:rsid w:val="00035464"/>
    <w:rsid w:val="0005667F"/>
    <w:rsid w:val="000569BD"/>
    <w:rsid w:val="00074A79"/>
    <w:rsid w:val="00076CCE"/>
    <w:rsid w:val="00092712"/>
    <w:rsid w:val="00095936"/>
    <w:rsid w:val="00095D24"/>
    <w:rsid w:val="000B7150"/>
    <w:rsid w:val="000C349B"/>
    <w:rsid w:val="000D75C3"/>
    <w:rsid w:val="000F597E"/>
    <w:rsid w:val="00100624"/>
    <w:rsid w:val="00111256"/>
    <w:rsid w:val="0012533E"/>
    <w:rsid w:val="0012711D"/>
    <w:rsid w:val="001329A0"/>
    <w:rsid w:val="00151715"/>
    <w:rsid w:val="001657DB"/>
    <w:rsid w:val="0017286B"/>
    <w:rsid w:val="00173D3F"/>
    <w:rsid w:val="001765F3"/>
    <w:rsid w:val="00184A76"/>
    <w:rsid w:val="00185A03"/>
    <w:rsid w:val="001930EA"/>
    <w:rsid w:val="001A042F"/>
    <w:rsid w:val="001A1C9B"/>
    <w:rsid w:val="001A4B01"/>
    <w:rsid w:val="001A5546"/>
    <w:rsid w:val="001B2928"/>
    <w:rsid w:val="001B5BB3"/>
    <w:rsid w:val="001D1410"/>
    <w:rsid w:val="001D3628"/>
    <w:rsid w:val="001D39E1"/>
    <w:rsid w:val="001D3EA1"/>
    <w:rsid w:val="001E0BF6"/>
    <w:rsid w:val="001E187D"/>
    <w:rsid w:val="001F7568"/>
    <w:rsid w:val="00205185"/>
    <w:rsid w:val="00213612"/>
    <w:rsid w:val="00224B2E"/>
    <w:rsid w:val="00237719"/>
    <w:rsid w:val="00243A76"/>
    <w:rsid w:val="00252156"/>
    <w:rsid w:val="00281B9D"/>
    <w:rsid w:val="00283737"/>
    <w:rsid w:val="002858DE"/>
    <w:rsid w:val="00287609"/>
    <w:rsid w:val="002962CF"/>
    <w:rsid w:val="002A2240"/>
    <w:rsid w:val="002A2C20"/>
    <w:rsid w:val="002A2E35"/>
    <w:rsid w:val="002A52F6"/>
    <w:rsid w:val="002A5DB2"/>
    <w:rsid w:val="002B77DC"/>
    <w:rsid w:val="002D4002"/>
    <w:rsid w:val="002D7092"/>
    <w:rsid w:val="00304299"/>
    <w:rsid w:val="00304719"/>
    <w:rsid w:val="003055C9"/>
    <w:rsid w:val="00317728"/>
    <w:rsid w:val="00321A82"/>
    <w:rsid w:val="003461EF"/>
    <w:rsid w:val="00352C20"/>
    <w:rsid w:val="00353E2D"/>
    <w:rsid w:val="00355461"/>
    <w:rsid w:val="00357DD0"/>
    <w:rsid w:val="00361A83"/>
    <w:rsid w:val="00365BDD"/>
    <w:rsid w:val="003666CA"/>
    <w:rsid w:val="003706F8"/>
    <w:rsid w:val="00373743"/>
    <w:rsid w:val="00375200"/>
    <w:rsid w:val="00381D0C"/>
    <w:rsid w:val="003B13BF"/>
    <w:rsid w:val="003C4745"/>
    <w:rsid w:val="003C58F0"/>
    <w:rsid w:val="003C6A8C"/>
    <w:rsid w:val="003E39BA"/>
    <w:rsid w:val="003E4C83"/>
    <w:rsid w:val="003E7F6C"/>
    <w:rsid w:val="003F41BB"/>
    <w:rsid w:val="003F624D"/>
    <w:rsid w:val="004069C2"/>
    <w:rsid w:val="00417500"/>
    <w:rsid w:val="00417B3E"/>
    <w:rsid w:val="00423B41"/>
    <w:rsid w:val="004415AE"/>
    <w:rsid w:val="00447DC6"/>
    <w:rsid w:val="00453B14"/>
    <w:rsid w:val="004577D2"/>
    <w:rsid w:val="004652E4"/>
    <w:rsid w:val="00467A7E"/>
    <w:rsid w:val="00477D35"/>
    <w:rsid w:val="0048636A"/>
    <w:rsid w:val="004A7056"/>
    <w:rsid w:val="004B0986"/>
    <w:rsid w:val="004B5DAA"/>
    <w:rsid w:val="004C02A7"/>
    <w:rsid w:val="004C7ED5"/>
    <w:rsid w:val="004E2839"/>
    <w:rsid w:val="004F0C7F"/>
    <w:rsid w:val="004F675F"/>
    <w:rsid w:val="0050127C"/>
    <w:rsid w:val="00521885"/>
    <w:rsid w:val="00533B6F"/>
    <w:rsid w:val="005458D5"/>
    <w:rsid w:val="0056337E"/>
    <w:rsid w:val="0056596F"/>
    <w:rsid w:val="00574682"/>
    <w:rsid w:val="00581A3F"/>
    <w:rsid w:val="00591678"/>
    <w:rsid w:val="005A14CD"/>
    <w:rsid w:val="005B4C00"/>
    <w:rsid w:val="005C16F8"/>
    <w:rsid w:val="005C6781"/>
    <w:rsid w:val="005D045D"/>
    <w:rsid w:val="005D1B8A"/>
    <w:rsid w:val="005D3DE9"/>
    <w:rsid w:val="005D6234"/>
    <w:rsid w:val="005F4DBE"/>
    <w:rsid w:val="00606681"/>
    <w:rsid w:val="0060729C"/>
    <w:rsid w:val="00610831"/>
    <w:rsid w:val="0061173F"/>
    <w:rsid w:val="006261D2"/>
    <w:rsid w:val="006344AB"/>
    <w:rsid w:val="00634A27"/>
    <w:rsid w:val="00637306"/>
    <w:rsid w:val="00642EFA"/>
    <w:rsid w:val="00652165"/>
    <w:rsid w:val="00657340"/>
    <w:rsid w:val="00673140"/>
    <w:rsid w:val="006734C7"/>
    <w:rsid w:val="00676853"/>
    <w:rsid w:val="006A1DA6"/>
    <w:rsid w:val="006A3333"/>
    <w:rsid w:val="006A50CB"/>
    <w:rsid w:val="006B6A01"/>
    <w:rsid w:val="006D6283"/>
    <w:rsid w:val="006D73EF"/>
    <w:rsid w:val="006E401A"/>
    <w:rsid w:val="006F1C4B"/>
    <w:rsid w:val="00705694"/>
    <w:rsid w:val="00714151"/>
    <w:rsid w:val="00714287"/>
    <w:rsid w:val="007347FA"/>
    <w:rsid w:val="00742B08"/>
    <w:rsid w:val="00744B98"/>
    <w:rsid w:val="00756D38"/>
    <w:rsid w:val="007633EB"/>
    <w:rsid w:val="007730E6"/>
    <w:rsid w:val="007732C5"/>
    <w:rsid w:val="00790189"/>
    <w:rsid w:val="007A4A1D"/>
    <w:rsid w:val="007A7F10"/>
    <w:rsid w:val="007B00A2"/>
    <w:rsid w:val="007B15C4"/>
    <w:rsid w:val="007B486F"/>
    <w:rsid w:val="007B6D19"/>
    <w:rsid w:val="007C1C1D"/>
    <w:rsid w:val="007C3867"/>
    <w:rsid w:val="007D1E35"/>
    <w:rsid w:val="007E0DCD"/>
    <w:rsid w:val="007E4515"/>
    <w:rsid w:val="007E6071"/>
    <w:rsid w:val="007F478F"/>
    <w:rsid w:val="007F6AC5"/>
    <w:rsid w:val="0080079A"/>
    <w:rsid w:val="00813D95"/>
    <w:rsid w:val="00815FFD"/>
    <w:rsid w:val="00821E71"/>
    <w:rsid w:val="008468DA"/>
    <w:rsid w:val="0085350B"/>
    <w:rsid w:val="00857EAB"/>
    <w:rsid w:val="00862155"/>
    <w:rsid w:val="00862F7F"/>
    <w:rsid w:val="00864C19"/>
    <w:rsid w:val="00865E8A"/>
    <w:rsid w:val="00871622"/>
    <w:rsid w:val="00882C1B"/>
    <w:rsid w:val="00895726"/>
    <w:rsid w:val="008B45B9"/>
    <w:rsid w:val="008B6CEF"/>
    <w:rsid w:val="008B7993"/>
    <w:rsid w:val="008D4516"/>
    <w:rsid w:val="008D673A"/>
    <w:rsid w:val="008D7CDE"/>
    <w:rsid w:val="008F08B3"/>
    <w:rsid w:val="008F0CC1"/>
    <w:rsid w:val="008F2E90"/>
    <w:rsid w:val="008F679C"/>
    <w:rsid w:val="009008EF"/>
    <w:rsid w:val="009010C5"/>
    <w:rsid w:val="00905F37"/>
    <w:rsid w:val="00906CAB"/>
    <w:rsid w:val="00924184"/>
    <w:rsid w:val="00931B6C"/>
    <w:rsid w:val="00934015"/>
    <w:rsid w:val="009360F9"/>
    <w:rsid w:val="00941B7A"/>
    <w:rsid w:val="00954332"/>
    <w:rsid w:val="00964536"/>
    <w:rsid w:val="00966DEE"/>
    <w:rsid w:val="0097295D"/>
    <w:rsid w:val="00977586"/>
    <w:rsid w:val="0098094E"/>
    <w:rsid w:val="00985CEA"/>
    <w:rsid w:val="00986C0F"/>
    <w:rsid w:val="009914E1"/>
    <w:rsid w:val="00993597"/>
    <w:rsid w:val="009A4BE3"/>
    <w:rsid w:val="009A4FBF"/>
    <w:rsid w:val="009B408E"/>
    <w:rsid w:val="009C03FB"/>
    <w:rsid w:val="009C3D49"/>
    <w:rsid w:val="009D2ED0"/>
    <w:rsid w:val="009D5157"/>
    <w:rsid w:val="009D572C"/>
    <w:rsid w:val="009D6C6C"/>
    <w:rsid w:val="009E0D58"/>
    <w:rsid w:val="009E3924"/>
    <w:rsid w:val="009F6367"/>
    <w:rsid w:val="009F6F17"/>
    <w:rsid w:val="00A02BFE"/>
    <w:rsid w:val="00A048A9"/>
    <w:rsid w:val="00A1094F"/>
    <w:rsid w:val="00A10BD4"/>
    <w:rsid w:val="00A237DD"/>
    <w:rsid w:val="00A27C6E"/>
    <w:rsid w:val="00A43AE0"/>
    <w:rsid w:val="00A45BA5"/>
    <w:rsid w:val="00A52F18"/>
    <w:rsid w:val="00A576DE"/>
    <w:rsid w:val="00A66BBF"/>
    <w:rsid w:val="00A72033"/>
    <w:rsid w:val="00A744C1"/>
    <w:rsid w:val="00A764F1"/>
    <w:rsid w:val="00A77336"/>
    <w:rsid w:val="00AA2E36"/>
    <w:rsid w:val="00AB3A7E"/>
    <w:rsid w:val="00AB4A5C"/>
    <w:rsid w:val="00AB6DB1"/>
    <w:rsid w:val="00AC0E68"/>
    <w:rsid w:val="00AD42D5"/>
    <w:rsid w:val="00AD4517"/>
    <w:rsid w:val="00AE1C62"/>
    <w:rsid w:val="00AF484F"/>
    <w:rsid w:val="00AF502F"/>
    <w:rsid w:val="00AF6C2E"/>
    <w:rsid w:val="00B067D7"/>
    <w:rsid w:val="00B13E08"/>
    <w:rsid w:val="00B36F80"/>
    <w:rsid w:val="00B3707E"/>
    <w:rsid w:val="00B62DF5"/>
    <w:rsid w:val="00B86854"/>
    <w:rsid w:val="00B93E26"/>
    <w:rsid w:val="00BB6BEF"/>
    <w:rsid w:val="00BB77E1"/>
    <w:rsid w:val="00BD00E1"/>
    <w:rsid w:val="00BD276C"/>
    <w:rsid w:val="00BD5702"/>
    <w:rsid w:val="00BE09A7"/>
    <w:rsid w:val="00BF1FC3"/>
    <w:rsid w:val="00BF25D5"/>
    <w:rsid w:val="00BF5155"/>
    <w:rsid w:val="00C01271"/>
    <w:rsid w:val="00C10532"/>
    <w:rsid w:val="00C140B8"/>
    <w:rsid w:val="00C21B97"/>
    <w:rsid w:val="00C2215A"/>
    <w:rsid w:val="00C25323"/>
    <w:rsid w:val="00C33370"/>
    <w:rsid w:val="00C37F23"/>
    <w:rsid w:val="00C43D8D"/>
    <w:rsid w:val="00C44FE4"/>
    <w:rsid w:val="00C46E9D"/>
    <w:rsid w:val="00C50E42"/>
    <w:rsid w:val="00C60498"/>
    <w:rsid w:val="00C61061"/>
    <w:rsid w:val="00C65112"/>
    <w:rsid w:val="00C73F31"/>
    <w:rsid w:val="00C90902"/>
    <w:rsid w:val="00C965E3"/>
    <w:rsid w:val="00C972B0"/>
    <w:rsid w:val="00CB5CBF"/>
    <w:rsid w:val="00CC762A"/>
    <w:rsid w:val="00CD4D5D"/>
    <w:rsid w:val="00CD69CF"/>
    <w:rsid w:val="00CE1482"/>
    <w:rsid w:val="00CF3AE6"/>
    <w:rsid w:val="00D026B0"/>
    <w:rsid w:val="00D02A84"/>
    <w:rsid w:val="00D118A9"/>
    <w:rsid w:val="00D14322"/>
    <w:rsid w:val="00D147AD"/>
    <w:rsid w:val="00D4352B"/>
    <w:rsid w:val="00D446C7"/>
    <w:rsid w:val="00D45040"/>
    <w:rsid w:val="00D559D0"/>
    <w:rsid w:val="00D658BA"/>
    <w:rsid w:val="00D73F42"/>
    <w:rsid w:val="00D76FD7"/>
    <w:rsid w:val="00D872F0"/>
    <w:rsid w:val="00D972A8"/>
    <w:rsid w:val="00D97649"/>
    <w:rsid w:val="00DA358C"/>
    <w:rsid w:val="00DB0A96"/>
    <w:rsid w:val="00DC0876"/>
    <w:rsid w:val="00DC423E"/>
    <w:rsid w:val="00DC4B88"/>
    <w:rsid w:val="00DD0E73"/>
    <w:rsid w:val="00DF381F"/>
    <w:rsid w:val="00E02FD5"/>
    <w:rsid w:val="00E21DD8"/>
    <w:rsid w:val="00E3298D"/>
    <w:rsid w:val="00E5506F"/>
    <w:rsid w:val="00E5660C"/>
    <w:rsid w:val="00E61741"/>
    <w:rsid w:val="00E7212D"/>
    <w:rsid w:val="00E813DC"/>
    <w:rsid w:val="00E82A4A"/>
    <w:rsid w:val="00E87542"/>
    <w:rsid w:val="00E9302F"/>
    <w:rsid w:val="00E96335"/>
    <w:rsid w:val="00E964F6"/>
    <w:rsid w:val="00EA1127"/>
    <w:rsid w:val="00EB2412"/>
    <w:rsid w:val="00EB567E"/>
    <w:rsid w:val="00EB633F"/>
    <w:rsid w:val="00EB6A1B"/>
    <w:rsid w:val="00EB6BA0"/>
    <w:rsid w:val="00ED1B7F"/>
    <w:rsid w:val="00ED3108"/>
    <w:rsid w:val="00ED460F"/>
    <w:rsid w:val="00EE2E8C"/>
    <w:rsid w:val="00EE432A"/>
    <w:rsid w:val="00EE6F35"/>
    <w:rsid w:val="00EF0DBC"/>
    <w:rsid w:val="00EF432F"/>
    <w:rsid w:val="00F00B00"/>
    <w:rsid w:val="00F04E61"/>
    <w:rsid w:val="00F0715E"/>
    <w:rsid w:val="00F10B3C"/>
    <w:rsid w:val="00F23BE7"/>
    <w:rsid w:val="00F243A7"/>
    <w:rsid w:val="00F245BE"/>
    <w:rsid w:val="00F30D81"/>
    <w:rsid w:val="00F42107"/>
    <w:rsid w:val="00F4412F"/>
    <w:rsid w:val="00F51866"/>
    <w:rsid w:val="00F672BE"/>
    <w:rsid w:val="00F67FB0"/>
    <w:rsid w:val="00F762F2"/>
    <w:rsid w:val="00F8620F"/>
    <w:rsid w:val="00F86B0F"/>
    <w:rsid w:val="00F95BEC"/>
    <w:rsid w:val="00FA0C23"/>
    <w:rsid w:val="00FA1249"/>
    <w:rsid w:val="00FB74BB"/>
    <w:rsid w:val="00FC6A34"/>
    <w:rsid w:val="00FE7F80"/>
    <w:rsid w:val="0771D330"/>
    <w:rsid w:val="0BE3E8A0"/>
    <w:rsid w:val="128592B1"/>
    <w:rsid w:val="12A4D205"/>
    <w:rsid w:val="13FA86C8"/>
    <w:rsid w:val="1C4E2C64"/>
    <w:rsid w:val="2B1C8650"/>
    <w:rsid w:val="2D8553FB"/>
    <w:rsid w:val="2EC4ECBE"/>
    <w:rsid w:val="3276277C"/>
    <w:rsid w:val="38DF230E"/>
    <w:rsid w:val="39A9F41B"/>
    <w:rsid w:val="427168EE"/>
    <w:rsid w:val="5F3EEFAA"/>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F377"/>
  <w15:chartTrackingRefBased/>
  <w15:docId w15:val="{FC9F0417-AA59-4AD6-BB29-9A66D84A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7DB"/>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76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5660C"/>
    <w:pPr>
      <w:ind w:left="720"/>
      <w:contextualSpacing/>
    </w:pPr>
    <w:rPr>
      <w:rFonts w:asciiTheme="minorHAnsi" w:eastAsiaTheme="minorHAnsi" w:hAnsiTheme="minorHAnsi" w:cstheme="minorBidi"/>
      <w:lang w:eastAsia="en-US"/>
    </w:rPr>
  </w:style>
  <w:style w:type="character" w:styleId="Refdecomentario">
    <w:name w:val="annotation reference"/>
    <w:basedOn w:val="Fuentedeprrafopredeter"/>
    <w:uiPriority w:val="99"/>
    <w:semiHidden/>
    <w:unhideWhenUsed/>
    <w:rsid w:val="00F243A7"/>
    <w:rPr>
      <w:sz w:val="16"/>
      <w:szCs w:val="16"/>
    </w:rPr>
  </w:style>
  <w:style w:type="paragraph" w:styleId="Textocomentario">
    <w:name w:val="annotation text"/>
    <w:basedOn w:val="Normal"/>
    <w:link w:val="TextocomentarioCar"/>
    <w:uiPriority w:val="99"/>
    <w:unhideWhenUsed/>
    <w:rsid w:val="00F243A7"/>
    <w:rPr>
      <w:sz w:val="20"/>
      <w:szCs w:val="20"/>
    </w:rPr>
  </w:style>
  <w:style w:type="character" w:customStyle="1" w:styleId="TextocomentarioCar">
    <w:name w:val="Texto comentario Car"/>
    <w:basedOn w:val="Fuentedeprrafopredeter"/>
    <w:link w:val="Textocomentario"/>
    <w:uiPriority w:val="99"/>
    <w:rsid w:val="00F243A7"/>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F243A7"/>
    <w:rPr>
      <w:b/>
      <w:bCs/>
    </w:rPr>
  </w:style>
  <w:style w:type="character" w:customStyle="1" w:styleId="AsuntodelcomentarioCar">
    <w:name w:val="Asunto del comentario Car"/>
    <w:basedOn w:val="TextocomentarioCar"/>
    <w:link w:val="Asuntodelcomentario"/>
    <w:uiPriority w:val="99"/>
    <w:semiHidden/>
    <w:rsid w:val="00F243A7"/>
    <w:rPr>
      <w:rFonts w:ascii="Times New Roman" w:eastAsia="Times New Roman" w:hAnsi="Times New Roman" w:cs="Times New Roman"/>
      <w:b/>
      <w:bCs/>
      <w:sz w:val="20"/>
      <w:szCs w:val="20"/>
      <w:lang w:eastAsia="es-ES_tradnl"/>
    </w:rPr>
  </w:style>
  <w:style w:type="paragraph" w:styleId="Revisin">
    <w:name w:val="Revision"/>
    <w:hidden/>
    <w:uiPriority w:val="99"/>
    <w:semiHidden/>
    <w:rsid w:val="00EE6F35"/>
    <w:rPr>
      <w:rFonts w:ascii="Times New Roman" w:eastAsia="Times New Roman" w:hAnsi="Times New Roman" w:cs="Times New Roman"/>
      <w:lang w:eastAsia="es-ES_tradnl"/>
    </w:rPr>
  </w:style>
  <w:style w:type="paragraph" w:styleId="NormalWeb">
    <w:name w:val="Normal (Web)"/>
    <w:basedOn w:val="Normal"/>
    <w:uiPriority w:val="99"/>
    <w:unhideWhenUsed/>
    <w:rsid w:val="00F51866"/>
    <w:pPr>
      <w:spacing w:before="100" w:beforeAutospacing="1" w:after="100" w:afterAutospacing="1"/>
    </w:pPr>
    <w:rPr>
      <w:lang w:eastAsia="es-CR"/>
    </w:rPr>
  </w:style>
  <w:style w:type="character" w:customStyle="1" w:styleId="ui-provider">
    <w:name w:val="ui-provider"/>
    <w:basedOn w:val="Fuentedeprrafopredeter"/>
    <w:rsid w:val="007B486F"/>
  </w:style>
  <w:style w:type="paragraph" w:styleId="Encabezado">
    <w:name w:val="header"/>
    <w:basedOn w:val="Normal"/>
    <w:link w:val="EncabezadoCar"/>
    <w:uiPriority w:val="99"/>
    <w:unhideWhenUsed/>
    <w:rsid w:val="00BD276C"/>
    <w:pPr>
      <w:tabs>
        <w:tab w:val="center" w:pos="4419"/>
        <w:tab w:val="right" w:pos="8838"/>
      </w:tabs>
    </w:pPr>
  </w:style>
  <w:style w:type="character" w:customStyle="1" w:styleId="EncabezadoCar">
    <w:name w:val="Encabezado Car"/>
    <w:basedOn w:val="Fuentedeprrafopredeter"/>
    <w:link w:val="Encabezado"/>
    <w:uiPriority w:val="99"/>
    <w:rsid w:val="00BD276C"/>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BD276C"/>
    <w:pPr>
      <w:tabs>
        <w:tab w:val="center" w:pos="4419"/>
        <w:tab w:val="right" w:pos="8838"/>
      </w:tabs>
    </w:pPr>
  </w:style>
  <w:style w:type="character" w:customStyle="1" w:styleId="PiedepginaCar">
    <w:name w:val="Pie de página Car"/>
    <w:basedOn w:val="Fuentedeprrafopredeter"/>
    <w:link w:val="Piedepgina"/>
    <w:uiPriority w:val="99"/>
    <w:rsid w:val="00BD276C"/>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5609">
      <w:bodyDiv w:val="1"/>
      <w:marLeft w:val="0"/>
      <w:marRight w:val="0"/>
      <w:marTop w:val="0"/>
      <w:marBottom w:val="0"/>
      <w:divBdr>
        <w:top w:val="none" w:sz="0" w:space="0" w:color="auto"/>
        <w:left w:val="none" w:sz="0" w:space="0" w:color="auto"/>
        <w:bottom w:val="none" w:sz="0" w:space="0" w:color="auto"/>
        <w:right w:val="none" w:sz="0" w:space="0" w:color="auto"/>
      </w:divBdr>
    </w:div>
    <w:div w:id="440103288">
      <w:bodyDiv w:val="1"/>
      <w:marLeft w:val="0"/>
      <w:marRight w:val="0"/>
      <w:marTop w:val="0"/>
      <w:marBottom w:val="0"/>
      <w:divBdr>
        <w:top w:val="none" w:sz="0" w:space="0" w:color="auto"/>
        <w:left w:val="none" w:sz="0" w:space="0" w:color="auto"/>
        <w:bottom w:val="none" w:sz="0" w:space="0" w:color="auto"/>
        <w:right w:val="none" w:sz="0" w:space="0" w:color="auto"/>
      </w:divBdr>
    </w:div>
    <w:div w:id="1188056127">
      <w:bodyDiv w:val="1"/>
      <w:marLeft w:val="0"/>
      <w:marRight w:val="0"/>
      <w:marTop w:val="0"/>
      <w:marBottom w:val="0"/>
      <w:divBdr>
        <w:top w:val="none" w:sz="0" w:space="0" w:color="auto"/>
        <w:left w:val="none" w:sz="0" w:space="0" w:color="auto"/>
        <w:bottom w:val="none" w:sz="0" w:space="0" w:color="auto"/>
        <w:right w:val="none" w:sz="0" w:space="0" w:color="auto"/>
      </w:divBdr>
    </w:div>
    <w:div w:id="1334603313">
      <w:bodyDiv w:val="1"/>
      <w:marLeft w:val="0"/>
      <w:marRight w:val="0"/>
      <w:marTop w:val="0"/>
      <w:marBottom w:val="0"/>
      <w:divBdr>
        <w:top w:val="none" w:sz="0" w:space="0" w:color="auto"/>
        <w:left w:val="none" w:sz="0" w:space="0" w:color="auto"/>
        <w:bottom w:val="none" w:sz="0" w:space="0" w:color="auto"/>
        <w:right w:val="none" w:sz="0" w:space="0" w:color="auto"/>
      </w:divBdr>
    </w:div>
    <w:div w:id="1595556137">
      <w:bodyDiv w:val="1"/>
      <w:marLeft w:val="0"/>
      <w:marRight w:val="0"/>
      <w:marTop w:val="0"/>
      <w:marBottom w:val="0"/>
      <w:divBdr>
        <w:top w:val="none" w:sz="0" w:space="0" w:color="auto"/>
        <w:left w:val="none" w:sz="0" w:space="0" w:color="auto"/>
        <w:bottom w:val="none" w:sz="0" w:space="0" w:color="auto"/>
        <w:right w:val="none" w:sz="0" w:space="0" w:color="auto"/>
      </w:divBdr>
    </w:div>
    <w:div w:id="1780026971">
      <w:bodyDiv w:val="1"/>
      <w:marLeft w:val="0"/>
      <w:marRight w:val="0"/>
      <w:marTop w:val="0"/>
      <w:marBottom w:val="0"/>
      <w:divBdr>
        <w:top w:val="none" w:sz="0" w:space="0" w:color="auto"/>
        <w:left w:val="none" w:sz="0" w:space="0" w:color="auto"/>
        <w:bottom w:val="none" w:sz="0" w:space="0" w:color="auto"/>
        <w:right w:val="none" w:sz="0" w:space="0" w:color="auto"/>
      </w:divBdr>
    </w:div>
    <w:div w:id="197139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2603f49-3e6e-432a-95e9-22a2bb694c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8" ma:contentTypeDescription="Create a new document." ma:contentTypeScope="" ma:versionID="e4293b80937f1e7e87353020485f5234">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28e2b9a26eb50a8231c8c93dcbad6101"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OCR" minOccurs="0"/>
                <xsd:element ref="ns4:_activity" minOccurs="0"/>
                <xsd:element ref="ns4:MediaServiceObjectDetectorVersions" minOccurs="0"/>
                <xsd:element ref="ns4:MediaServiceSearchPropertie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896D2-B634-4FFD-993A-1641E41967AD}">
  <ds:schemaRefs>
    <ds:schemaRef ds:uri="http://schemas.microsoft.com/office/2006/metadata/properties"/>
    <ds:schemaRef ds:uri="http://schemas.microsoft.com/office/infopath/2007/PartnerControls"/>
    <ds:schemaRef ds:uri="72603f49-3e6e-432a-95e9-22a2bb694c87"/>
  </ds:schemaRefs>
</ds:datastoreItem>
</file>

<file path=customXml/itemProps2.xml><?xml version="1.0" encoding="utf-8"?>
<ds:datastoreItem xmlns:ds="http://schemas.openxmlformats.org/officeDocument/2006/customXml" ds:itemID="{CF96C621-39EB-485A-ADE6-634EBADCF8D1}">
  <ds:schemaRefs>
    <ds:schemaRef ds:uri="http://schemas.microsoft.com/sharepoint/v3/contenttype/forms"/>
  </ds:schemaRefs>
</ds:datastoreItem>
</file>

<file path=customXml/itemProps3.xml><?xml version="1.0" encoding="utf-8"?>
<ds:datastoreItem xmlns:ds="http://schemas.openxmlformats.org/officeDocument/2006/customXml" ds:itemID="{641AB542-1BCB-4087-B909-B5486686E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266C2D-0573-E442-899C-3D291D50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2415</Words>
  <Characters>13288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dc:creator>
  <cp:keywords/>
  <dc:description/>
  <cp:lastModifiedBy>DRPIS</cp:lastModifiedBy>
  <cp:revision>2</cp:revision>
  <dcterms:created xsi:type="dcterms:W3CDTF">2026-07-02T16:58:00Z</dcterms:created>
  <dcterms:modified xsi:type="dcterms:W3CDTF">2026-07-02T16:58:00Z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