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0BD1" w:rsidRDefault="00F40BD1" w:rsidP="00F40BD1">
      <w:pPr>
        <w:pStyle w:val="Textoindependiente2"/>
        <w:rPr>
          <w:rFonts w:asciiTheme="majorHAnsi" w:hAnsiTheme="majorHAnsi" w:cstheme="majorHAnsi"/>
          <w:sz w:val="24"/>
          <w:szCs w:val="24"/>
          <w:lang w:val="es-ES"/>
        </w:rPr>
      </w:pPr>
      <w:bookmarkStart w:id="0" w:name="_GoBack"/>
      <w:bookmarkEnd w:id="0"/>
      <w:r>
        <w:rPr>
          <w:rFonts w:asciiTheme="majorHAnsi" w:hAnsiTheme="majorHAnsi" w:cstheme="majorHAnsi"/>
          <w:sz w:val="24"/>
          <w:szCs w:val="24"/>
          <w:lang w:val="es-ES"/>
        </w:rPr>
        <w:t>Ministerio de Salud</w:t>
      </w:r>
    </w:p>
    <w:p w:rsidR="00F40BD1" w:rsidRPr="001E18CF" w:rsidRDefault="00F40BD1" w:rsidP="00F40BD1">
      <w:pPr>
        <w:pStyle w:val="Textoindependiente2"/>
        <w:rPr>
          <w:rFonts w:ascii="Arial" w:hAnsi="Arial" w:cs="Arial"/>
          <w:sz w:val="24"/>
          <w:szCs w:val="24"/>
        </w:rPr>
      </w:pPr>
      <w:r w:rsidRPr="001E18CF">
        <w:rPr>
          <w:rFonts w:asciiTheme="majorHAnsi" w:hAnsiTheme="majorHAnsi" w:cstheme="majorHAnsi"/>
          <w:sz w:val="24"/>
          <w:szCs w:val="24"/>
          <w:lang w:val="es-ES"/>
        </w:rPr>
        <w:t>Dirección de Planificación Estratégica y Evaluación de las Acciones en Salud</w:t>
      </w:r>
    </w:p>
    <w:p w:rsidR="00F40BD1" w:rsidRDefault="00F40BD1" w:rsidP="00F40BD1">
      <w:pPr>
        <w:pStyle w:val="Textoindependiente2"/>
        <w:rPr>
          <w:rFonts w:asciiTheme="minorHAnsi" w:hAnsiTheme="minorHAnsi" w:cstheme="minorHAnsi"/>
          <w:sz w:val="22"/>
          <w:szCs w:val="22"/>
        </w:rPr>
      </w:pPr>
    </w:p>
    <w:p w:rsidR="00F40BD1" w:rsidRPr="00F40BD1" w:rsidRDefault="00F40BD1" w:rsidP="00F40BD1">
      <w:pPr>
        <w:pStyle w:val="Textoindependiente2"/>
        <w:rPr>
          <w:rFonts w:asciiTheme="minorHAnsi" w:hAnsiTheme="minorHAnsi" w:cstheme="minorHAnsi"/>
          <w:sz w:val="22"/>
          <w:szCs w:val="22"/>
        </w:rPr>
      </w:pPr>
      <w:r w:rsidRPr="00F40BD1">
        <w:rPr>
          <w:rFonts w:asciiTheme="minorHAnsi" w:hAnsiTheme="minorHAnsi" w:cstheme="minorHAnsi"/>
          <w:sz w:val="22"/>
          <w:szCs w:val="22"/>
        </w:rPr>
        <w:t>Comisió</w:t>
      </w:r>
      <w:r>
        <w:rPr>
          <w:rFonts w:asciiTheme="minorHAnsi" w:hAnsiTheme="minorHAnsi" w:cstheme="minorHAnsi"/>
          <w:sz w:val="22"/>
          <w:szCs w:val="22"/>
        </w:rPr>
        <w:t xml:space="preserve">n Institucional para la igualdad de género, no discriminación y prevención de la violencia </w:t>
      </w:r>
    </w:p>
    <w:p w:rsidR="00310CAE" w:rsidRPr="009741AF" w:rsidRDefault="00310CAE">
      <w:pPr>
        <w:rPr>
          <w:lang w:val="es-ES"/>
        </w:rPr>
      </w:pPr>
    </w:p>
    <w:p w:rsidR="00F40BD1" w:rsidRDefault="00F40BD1">
      <w:r w:rsidRPr="009741AF">
        <w:rPr>
          <w:rFonts w:ascii="Arial" w:hAnsi="Arial" w:cs="Arial"/>
          <w:noProof/>
          <w:color w:val="FFFFFF"/>
          <w:lang w:val="es-ES" w:eastAsia="en-US"/>
        </w:rPr>
        <w:t xml:space="preserve">                                                        </w:t>
      </w:r>
      <w:r>
        <w:rPr>
          <w:rFonts w:ascii="Arial" w:hAnsi="Arial" w:cs="Arial"/>
          <w:noProof/>
          <w:color w:val="FFFFFF"/>
          <w:lang w:val="es-CR" w:eastAsia="es-CR"/>
        </w:rPr>
        <w:drawing>
          <wp:inline distT="0" distB="0" distL="0" distR="0" wp14:anchorId="678FA9A9" wp14:editId="0D6C98D5">
            <wp:extent cx="1695450" cy="948690"/>
            <wp:effectExtent l="0" t="0" r="0" b="3810"/>
            <wp:docPr id="15" name="Imagen 15" descr="Ver las imágenes de or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er las imágenes de orige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52022" cy="980345"/>
                    </a:xfrm>
                    <a:prstGeom prst="rect">
                      <a:avLst/>
                    </a:prstGeom>
                    <a:noFill/>
                    <a:ln>
                      <a:noFill/>
                    </a:ln>
                  </pic:spPr>
                </pic:pic>
              </a:graphicData>
            </a:graphic>
          </wp:inline>
        </w:drawing>
      </w:r>
    </w:p>
    <w:p w:rsidR="00F40BD1" w:rsidRDefault="00F40BD1" w:rsidP="00F40BD1">
      <w:pPr>
        <w:jc w:val="center"/>
        <w:rPr>
          <w:rFonts w:asciiTheme="majorHAnsi" w:hAnsiTheme="majorHAnsi" w:cstheme="majorHAnsi"/>
          <w:b/>
          <w:sz w:val="22"/>
          <w:szCs w:val="22"/>
          <w:u w:val="single"/>
          <w:lang w:val="es-ES"/>
        </w:rPr>
      </w:pPr>
    </w:p>
    <w:p w:rsidR="00F40BD1" w:rsidRDefault="00F40BD1" w:rsidP="00F40BD1">
      <w:pPr>
        <w:jc w:val="center"/>
        <w:rPr>
          <w:rFonts w:asciiTheme="majorHAnsi" w:hAnsiTheme="majorHAnsi" w:cstheme="majorHAnsi"/>
          <w:b/>
          <w:sz w:val="22"/>
          <w:szCs w:val="22"/>
          <w:u w:val="single"/>
          <w:lang w:val="es-ES"/>
        </w:rPr>
      </w:pPr>
    </w:p>
    <w:p w:rsidR="00F40BD1" w:rsidRPr="006A5C73" w:rsidRDefault="00F40BD1" w:rsidP="006A5C73">
      <w:pPr>
        <w:jc w:val="center"/>
        <w:rPr>
          <w:rFonts w:asciiTheme="minorHAnsi" w:hAnsiTheme="minorHAnsi" w:cstheme="minorHAnsi"/>
          <w:b/>
          <w:sz w:val="22"/>
          <w:szCs w:val="22"/>
          <w:u w:val="single"/>
          <w:lang w:val="es-ES"/>
        </w:rPr>
      </w:pPr>
      <w:r w:rsidRPr="006A5C73">
        <w:rPr>
          <w:rFonts w:asciiTheme="minorHAnsi" w:hAnsiTheme="minorHAnsi" w:cstheme="minorHAnsi"/>
          <w:b/>
          <w:sz w:val="22"/>
          <w:szCs w:val="22"/>
          <w:u w:val="single"/>
          <w:lang w:val="es-ES"/>
        </w:rPr>
        <w:t xml:space="preserve">Glosario </w:t>
      </w:r>
      <w:r w:rsidRPr="006A5C73">
        <w:rPr>
          <w:rStyle w:val="Refdenotaalpie"/>
          <w:rFonts w:asciiTheme="minorHAnsi" w:hAnsiTheme="minorHAnsi" w:cstheme="minorHAnsi"/>
          <w:b/>
          <w:sz w:val="22"/>
          <w:szCs w:val="22"/>
          <w:u w:val="single"/>
          <w:lang w:val="es-ES"/>
        </w:rPr>
        <w:footnoteReference w:id="1"/>
      </w:r>
    </w:p>
    <w:p w:rsidR="00F40BD1" w:rsidRPr="006A5C73" w:rsidRDefault="00F40BD1" w:rsidP="006A5C73">
      <w:pPr>
        <w:pStyle w:val="NormalWeb"/>
        <w:spacing w:before="0" w:beforeAutospacing="0" w:after="0" w:afterAutospacing="0"/>
        <w:jc w:val="both"/>
        <w:rPr>
          <w:rFonts w:asciiTheme="minorHAnsi" w:eastAsiaTheme="minorHAnsi" w:hAnsiTheme="minorHAnsi" w:cstheme="minorHAnsi"/>
          <w:b/>
          <w:sz w:val="22"/>
          <w:szCs w:val="22"/>
          <w:lang w:eastAsia="en-US"/>
        </w:rPr>
      </w:pPr>
    </w:p>
    <w:p w:rsidR="00F40BD1" w:rsidRPr="006A5C73" w:rsidRDefault="00F40BD1" w:rsidP="006A5C73">
      <w:pPr>
        <w:pStyle w:val="NormalWeb"/>
        <w:spacing w:before="0" w:beforeAutospacing="0" w:after="0" w:afterAutospacing="0"/>
        <w:jc w:val="both"/>
        <w:rPr>
          <w:rFonts w:asciiTheme="minorHAnsi" w:eastAsiaTheme="minorHAnsi" w:hAnsiTheme="minorHAnsi" w:cstheme="minorHAnsi"/>
          <w:b/>
          <w:sz w:val="22"/>
          <w:szCs w:val="22"/>
          <w:lang w:eastAsia="en-US"/>
        </w:rPr>
      </w:pPr>
      <w:r w:rsidRPr="006A5C73">
        <w:rPr>
          <w:rFonts w:asciiTheme="minorHAnsi" w:eastAsiaTheme="minorHAnsi" w:hAnsiTheme="minorHAnsi" w:cstheme="minorHAnsi"/>
          <w:b/>
          <w:sz w:val="22"/>
          <w:szCs w:val="22"/>
          <w:lang w:eastAsia="en-US"/>
        </w:rPr>
        <w:t>Sexo:</w:t>
      </w:r>
    </w:p>
    <w:p w:rsidR="00F40BD1" w:rsidRPr="006A5C73" w:rsidRDefault="00F40BD1" w:rsidP="006A5C73">
      <w:pPr>
        <w:pStyle w:val="NormalWeb"/>
        <w:spacing w:before="0" w:beforeAutospacing="0" w:after="0" w:afterAutospacing="0"/>
        <w:jc w:val="both"/>
        <w:rPr>
          <w:rFonts w:asciiTheme="minorHAnsi" w:eastAsiaTheme="minorHAnsi" w:hAnsiTheme="minorHAnsi" w:cstheme="minorHAnsi"/>
          <w:sz w:val="22"/>
          <w:szCs w:val="22"/>
          <w:lang w:eastAsia="en-US"/>
        </w:rPr>
      </w:pPr>
      <w:r w:rsidRPr="006A5C73">
        <w:rPr>
          <w:rFonts w:asciiTheme="minorHAnsi" w:eastAsiaTheme="minorHAnsi" w:hAnsiTheme="minorHAnsi" w:cstheme="minorHAnsi"/>
          <w:sz w:val="22"/>
          <w:szCs w:val="22"/>
          <w:lang w:eastAsia="en-US"/>
        </w:rPr>
        <w:t>Características biológicas (genéticas, endócrinas y anatómicas) empleadas para agrupar a los seres humanos como miembros ya sea de una población masculina o femenina. Si bien estos conjuntos de características biológicas no son mutuamente excluyentes, [ya que existen gradientes en la forma en que se manifiestan] en la práctica son utilizados para establecer una diferenciación de los humanos dentro de un sistema binario polarizado. Por lo general, se hace una distinción entre características sexuales primarias, es decir, los órganos reproductores de un individuo, y las características sexuales secundarias, es decir, otros rasgos físicos no genitales que diferencian a los machos de las hembras.</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OPS/OMS y otros. Por la salud de las personas trans. Elementos para el desarrollo de la atención integral de personas trans y sus comunidades en Latinoamérica y el Caribe. 2013.</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b/>
          <w:sz w:val="22"/>
          <w:szCs w:val="22"/>
          <w:lang w:val="es-ES"/>
        </w:rPr>
      </w:pPr>
      <w:r w:rsidRPr="006A5C73">
        <w:rPr>
          <w:rFonts w:asciiTheme="minorHAnsi" w:hAnsiTheme="minorHAnsi" w:cstheme="minorHAnsi"/>
          <w:b/>
          <w:sz w:val="22"/>
          <w:szCs w:val="22"/>
          <w:lang w:val="es-ES"/>
        </w:rPr>
        <w:t>Género:</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Conjunto de valores socialmente construidos que definen las diferentes características (emocionales, afectivas, intelectuales o físicas) y los comportamientos que cada sociedad asigna a los hombres o a las mujeres. A diferencia del sexo que viene determinado con el nacimiento, el género se aprende y se puede modificar.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Política Nacional para la atención y la prevención de la violencia contra las mujeres de todas las edades Costa Rica 2017-2032</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Machismo:</w:t>
      </w:r>
      <w:r w:rsidRPr="006A5C73">
        <w:rPr>
          <w:rFonts w:asciiTheme="minorHAnsi" w:hAnsiTheme="minorHAnsi" w:cstheme="minorHAnsi"/>
          <w:b/>
          <w:sz w:val="22"/>
          <w:szCs w:val="22"/>
          <w:lang w:val="es-ES"/>
        </w:rPr>
        <w:br/>
      </w:r>
      <w:r w:rsidRPr="006A5C73">
        <w:rPr>
          <w:rFonts w:asciiTheme="minorHAnsi" w:hAnsiTheme="minorHAnsi" w:cstheme="minorHAnsi"/>
          <w:sz w:val="22"/>
          <w:szCs w:val="22"/>
          <w:lang w:val="es-ES"/>
        </w:rPr>
        <w:t xml:space="preserve">Creencia de que el hombre es superior a la mujer y, por tanto, la mujer debe estar siempre supeditada al hombre. Victoria </w:t>
      </w:r>
      <w:proofErr w:type="spellStart"/>
      <w:r w:rsidRPr="006A5C73">
        <w:rPr>
          <w:rFonts w:asciiTheme="minorHAnsi" w:hAnsiTheme="minorHAnsi" w:cstheme="minorHAnsi"/>
          <w:sz w:val="22"/>
          <w:szCs w:val="22"/>
          <w:lang w:val="es-ES"/>
        </w:rPr>
        <w:t>Sau</w:t>
      </w:r>
      <w:proofErr w:type="spellEnd"/>
      <w:r w:rsidRPr="006A5C73">
        <w:rPr>
          <w:rFonts w:asciiTheme="minorHAnsi" w:hAnsiTheme="minorHAnsi" w:cstheme="minorHAnsi"/>
          <w:sz w:val="22"/>
          <w:szCs w:val="22"/>
          <w:lang w:val="es-ES"/>
        </w:rPr>
        <w:t>, activista y política feminista, afirmaba que el machismo lo constituyen “aquellos actos, físicos o verbales, por medio de los cuales se manifiesta de forma vulgar y poco apropiada el sexismo subyacente en la estructura social”.</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Política Nacional para la atención y la prevención de la violencia contra las mujeres de todas las edades Costa Rica 2017-2032</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b/>
          <w:sz w:val="22"/>
          <w:szCs w:val="22"/>
          <w:lang w:val="es-ES"/>
        </w:rPr>
      </w:pPr>
      <w:r w:rsidRPr="006A5C73">
        <w:rPr>
          <w:rFonts w:asciiTheme="minorHAnsi" w:hAnsiTheme="minorHAnsi" w:cstheme="minorHAnsi"/>
          <w:b/>
          <w:sz w:val="22"/>
          <w:szCs w:val="22"/>
          <w:lang w:val="es-ES"/>
        </w:rPr>
        <w:lastRenderedPageBreak/>
        <w:t>Prejuicio:</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Opinión previa acerca de algo que se conoce poco o mal. Asociados a la discriminación se convierten en percepciones distorsionadas de la realidad que pueden fomentar el rechazo a priori de algo o de alguien por diversas condiciones: raza, género, orientación sexual, credo, condición económica, entre otras.</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Política Nacional para la atención y la prevención de la violencia contra las mujeres de todas las edades Costa Rica 2017-2032</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b/>
          <w:sz w:val="22"/>
          <w:szCs w:val="22"/>
          <w:lang w:val="es-ES"/>
        </w:rPr>
      </w:pPr>
      <w:r w:rsidRPr="006A5C73">
        <w:rPr>
          <w:rFonts w:asciiTheme="minorHAnsi" w:hAnsiTheme="minorHAnsi" w:cstheme="minorHAnsi"/>
          <w:b/>
          <w:sz w:val="22"/>
          <w:szCs w:val="22"/>
          <w:lang w:val="es-ES"/>
        </w:rPr>
        <w:t>Principio de Igualdad y no discriminación:</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De acuerdo a Torres (2004), el principio de la igualdad y la prohibición de la discriminación son las dos piedras angulares de los sistemas de derecho y dela cultura de la legalidad. El respeto a los derechos humanos y a estos principios fundamentales, constituyen la base para el desarrollo de una sociedad democrática y la vigencia de un Estado de Derecho.</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El principio de igualdad no se define a partir de un criterio de semejanza, sino de justicia, es decir, otorga el mismo valor a personas diversas que integran una sociedad. La igualdad es importante justamente entre personas diferentes, ya que se trata de una convención social, de un pacto, según el cual se reconoce como iguales a quienes pertenecen a distintos sexos, razas, etnias, clases sociales, etc.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OIT</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b/>
          <w:sz w:val="22"/>
          <w:szCs w:val="22"/>
          <w:lang w:val="es-ES"/>
        </w:rPr>
      </w:pPr>
      <w:r w:rsidRPr="006A5C73">
        <w:rPr>
          <w:rFonts w:asciiTheme="minorHAnsi" w:hAnsiTheme="minorHAnsi" w:cstheme="minorHAnsi"/>
          <w:b/>
          <w:sz w:val="22"/>
          <w:szCs w:val="22"/>
          <w:lang w:val="es-ES"/>
        </w:rPr>
        <w:t xml:space="preserve">Orientación Sexual: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Término adecuado para referirse a la atracción física o emocional hacia personas del mismo sexo, del sexo opuesto o de ambos sexos.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rPr>
          <w:rFonts w:asciiTheme="minorHAnsi" w:hAnsiTheme="minorHAnsi" w:cstheme="minorHAnsi"/>
          <w:sz w:val="22"/>
          <w:szCs w:val="22"/>
          <w:lang w:val="es-ES"/>
        </w:rPr>
      </w:pPr>
      <w:r w:rsidRPr="006A5C73">
        <w:rPr>
          <w:rFonts w:asciiTheme="minorHAnsi" w:hAnsiTheme="minorHAnsi" w:cstheme="minorHAnsi"/>
          <w:sz w:val="22"/>
          <w:szCs w:val="22"/>
          <w:lang w:val="es-ES"/>
        </w:rPr>
        <w:t>Fuente: OEA. Villalta Vizcarra</w:t>
      </w:r>
      <w:r w:rsidRPr="006A5C73">
        <w:rPr>
          <w:rFonts w:asciiTheme="minorHAnsi" w:hAnsiTheme="minorHAnsi" w:cstheme="minorHAnsi"/>
          <w:b/>
          <w:sz w:val="22"/>
          <w:szCs w:val="22"/>
          <w:lang w:val="es-ES"/>
        </w:rPr>
        <w:t xml:space="preserve"> </w:t>
      </w:r>
      <w:r w:rsidRPr="006A5C73">
        <w:rPr>
          <w:rFonts w:asciiTheme="minorHAnsi" w:hAnsiTheme="minorHAnsi" w:cstheme="minorHAnsi"/>
          <w:sz w:val="22"/>
          <w:szCs w:val="22"/>
          <w:lang w:val="es-ES"/>
        </w:rPr>
        <w:t>Ana Elizabeth. Orientación sexual, identidad de género y expresión de género. 2013</w:t>
      </w:r>
      <w:r w:rsidRPr="006A5C73">
        <w:rPr>
          <w:rFonts w:asciiTheme="minorHAnsi" w:hAnsiTheme="minorHAnsi" w:cstheme="minorHAnsi"/>
          <w:sz w:val="22"/>
          <w:szCs w:val="22"/>
          <w:lang w:val="es-ES"/>
        </w:rPr>
        <w:br/>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 xml:space="preserve">Identidad de Género: </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Término utilizado para describir el sentir de las personas transgéneros, las cuales se identifican con el género opuesto. Es decir, que una persona puede sentir subjetivamente una identidad de género distinta de sus características sexuales o fisiológicas.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OEA. Villalta Vizcarra</w:t>
      </w:r>
      <w:r w:rsidRPr="006A5C73">
        <w:rPr>
          <w:rFonts w:asciiTheme="minorHAnsi" w:hAnsiTheme="minorHAnsi" w:cstheme="minorHAnsi"/>
          <w:b/>
          <w:sz w:val="22"/>
          <w:szCs w:val="22"/>
          <w:lang w:val="es-ES"/>
        </w:rPr>
        <w:t xml:space="preserve"> </w:t>
      </w:r>
      <w:r w:rsidRPr="006A5C73">
        <w:rPr>
          <w:rFonts w:asciiTheme="minorHAnsi" w:hAnsiTheme="minorHAnsi" w:cstheme="minorHAnsi"/>
          <w:sz w:val="22"/>
          <w:szCs w:val="22"/>
          <w:lang w:val="es-ES"/>
        </w:rPr>
        <w:t>Ana Elizabeth. Orientación sexual, identidad de género y expresión de género.2013</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Expresión de Género:</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Manifestación externa de los rasgos culturales que permiten identificar a una persona como masculina o femenina conforme a los patrones considerados propios de cada género, por una determinada sociedad en un momento histórico determinado.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OEA. Villalta Vizcarra</w:t>
      </w:r>
      <w:r w:rsidRPr="006A5C73">
        <w:rPr>
          <w:rFonts w:asciiTheme="minorHAnsi" w:hAnsiTheme="minorHAnsi" w:cstheme="minorHAnsi"/>
          <w:b/>
          <w:sz w:val="22"/>
          <w:szCs w:val="22"/>
          <w:lang w:val="es-ES"/>
        </w:rPr>
        <w:t xml:space="preserve"> </w:t>
      </w:r>
      <w:r w:rsidRPr="006A5C73">
        <w:rPr>
          <w:rFonts w:asciiTheme="minorHAnsi" w:hAnsiTheme="minorHAnsi" w:cstheme="minorHAnsi"/>
          <w:sz w:val="22"/>
          <w:szCs w:val="22"/>
          <w:lang w:val="es-ES"/>
        </w:rPr>
        <w:t>Ana Elizabeth. Orientación sexual, identidad de género y expresión de género.2013</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p>
    <w:p w:rsidR="00F40BD1" w:rsidRDefault="00F40BD1" w:rsidP="006A5C73">
      <w:pPr>
        <w:jc w:val="both"/>
        <w:rPr>
          <w:rFonts w:asciiTheme="minorHAnsi" w:hAnsiTheme="minorHAnsi" w:cstheme="minorHAnsi"/>
          <w:sz w:val="22"/>
          <w:szCs w:val="22"/>
          <w:lang w:val="es-ES"/>
        </w:rPr>
      </w:pPr>
    </w:p>
    <w:p w:rsidR="006A5C73" w:rsidRPr="006A5C73" w:rsidRDefault="009F360C" w:rsidP="006A5C73">
      <w:pPr>
        <w:jc w:val="both"/>
        <w:rPr>
          <w:rFonts w:asciiTheme="minorHAnsi" w:hAnsiTheme="minorHAnsi" w:cstheme="minorHAnsi"/>
          <w:b/>
          <w:sz w:val="22"/>
          <w:szCs w:val="22"/>
          <w:lang w:val="es-ES"/>
        </w:rPr>
      </w:pPr>
      <w:r w:rsidRPr="006A5C73">
        <w:rPr>
          <w:rFonts w:asciiTheme="minorHAnsi" w:hAnsiTheme="minorHAnsi" w:cstheme="minorHAnsi"/>
          <w:b/>
          <w:sz w:val="22"/>
          <w:szCs w:val="22"/>
          <w:lang w:val="es-ES"/>
        </w:rPr>
        <w:lastRenderedPageBreak/>
        <w:t>Afirmación</w:t>
      </w:r>
      <w:r w:rsidR="006A5C73" w:rsidRPr="006A5C73">
        <w:rPr>
          <w:rFonts w:asciiTheme="minorHAnsi" w:hAnsiTheme="minorHAnsi" w:cstheme="minorHAnsi"/>
          <w:b/>
          <w:sz w:val="22"/>
          <w:szCs w:val="22"/>
          <w:lang w:val="es-ES"/>
        </w:rPr>
        <w:t xml:space="preserve"> del género</w:t>
      </w:r>
    </w:p>
    <w:p w:rsidR="006A5C73" w:rsidRDefault="006A5C73" w:rsidP="006A5C73">
      <w:pPr>
        <w:jc w:val="both"/>
        <w:rPr>
          <w:rFonts w:asciiTheme="minorHAnsi" w:hAnsiTheme="minorHAnsi" w:cstheme="minorHAnsi"/>
          <w:sz w:val="22"/>
          <w:szCs w:val="22"/>
          <w:lang w:val="es-ES"/>
        </w:rPr>
      </w:pPr>
      <w:r>
        <w:rPr>
          <w:rFonts w:asciiTheme="minorHAnsi" w:hAnsiTheme="minorHAnsi" w:cstheme="minorHAnsi"/>
          <w:sz w:val="22"/>
          <w:szCs w:val="22"/>
          <w:lang w:val="es-ES"/>
        </w:rPr>
        <w:t>Se refiere a los procedimientos médicos que permiten que una persona trans viva su identidad de género de una manera autentica</w:t>
      </w:r>
    </w:p>
    <w:p w:rsidR="006A5C73" w:rsidRDefault="006A5C73" w:rsidP="006A5C73">
      <w:pPr>
        <w:jc w:val="both"/>
        <w:rPr>
          <w:rFonts w:asciiTheme="minorHAnsi" w:hAnsiTheme="minorHAnsi" w:cstheme="minorHAnsi"/>
          <w:b/>
          <w:sz w:val="22"/>
          <w:szCs w:val="22"/>
          <w:lang w:val="es-ES"/>
        </w:rPr>
      </w:pPr>
    </w:p>
    <w:p w:rsidR="009F360C" w:rsidRDefault="009F360C" w:rsidP="009F360C">
      <w:pPr>
        <w:jc w:val="both"/>
        <w:rPr>
          <w:rFonts w:asciiTheme="minorHAnsi" w:hAnsiTheme="minorHAnsi" w:cstheme="minorHAnsi"/>
          <w:b/>
          <w:sz w:val="22"/>
          <w:szCs w:val="22"/>
          <w:lang w:val="es-ES"/>
        </w:rPr>
      </w:pPr>
      <w:r w:rsidRPr="006A5C73">
        <w:rPr>
          <w:rFonts w:asciiTheme="minorHAnsi" w:hAnsiTheme="minorHAnsi" w:cstheme="minorHAnsi"/>
          <w:sz w:val="22"/>
          <w:szCs w:val="22"/>
          <w:lang w:val="es-ES"/>
        </w:rPr>
        <w:t xml:space="preserve">Fuente: </w:t>
      </w:r>
      <w:r>
        <w:rPr>
          <w:rFonts w:asciiTheme="minorHAnsi" w:hAnsiTheme="minorHAnsi" w:cstheme="minorHAnsi"/>
          <w:sz w:val="22"/>
          <w:szCs w:val="22"/>
          <w:lang w:val="es-ES"/>
        </w:rPr>
        <w:t>UNDP, RGT</w:t>
      </w:r>
      <w:proofErr w:type="gramStart"/>
      <w:r>
        <w:rPr>
          <w:rFonts w:asciiTheme="minorHAnsi" w:hAnsiTheme="minorHAnsi" w:cstheme="minorHAnsi"/>
          <w:sz w:val="22"/>
          <w:szCs w:val="22"/>
          <w:lang w:val="es-ES"/>
        </w:rPr>
        <w:t>,UNAIDS</w:t>
      </w:r>
      <w:proofErr w:type="gramEnd"/>
      <w:r>
        <w:rPr>
          <w:rFonts w:asciiTheme="minorHAnsi" w:hAnsiTheme="minorHAnsi" w:cstheme="minorHAnsi"/>
          <w:sz w:val="22"/>
          <w:szCs w:val="22"/>
          <w:lang w:val="es-ES"/>
        </w:rPr>
        <w:t xml:space="preserve">, UNFPA, </w:t>
      </w:r>
      <w:r w:rsidRPr="006A5C73">
        <w:rPr>
          <w:rFonts w:asciiTheme="minorHAnsi" w:hAnsiTheme="minorHAnsi" w:cstheme="minorHAnsi"/>
          <w:sz w:val="22"/>
          <w:szCs w:val="22"/>
          <w:lang w:val="es-ES"/>
        </w:rPr>
        <w:t>OMS</w:t>
      </w:r>
      <w:r>
        <w:rPr>
          <w:rFonts w:asciiTheme="minorHAnsi" w:hAnsiTheme="minorHAnsi" w:cstheme="minorHAnsi"/>
          <w:sz w:val="22"/>
          <w:szCs w:val="22"/>
          <w:lang w:val="es-ES"/>
        </w:rPr>
        <w:t>,USAID, PEPFAR</w:t>
      </w:r>
      <w:r w:rsidRPr="006A5C73">
        <w:rPr>
          <w:rFonts w:asciiTheme="minorHAnsi" w:hAnsiTheme="minorHAnsi" w:cstheme="minorHAnsi"/>
          <w:sz w:val="22"/>
          <w:szCs w:val="22"/>
          <w:lang w:val="es-ES"/>
        </w:rPr>
        <w:t xml:space="preserve">. </w:t>
      </w:r>
      <w:r w:rsidRPr="009F360C">
        <w:rPr>
          <w:rFonts w:asciiTheme="minorHAnsi" w:hAnsiTheme="minorHAnsi" w:cstheme="minorHAnsi"/>
          <w:sz w:val="22"/>
          <w:szCs w:val="22"/>
          <w:lang w:val="es-ES"/>
        </w:rPr>
        <w:t>Implementación integral de programas de VIH e ITS con personas transgénero</w:t>
      </w:r>
      <w:r>
        <w:rPr>
          <w:rFonts w:asciiTheme="minorHAnsi" w:hAnsiTheme="minorHAnsi" w:cstheme="minorHAnsi"/>
          <w:sz w:val="22"/>
          <w:szCs w:val="22"/>
          <w:lang w:val="es-ES"/>
        </w:rPr>
        <w:t>.</w:t>
      </w:r>
      <w:r w:rsidRPr="009F360C">
        <w:rPr>
          <w:rFonts w:asciiTheme="minorHAnsi" w:hAnsiTheme="minorHAnsi" w:cstheme="minorHAnsi"/>
          <w:sz w:val="22"/>
          <w:szCs w:val="22"/>
          <w:lang w:val="es-ES"/>
        </w:rPr>
        <w:t xml:space="preserve"> GUÍA PRÁCTICA PARA LAS INTERVENCIONES DE COLABORACIÓN</w:t>
      </w:r>
      <w:r>
        <w:rPr>
          <w:rFonts w:asciiTheme="minorHAnsi" w:hAnsiTheme="minorHAnsi" w:cstheme="minorHAnsi"/>
          <w:sz w:val="22"/>
          <w:szCs w:val="22"/>
          <w:lang w:val="es-ES"/>
        </w:rPr>
        <w:t>. USA. 2016</w:t>
      </w:r>
    </w:p>
    <w:p w:rsidR="009F360C" w:rsidRPr="006A5C73" w:rsidRDefault="009F360C" w:rsidP="006A5C73">
      <w:pPr>
        <w:jc w:val="both"/>
        <w:rPr>
          <w:rFonts w:asciiTheme="minorHAnsi" w:hAnsiTheme="minorHAnsi" w:cstheme="minorHAnsi"/>
          <w:b/>
          <w:sz w:val="22"/>
          <w:szCs w:val="22"/>
          <w:lang w:val="es-ES"/>
        </w:rPr>
      </w:pPr>
    </w:p>
    <w:p w:rsidR="006A5C73" w:rsidRDefault="009F360C" w:rsidP="006A5C73">
      <w:pPr>
        <w:jc w:val="both"/>
        <w:rPr>
          <w:rFonts w:asciiTheme="minorHAnsi" w:hAnsiTheme="minorHAnsi" w:cstheme="minorHAnsi"/>
          <w:b/>
          <w:sz w:val="22"/>
          <w:szCs w:val="22"/>
          <w:lang w:val="es-ES"/>
        </w:rPr>
      </w:pPr>
      <w:r w:rsidRPr="006A5C73">
        <w:rPr>
          <w:rFonts w:asciiTheme="minorHAnsi" w:hAnsiTheme="minorHAnsi" w:cstheme="minorHAnsi"/>
          <w:b/>
          <w:sz w:val="22"/>
          <w:szCs w:val="22"/>
          <w:lang w:val="es-ES"/>
        </w:rPr>
        <w:t>Transición</w:t>
      </w:r>
    </w:p>
    <w:p w:rsidR="006A5C73" w:rsidRPr="006A5C73" w:rsidRDefault="006A5C73"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Se refiere al proceso al que se someten las personas trans para vivir su identidad de género de una manera auténtica. Este puede implicar cambios en la apariencia externa, la ropa, los gestos o el nombre que se utiliza en las interacciones cotidianas. A veces esta clase de cambios se denominan “transiciones sociales”. La transición también puede conllevar medidas médicas que ayuden a ajustar la anatomía de una persona con su identidad de género. A estas medidas a veces se las conoce como “transición médica” y pueden abarcar terapias hormonales para la feminización o masculinización, el relleno de los tejidos blandos o cirugías. Sin embargo, la transición no la definen las medidas médicas que se hayan adoptado o no.</w:t>
      </w:r>
    </w:p>
    <w:p w:rsidR="006A5C73" w:rsidRDefault="006A5C73" w:rsidP="006A5C73">
      <w:pPr>
        <w:jc w:val="both"/>
        <w:rPr>
          <w:rFonts w:asciiTheme="minorHAnsi" w:hAnsiTheme="minorHAnsi" w:cstheme="minorHAnsi"/>
          <w:sz w:val="22"/>
          <w:szCs w:val="22"/>
          <w:lang w:val="es-ES"/>
        </w:rPr>
      </w:pPr>
    </w:p>
    <w:p w:rsidR="00B35F9E" w:rsidRDefault="00B35F9E" w:rsidP="00B35F9E">
      <w:pPr>
        <w:jc w:val="both"/>
        <w:rPr>
          <w:rFonts w:asciiTheme="minorHAnsi" w:hAnsiTheme="minorHAnsi" w:cstheme="minorHAnsi"/>
          <w:b/>
          <w:sz w:val="22"/>
          <w:szCs w:val="22"/>
          <w:lang w:val="es-ES"/>
        </w:rPr>
      </w:pPr>
      <w:r w:rsidRPr="006A5C73">
        <w:rPr>
          <w:rFonts w:asciiTheme="minorHAnsi" w:hAnsiTheme="minorHAnsi" w:cstheme="minorHAnsi"/>
          <w:sz w:val="22"/>
          <w:szCs w:val="22"/>
          <w:lang w:val="es-ES"/>
        </w:rPr>
        <w:t xml:space="preserve">Fuente: </w:t>
      </w:r>
      <w:r>
        <w:rPr>
          <w:rFonts w:asciiTheme="minorHAnsi" w:hAnsiTheme="minorHAnsi" w:cstheme="minorHAnsi"/>
          <w:sz w:val="22"/>
          <w:szCs w:val="22"/>
          <w:lang w:val="es-ES"/>
        </w:rPr>
        <w:t>UNDP, RGT</w:t>
      </w:r>
      <w:proofErr w:type="gramStart"/>
      <w:r>
        <w:rPr>
          <w:rFonts w:asciiTheme="minorHAnsi" w:hAnsiTheme="minorHAnsi" w:cstheme="minorHAnsi"/>
          <w:sz w:val="22"/>
          <w:szCs w:val="22"/>
          <w:lang w:val="es-ES"/>
        </w:rPr>
        <w:t>,UNAIDS</w:t>
      </w:r>
      <w:proofErr w:type="gramEnd"/>
      <w:r>
        <w:rPr>
          <w:rFonts w:asciiTheme="minorHAnsi" w:hAnsiTheme="minorHAnsi" w:cstheme="minorHAnsi"/>
          <w:sz w:val="22"/>
          <w:szCs w:val="22"/>
          <w:lang w:val="es-ES"/>
        </w:rPr>
        <w:t xml:space="preserve">, UNFPA, </w:t>
      </w:r>
      <w:r w:rsidRPr="006A5C73">
        <w:rPr>
          <w:rFonts w:asciiTheme="minorHAnsi" w:hAnsiTheme="minorHAnsi" w:cstheme="minorHAnsi"/>
          <w:sz w:val="22"/>
          <w:szCs w:val="22"/>
          <w:lang w:val="es-ES"/>
        </w:rPr>
        <w:t>OMS</w:t>
      </w:r>
      <w:r>
        <w:rPr>
          <w:rFonts w:asciiTheme="minorHAnsi" w:hAnsiTheme="minorHAnsi" w:cstheme="minorHAnsi"/>
          <w:sz w:val="22"/>
          <w:szCs w:val="22"/>
          <w:lang w:val="es-ES"/>
        </w:rPr>
        <w:t>,USAID, PEPFAR</w:t>
      </w:r>
      <w:r w:rsidRPr="006A5C73">
        <w:rPr>
          <w:rFonts w:asciiTheme="minorHAnsi" w:hAnsiTheme="minorHAnsi" w:cstheme="minorHAnsi"/>
          <w:sz w:val="22"/>
          <w:szCs w:val="22"/>
          <w:lang w:val="es-ES"/>
        </w:rPr>
        <w:t xml:space="preserve">. </w:t>
      </w:r>
      <w:r w:rsidRPr="009F360C">
        <w:rPr>
          <w:rFonts w:asciiTheme="minorHAnsi" w:hAnsiTheme="minorHAnsi" w:cstheme="minorHAnsi"/>
          <w:sz w:val="22"/>
          <w:szCs w:val="22"/>
          <w:lang w:val="es-ES"/>
        </w:rPr>
        <w:t>Implementación integral de programas de VIH e ITS con personas transgénero</w:t>
      </w:r>
      <w:r>
        <w:rPr>
          <w:rFonts w:asciiTheme="minorHAnsi" w:hAnsiTheme="minorHAnsi" w:cstheme="minorHAnsi"/>
          <w:sz w:val="22"/>
          <w:szCs w:val="22"/>
          <w:lang w:val="es-ES"/>
        </w:rPr>
        <w:t>.</w:t>
      </w:r>
      <w:r w:rsidRPr="009F360C">
        <w:rPr>
          <w:rFonts w:asciiTheme="minorHAnsi" w:hAnsiTheme="minorHAnsi" w:cstheme="minorHAnsi"/>
          <w:sz w:val="22"/>
          <w:szCs w:val="22"/>
          <w:lang w:val="es-ES"/>
        </w:rPr>
        <w:t xml:space="preserve"> GUÍA PRÁCTICA PARA LAS INTERVENCIONES DE COLABORACIÓN</w:t>
      </w:r>
      <w:r>
        <w:rPr>
          <w:rFonts w:asciiTheme="minorHAnsi" w:hAnsiTheme="minorHAnsi" w:cstheme="minorHAnsi"/>
          <w:sz w:val="22"/>
          <w:szCs w:val="22"/>
          <w:lang w:val="es-ES"/>
        </w:rPr>
        <w:t>. USA. 2016</w:t>
      </w:r>
    </w:p>
    <w:p w:rsidR="006A5C73" w:rsidRDefault="006A5C73"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Diversidad Sexual:</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Término que encierra y celebra todas las formas de expresión que muestran las diferentes orientaciones sexuales y la identidad de género.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OEA. Villalta Vizcarra</w:t>
      </w:r>
      <w:r w:rsidRPr="006A5C73">
        <w:rPr>
          <w:rFonts w:asciiTheme="minorHAnsi" w:hAnsiTheme="minorHAnsi" w:cstheme="minorHAnsi"/>
          <w:b/>
          <w:sz w:val="22"/>
          <w:szCs w:val="22"/>
          <w:lang w:val="es-ES"/>
        </w:rPr>
        <w:t xml:space="preserve"> </w:t>
      </w:r>
      <w:r w:rsidRPr="006A5C73">
        <w:rPr>
          <w:rFonts w:asciiTheme="minorHAnsi" w:hAnsiTheme="minorHAnsi" w:cstheme="minorHAnsi"/>
          <w:sz w:val="22"/>
          <w:szCs w:val="22"/>
          <w:lang w:val="es-ES"/>
        </w:rPr>
        <w:t>Ana Elizabeth. Orientación sexual, identidad de género y expresión de género.2013</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LGBTI</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Comprende a las personas “lesbianas, gay, bisexual, trans e intersexuales”.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Lesbiana</w:t>
      </w:r>
      <w:r w:rsidRPr="006A5C73">
        <w:rPr>
          <w:rFonts w:asciiTheme="minorHAnsi" w:hAnsiTheme="minorHAnsi" w:cstheme="minorHAnsi"/>
          <w:sz w:val="22"/>
          <w:szCs w:val="22"/>
          <w:lang w:val="es-ES"/>
        </w:rPr>
        <w:t>, es la mujer que siente atracción física o emocional por otras mujeres.</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Gay</w:t>
      </w:r>
      <w:r w:rsidRPr="006A5C73">
        <w:rPr>
          <w:rFonts w:asciiTheme="minorHAnsi" w:hAnsiTheme="minorHAnsi" w:cstheme="minorHAnsi"/>
          <w:sz w:val="22"/>
          <w:szCs w:val="22"/>
          <w:lang w:val="es-ES"/>
        </w:rPr>
        <w:t>, es persona que se siente atraída emocional y físicamente hacia otra persona del mismo sexo (término utilizado generalmente para hombres).</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Bisexual</w:t>
      </w:r>
      <w:r w:rsidRPr="006A5C73">
        <w:rPr>
          <w:rFonts w:asciiTheme="minorHAnsi" w:hAnsiTheme="minorHAnsi" w:cstheme="minorHAnsi"/>
          <w:sz w:val="22"/>
          <w:szCs w:val="22"/>
          <w:lang w:val="es-ES"/>
        </w:rPr>
        <w:t>, es la persona que siente atracción física y emocional tanto por hombres como por mujeres.</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Transgénero</w:t>
      </w:r>
      <w:r w:rsidRPr="006A5C73">
        <w:rPr>
          <w:rFonts w:asciiTheme="minorHAnsi" w:hAnsiTheme="minorHAnsi" w:cstheme="minorHAnsi"/>
          <w:sz w:val="22"/>
          <w:szCs w:val="22"/>
          <w:lang w:val="es-ES"/>
        </w:rPr>
        <w:t>, es un término utilizado para aquellas personas que tienen identidad de género y expresión de género diferentes a su sexo biológico.</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Transexual</w:t>
      </w:r>
      <w:r w:rsidRPr="006A5C73">
        <w:rPr>
          <w:rFonts w:asciiTheme="minorHAnsi" w:hAnsiTheme="minorHAnsi" w:cstheme="minorHAnsi"/>
          <w:sz w:val="22"/>
          <w:szCs w:val="22"/>
          <w:lang w:val="es-ES"/>
        </w:rPr>
        <w:t xml:space="preserve">, persona cuya identidad de género es diferente a su sexo biológico, estas personas por regla general modifican sus cuerpos para que su sexo coincida con su identidad de género.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Travesti</w:t>
      </w:r>
      <w:r w:rsidRPr="006A5C73">
        <w:rPr>
          <w:rFonts w:asciiTheme="minorHAnsi" w:hAnsiTheme="minorHAnsi" w:cstheme="minorHAnsi"/>
          <w:sz w:val="22"/>
          <w:szCs w:val="22"/>
          <w:lang w:val="es-ES"/>
        </w:rPr>
        <w:t>, es la persona que se viste con ropa del sexo opuesto, pero que no necesariamente se identifica con ese género.</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 </w:t>
      </w:r>
      <w:r w:rsidRPr="006A5C73">
        <w:rPr>
          <w:rFonts w:asciiTheme="minorHAnsi" w:hAnsiTheme="minorHAnsi" w:cstheme="minorHAnsi"/>
          <w:b/>
          <w:sz w:val="22"/>
          <w:szCs w:val="22"/>
          <w:lang w:val="es-ES"/>
        </w:rPr>
        <w:t>Intersexua</w:t>
      </w:r>
      <w:r w:rsidRPr="006A5C73">
        <w:rPr>
          <w:rFonts w:asciiTheme="minorHAnsi" w:hAnsiTheme="minorHAnsi" w:cstheme="minorHAnsi"/>
          <w:sz w:val="22"/>
          <w:szCs w:val="22"/>
          <w:lang w:val="es-ES"/>
        </w:rPr>
        <w:t xml:space="preserve">l, término utilizado para referirse a las personas que nacen con órganos genitales o aparatos reproductores internos masculinos y femeninos.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Heterosexual</w:t>
      </w:r>
      <w:r w:rsidRPr="006A5C73">
        <w:rPr>
          <w:rFonts w:asciiTheme="minorHAnsi" w:hAnsiTheme="minorHAnsi" w:cstheme="minorHAnsi"/>
          <w:sz w:val="22"/>
          <w:szCs w:val="22"/>
          <w:lang w:val="es-ES"/>
        </w:rPr>
        <w:t>, personas cuya atracción física y emocional se dirigen hacia las personas del sexo opuesto.</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OEA. Villalta Vizcarra</w:t>
      </w:r>
      <w:r w:rsidRPr="006A5C73">
        <w:rPr>
          <w:rFonts w:asciiTheme="minorHAnsi" w:hAnsiTheme="minorHAnsi" w:cstheme="minorHAnsi"/>
          <w:b/>
          <w:sz w:val="22"/>
          <w:szCs w:val="22"/>
          <w:lang w:val="es-ES"/>
        </w:rPr>
        <w:t xml:space="preserve"> </w:t>
      </w:r>
      <w:r w:rsidRPr="006A5C73">
        <w:rPr>
          <w:rFonts w:asciiTheme="minorHAnsi" w:hAnsiTheme="minorHAnsi" w:cstheme="minorHAnsi"/>
          <w:sz w:val="22"/>
          <w:szCs w:val="22"/>
          <w:lang w:val="es-ES"/>
        </w:rPr>
        <w:t>Ana Elizabeth. Orientación sexual, identidad de género y expresión de género.2013</w:t>
      </w:r>
    </w:p>
    <w:p w:rsidR="009F360C" w:rsidRDefault="009F360C" w:rsidP="006A5C73">
      <w:pPr>
        <w:jc w:val="both"/>
        <w:rPr>
          <w:rFonts w:asciiTheme="minorHAnsi" w:hAnsiTheme="minorHAnsi" w:cstheme="minorHAnsi"/>
          <w:sz w:val="22"/>
          <w:szCs w:val="22"/>
          <w:lang w:val="es-CR"/>
        </w:rPr>
      </w:pPr>
    </w:p>
    <w:p w:rsidR="009741AF" w:rsidRDefault="009741AF" w:rsidP="009741AF">
      <w:pPr>
        <w:shd w:val="clear" w:color="auto" w:fill="FFFFFF" w:themeFill="background1"/>
        <w:jc w:val="both"/>
        <w:rPr>
          <w:rFonts w:asciiTheme="minorHAnsi" w:hAnsiTheme="minorHAnsi" w:cstheme="minorHAnsi"/>
          <w:b/>
          <w:sz w:val="22"/>
          <w:szCs w:val="22"/>
          <w:lang w:val="es-ES"/>
        </w:rPr>
      </w:pPr>
      <w:r w:rsidRPr="009741AF">
        <w:rPr>
          <w:rFonts w:asciiTheme="minorHAnsi" w:hAnsiTheme="minorHAnsi" w:cstheme="minorHAnsi"/>
          <w:b/>
          <w:sz w:val="22"/>
          <w:szCs w:val="22"/>
          <w:lang w:val="es-ES"/>
        </w:rPr>
        <w:t>Pansexual</w:t>
      </w:r>
    </w:p>
    <w:p w:rsidR="009741AF" w:rsidRPr="00730CC6" w:rsidRDefault="009741AF" w:rsidP="009741AF">
      <w:pPr>
        <w:shd w:val="clear" w:color="auto" w:fill="FFFFFF" w:themeFill="background1"/>
        <w:jc w:val="both"/>
        <w:rPr>
          <w:rFonts w:asciiTheme="minorHAnsi" w:hAnsiTheme="minorHAnsi" w:cstheme="minorHAnsi"/>
          <w:b/>
          <w:sz w:val="22"/>
          <w:szCs w:val="22"/>
          <w:lang w:val="es-ES"/>
        </w:rPr>
      </w:pPr>
    </w:p>
    <w:p w:rsidR="009741AF" w:rsidRPr="00730CC6" w:rsidRDefault="00730CC6" w:rsidP="009741AF">
      <w:pPr>
        <w:shd w:val="clear" w:color="auto" w:fill="FFFFFF" w:themeFill="background1"/>
        <w:jc w:val="both"/>
        <w:rPr>
          <w:rFonts w:asciiTheme="minorHAnsi" w:hAnsiTheme="minorHAnsi" w:cstheme="minorHAnsi"/>
          <w:sz w:val="22"/>
          <w:szCs w:val="22"/>
          <w:lang w:val="es-ES"/>
        </w:rPr>
      </w:pPr>
      <w:r w:rsidRPr="00730CC6">
        <w:rPr>
          <w:rFonts w:asciiTheme="minorHAnsi" w:hAnsiTheme="minorHAnsi" w:cstheme="minorHAnsi"/>
          <w:sz w:val="22"/>
          <w:szCs w:val="22"/>
          <w:lang w:val="es-ES"/>
        </w:rPr>
        <w:t>Capacidad de una persona de sentir atracción erótica afectiva hacia otra persona, con independencia del sexo, género, identidad de género, orientación sexual o roles sexuales, así como la capacidad de mantener relaciones íntimas y/o sexuales con ella</w:t>
      </w:r>
    </w:p>
    <w:p w:rsidR="00730CC6" w:rsidRDefault="00730CC6" w:rsidP="009741AF">
      <w:pPr>
        <w:shd w:val="clear" w:color="auto" w:fill="FFFFFF" w:themeFill="background1"/>
        <w:jc w:val="both"/>
        <w:rPr>
          <w:rFonts w:asciiTheme="minorHAnsi" w:hAnsiTheme="minorHAnsi" w:cstheme="minorHAnsi"/>
          <w:sz w:val="22"/>
          <w:szCs w:val="22"/>
          <w:lang w:val="es-ES"/>
        </w:rPr>
      </w:pPr>
    </w:p>
    <w:p w:rsidR="00034C63" w:rsidRPr="00034C63" w:rsidRDefault="00034C63" w:rsidP="009741AF">
      <w:pPr>
        <w:shd w:val="clear" w:color="auto" w:fill="FFFFFF" w:themeFill="background1"/>
        <w:jc w:val="both"/>
        <w:rPr>
          <w:rFonts w:asciiTheme="minorHAnsi" w:hAnsiTheme="minorHAnsi" w:cstheme="minorHAnsi"/>
          <w:sz w:val="22"/>
          <w:szCs w:val="22"/>
          <w:lang w:val="es-ES"/>
        </w:rPr>
      </w:pPr>
      <w:r w:rsidRPr="00034C63">
        <w:rPr>
          <w:rFonts w:asciiTheme="minorHAnsi" w:hAnsiTheme="minorHAnsi" w:cstheme="minorHAnsi"/>
          <w:sz w:val="22"/>
          <w:szCs w:val="22"/>
          <w:lang w:val="es-ES"/>
        </w:rPr>
        <w:t>Glosario de la diversidad sexual, de género y características sexuales</w:t>
      </w:r>
      <w:r>
        <w:rPr>
          <w:rFonts w:asciiTheme="minorHAnsi" w:hAnsiTheme="minorHAnsi" w:cstheme="minorHAnsi"/>
          <w:sz w:val="22"/>
          <w:szCs w:val="22"/>
          <w:lang w:val="es-ES"/>
        </w:rPr>
        <w:t>.</w:t>
      </w:r>
      <w:r w:rsidRPr="00034C63">
        <w:rPr>
          <w:rFonts w:asciiTheme="minorHAnsi" w:hAnsiTheme="minorHAnsi" w:cstheme="minorHAnsi"/>
          <w:sz w:val="22"/>
          <w:szCs w:val="22"/>
          <w:lang w:val="es-ES"/>
        </w:rPr>
        <w:t xml:space="preserve"> Consejo Nacional para prevenir la discriminación. Secretaria de Gobernación. México 2016</w:t>
      </w:r>
    </w:p>
    <w:p w:rsidR="00034C63" w:rsidRDefault="00034C63" w:rsidP="006A5C73">
      <w:pPr>
        <w:pStyle w:val="NormalWeb"/>
        <w:spacing w:before="0" w:beforeAutospacing="0" w:after="0" w:afterAutospacing="0"/>
        <w:jc w:val="both"/>
        <w:rPr>
          <w:rFonts w:asciiTheme="minorHAnsi" w:eastAsiaTheme="minorHAnsi" w:hAnsiTheme="minorHAnsi" w:cstheme="minorHAnsi"/>
          <w:b/>
          <w:sz w:val="22"/>
          <w:szCs w:val="22"/>
          <w:lang w:eastAsia="en-US"/>
        </w:rPr>
      </w:pPr>
    </w:p>
    <w:p w:rsidR="00F40BD1" w:rsidRPr="006A5C73" w:rsidRDefault="00F40BD1" w:rsidP="006A5C73">
      <w:pPr>
        <w:pStyle w:val="NormalWeb"/>
        <w:spacing w:before="0" w:beforeAutospacing="0" w:after="0" w:afterAutospacing="0"/>
        <w:jc w:val="both"/>
        <w:rPr>
          <w:rFonts w:asciiTheme="minorHAnsi" w:eastAsiaTheme="minorHAnsi" w:hAnsiTheme="minorHAnsi" w:cstheme="minorHAnsi"/>
          <w:b/>
          <w:sz w:val="22"/>
          <w:szCs w:val="22"/>
          <w:lang w:eastAsia="en-US"/>
        </w:rPr>
      </w:pPr>
      <w:r w:rsidRPr="006A5C73">
        <w:rPr>
          <w:rFonts w:asciiTheme="minorHAnsi" w:eastAsiaTheme="minorHAnsi" w:hAnsiTheme="minorHAnsi" w:cstheme="minorHAnsi"/>
          <w:b/>
          <w:sz w:val="22"/>
          <w:szCs w:val="22"/>
          <w:lang w:eastAsia="en-US"/>
        </w:rPr>
        <w:t>Sexualidad:</w:t>
      </w:r>
    </w:p>
    <w:p w:rsidR="00F40BD1" w:rsidRPr="006A5C73" w:rsidRDefault="00F40BD1" w:rsidP="006A5C73">
      <w:pPr>
        <w:pStyle w:val="NormalWeb"/>
        <w:spacing w:before="0" w:beforeAutospacing="0" w:after="0" w:afterAutospacing="0"/>
        <w:jc w:val="both"/>
        <w:rPr>
          <w:rFonts w:asciiTheme="minorHAnsi" w:eastAsiaTheme="minorHAnsi" w:hAnsiTheme="minorHAnsi" w:cstheme="minorHAnsi"/>
          <w:sz w:val="22"/>
          <w:szCs w:val="22"/>
          <w:lang w:eastAsia="en-US"/>
        </w:rPr>
      </w:pPr>
      <w:r w:rsidRPr="006A5C73">
        <w:rPr>
          <w:rFonts w:asciiTheme="minorHAnsi" w:eastAsiaTheme="minorHAnsi" w:hAnsiTheme="minorHAnsi" w:cstheme="minorHAnsi"/>
          <w:sz w:val="22"/>
          <w:szCs w:val="22"/>
          <w:lang w:eastAsia="en-US"/>
        </w:rPr>
        <w:t>“La sexualidad es un aspecto fundamental de la condición humana, presente a lo largo de la vida y abarca el sexo, las identidades y los papeles de género, la orientación sexual, el erotismo, el placer, la intimidad y la reproducción. La sexualidad se vivencia y se expresa por medio de pensamientos, fantasías, deseos, creencias, actitudes, valores, comportamientos, prácticas, funciones y relaciones. Si bien la sexualidad puede incluir todas estas dimensiones, no todas ellas se vivencian o expresan siempre. La sexualidad recibe la influencia de la interacción de factores biológicos, psicológicos, sociales, económicos, políticos, culturales, éticos, legales, históricos, así como religiosos y espirituales.” (</w:t>
      </w:r>
      <w:proofErr w:type="spellStart"/>
      <w:r w:rsidRPr="006A5C73">
        <w:rPr>
          <w:rFonts w:asciiTheme="minorHAnsi" w:eastAsiaTheme="minorHAnsi" w:hAnsiTheme="minorHAnsi" w:cstheme="minorHAnsi"/>
          <w:sz w:val="22"/>
          <w:szCs w:val="22"/>
          <w:lang w:eastAsia="en-US"/>
        </w:rPr>
        <w:t>World</w:t>
      </w:r>
      <w:proofErr w:type="spellEnd"/>
      <w:r w:rsidRPr="006A5C73">
        <w:rPr>
          <w:rFonts w:asciiTheme="minorHAnsi" w:eastAsiaTheme="minorHAnsi" w:hAnsiTheme="minorHAnsi" w:cstheme="minorHAnsi"/>
          <w:sz w:val="22"/>
          <w:szCs w:val="22"/>
          <w:lang w:eastAsia="en-US"/>
        </w:rPr>
        <w:t xml:space="preserve"> </w:t>
      </w:r>
      <w:proofErr w:type="spellStart"/>
      <w:r w:rsidRPr="006A5C73">
        <w:rPr>
          <w:rFonts w:asciiTheme="minorHAnsi" w:eastAsiaTheme="minorHAnsi" w:hAnsiTheme="minorHAnsi" w:cstheme="minorHAnsi"/>
          <w:sz w:val="22"/>
          <w:szCs w:val="22"/>
          <w:lang w:eastAsia="en-US"/>
        </w:rPr>
        <w:t>Health</w:t>
      </w:r>
      <w:proofErr w:type="spellEnd"/>
      <w:r w:rsidRPr="006A5C73">
        <w:rPr>
          <w:rFonts w:asciiTheme="minorHAnsi" w:eastAsiaTheme="minorHAnsi" w:hAnsiTheme="minorHAnsi" w:cstheme="minorHAnsi"/>
          <w:sz w:val="22"/>
          <w:szCs w:val="22"/>
          <w:lang w:eastAsia="en-US"/>
        </w:rPr>
        <w:t xml:space="preserve"> </w:t>
      </w:r>
      <w:proofErr w:type="spellStart"/>
      <w:r w:rsidRPr="006A5C73">
        <w:rPr>
          <w:rFonts w:asciiTheme="minorHAnsi" w:eastAsiaTheme="minorHAnsi" w:hAnsiTheme="minorHAnsi" w:cstheme="minorHAnsi"/>
          <w:sz w:val="22"/>
          <w:szCs w:val="22"/>
          <w:lang w:eastAsia="en-US"/>
        </w:rPr>
        <w:t>Organization</w:t>
      </w:r>
      <w:proofErr w:type="spellEnd"/>
      <w:r w:rsidRPr="006A5C73">
        <w:rPr>
          <w:rFonts w:asciiTheme="minorHAnsi" w:eastAsiaTheme="minorHAnsi" w:hAnsiTheme="minorHAnsi" w:cstheme="minorHAnsi"/>
          <w:sz w:val="22"/>
          <w:szCs w:val="22"/>
          <w:lang w:eastAsia="en-US"/>
        </w:rPr>
        <w:t>, 2002).</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OPS/OMS y otros. POR LA SALUD DE LAS PERSONAS TRANS. Elementos para el desarrollo de la atención integral de personas trans y sus comunidades en Latinoamérica y el Caribe. 2013.</w:t>
      </w:r>
    </w:p>
    <w:p w:rsidR="00F40BD1" w:rsidRPr="006A5C73" w:rsidRDefault="00F40BD1" w:rsidP="006A5C73">
      <w:pPr>
        <w:pStyle w:val="NormalWeb"/>
        <w:spacing w:before="0" w:beforeAutospacing="0" w:after="0" w:afterAutospacing="0"/>
        <w:jc w:val="both"/>
        <w:rPr>
          <w:rFonts w:asciiTheme="minorHAnsi" w:eastAsiaTheme="minorHAnsi" w:hAnsiTheme="minorHAnsi" w:cstheme="minorHAnsi"/>
          <w:b/>
          <w:sz w:val="22"/>
          <w:szCs w:val="22"/>
          <w:lang w:eastAsia="en-US"/>
        </w:rPr>
      </w:pPr>
    </w:p>
    <w:p w:rsidR="00F40BD1" w:rsidRPr="006A5C73" w:rsidRDefault="00F40BD1" w:rsidP="006A5C73">
      <w:pPr>
        <w:pStyle w:val="NormalWeb"/>
        <w:spacing w:before="0" w:beforeAutospacing="0" w:after="0" w:afterAutospacing="0"/>
        <w:jc w:val="both"/>
        <w:rPr>
          <w:rFonts w:asciiTheme="minorHAnsi" w:eastAsiaTheme="minorHAnsi" w:hAnsiTheme="minorHAnsi" w:cstheme="minorHAnsi"/>
          <w:b/>
          <w:sz w:val="22"/>
          <w:szCs w:val="22"/>
          <w:lang w:eastAsia="en-US"/>
        </w:rPr>
      </w:pPr>
      <w:r w:rsidRPr="006A5C73">
        <w:rPr>
          <w:rFonts w:asciiTheme="minorHAnsi" w:eastAsiaTheme="minorHAnsi" w:hAnsiTheme="minorHAnsi" w:cstheme="minorHAnsi"/>
          <w:b/>
          <w:sz w:val="22"/>
          <w:szCs w:val="22"/>
          <w:lang w:eastAsia="en-US"/>
        </w:rPr>
        <w:t>Discriminación:</w:t>
      </w:r>
    </w:p>
    <w:p w:rsidR="00F40BD1" w:rsidRPr="006A5C73" w:rsidRDefault="00F40BD1" w:rsidP="006A5C73">
      <w:pPr>
        <w:pStyle w:val="NormalWeb"/>
        <w:spacing w:before="0" w:beforeAutospacing="0" w:after="0" w:afterAutospacing="0"/>
        <w:jc w:val="both"/>
        <w:rPr>
          <w:rFonts w:asciiTheme="minorHAnsi" w:eastAsiaTheme="minorHAnsi" w:hAnsiTheme="minorHAnsi" w:cstheme="minorHAnsi"/>
          <w:sz w:val="22"/>
          <w:szCs w:val="22"/>
          <w:lang w:eastAsia="en-US"/>
        </w:rPr>
      </w:pPr>
      <w:r w:rsidRPr="006A5C73">
        <w:rPr>
          <w:rFonts w:asciiTheme="minorHAnsi" w:eastAsiaTheme="minorHAnsi" w:hAnsiTheme="minorHAnsi" w:cstheme="minorHAnsi"/>
          <w:sz w:val="22"/>
          <w:szCs w:val="22"/>
          <w:lang w:eastAsia="en-US"/>
        </w:rPr>
        <w:t>... “toda distinción, exclusión, restricción o preferencia que se basen en determinados motivos como la raza, el color, el sexo, el idioma, la religión, la opinión política o de otra índole, el origen nacional o social, la posición económica, el nacimiento o cualquier otra condición social y que tenga por objeto o por resultado anular o menoscabar el reconocimiento, goce o ejercicio, en condiciones de igualdad, de los derechos humanos y libertades fundamentales de todas las personas.” Comité de Derechos Humanos, observación general 18, HRI/GEN/1Rev.2. Párrafos 7 al 13, ONU.</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Estigma:</w:t>
      </w:r>
      <w:r w:rsidRPr="006A5C73">
        <w:rPr>
          <w:rFonts w:asciiTheme="minorHAnsi" w:hAnsiTheme="minorHAnsi" w:cstheme="minorHAnsi"/>
          <w:sz w:val="22"/>
          <w:szCs w:val="22"/>
          <w:lang w:val="es-ES"/>
        </w:rPr>
        <w:t xml:space="preserve"> </w:t>
      </w:r>
      <w:r w:rsidRPr="006A5C73">
        <w:rPr>
          <w:rFonts w:asciiTheme="minorHAnsi" w:hAnsiTheme="minorHAnsi" w:cstheme="minorHAnsi"/>
          <w:b/>
          <w:sz w:val="22"/>
          <w:szCs w:val="22"/>
          <w:lang w:val="es-ES"/>
        </w:rPr>
        <w:t>R</w:t>
      </w:r>
      <w:r w:rsidRPr="006A5C73">
        <w:rPr>
          <w:rStyle w:val="Textoennegrita"/>
          <w:rFonts w:asciiTheme="minorHAnsi" w:hAnsiTheme="minorHAnsi" w:cstheme="minorHAnsi"/>
          <w:sz w:val="22"/>
          <w:szCs w:val="22"/>
          <w:bdr w:val="none" w:sz="0" w:space="0" w:color="auto" w:frame="1"/>
          <w:lang w:val="es-ES"/>
        </w:rPr>
        <w:t>asgo negativo</w:t>
      </w:r>
      <w:r w:rsidRPr="006A5C73">
        <w:rPr>
          <w:rFonts w:asciiTheme="minorHAnsi" w:hAnsiTheme="minorHAnsi" w:cstheme="minorHAnsi"/>
          <w:sz w:val="22"/>
          <w:szCs w:val="22"/>
          <w:lang w:val="es-ES"/>
        </w:rPr>
        <w:t xml:space="preserve"> atribuido a una comunidad o a un sujeto. Aquellos que son estigmatizados son menospreciados y considerados como seres inferiores o sin valor.</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Fuente: </w:t>
      </w:r>
      <w:hyperlink r:id="rId9" w:history="1">
        <w:r w:rsidRPr="006A5C73">
          <w:rPr>
            <w:rStyle w:val="Hipervnculo"/>
            <w:rFonts w:asciiTheme="minorHAnsi" w:hAnsiTheme="minorHAnsi" w:cstheme="minorHAnsi"/>
            <w:sz w:val="22"/>
            <w:szCs w:val="22"/>
            <w:lang w:val="es-ES"/>
          </w:rPr>
          <w:t>https://definicion.de</w:t>
        </w:r>
      </w:hyperlink>
    </w:p>
    <w:p w:rsidR="00F40BD1" w:rsidRDefault="00F40BD1" w:rsidP="006A5C73">
      <w:pPr>
        <w:jc w:val="both"/>
        <w:rPr>
          <w:rFonts w:asciiTheme="minorHAnsi" w:hAnsiTheme="minorHAnsi" w:cstheme="minorHAnsi"/>
          <w:sz w:val="22"/>
          <w:szCs w:val="22"/>
          <w:lang w:val="es-ES"/>
        </w:rPr>
      </w:pPr>
    </w:p>
    <w:p w:rsidR="006A1D11" w:rsidRPr="006A1D11" w:rsidRDefault="006A1D11" w:rsidP="006A1D11">
      <w:pPr>
        <w:pStyle w:val="Ttulo2"/>
        <w:spacing w:before="0" w:beforeAutospacing="0" w:after="0" w:afterAutospacing="0"/>
        <w:jc w:val="both"/>
        <w:textAlignment w:val="top"/>
        <w:rPr>
          <w:rFonts w:asciiTheme="minorHAnsi" w:hAnsiTheme="minorHAnsi" w:cstheme="minorHAnsi"/>
          <w:bCs w:val="0"/>
          <w:sz w:val="22"/>
          <w:szCs w:val="22"/>
        </w:rPr>
      </w:pPr>
      <w:r w:rsidRPr="006A1D11">
        <w:rPr>
          <w:rFonts w:asciiTheme="minorHAnsi" w:hAnsiTheme="minorHAnsi" w:cstheme="minorHAnsi"/>
          <w:bCs w:val="0"/>
          <w:sz w:val="22"/>
          <w:szCs w:val="22"/>
        </w:rPr>
        <w:t>Intolerancia:</w:t>
      </w:r>
    </w:p>
    <w:p w:rsidR="006A1D11" w:rsidRPr="006A1D11" w:rsidRDefault="006A1D11" w:rsidP="006A1D11">
      <w:pPr>
        <w:pStyle w:val="NormalWeb"/>
        <w:spacing w:before="0" w:beforeAutospacing="0" w:after="0" w:afterAutospacing="0"/>
        <w:jc w:val="both"/>
        <w:textAlignment w:val="top"/>
        <w:rPr>
          <w:rFonts w:asciiTheme="minorHAnsi" w:hAnsiTheme="minorHAnsi" w:cstheme="minorHAnsi"/>
          <w:sz w:val="22"/>
          <w:szCs w:val="22"/>
        </w:rPr>
      </w:pPr>
      <w:r w:rsidRPr="006A1D11">
        <w:rPr>
          <w:rFonts w:asciiTheme="minorHAnsi" w:hAnsiTheme="minorHAnsi" w:cstheme="minorHAnsi"/>
          <w:sz w:val="22"/>
          <w:szCs w:val="22"/>
        </w:rPr>
        <w:t xml:space="preserve">La intolerancia es la </w:t>
      </w:r>
      <w:r w:rsidRPr="006A1D11">
        <w:rPr>
          <w:rStyle w:val="Textoennegrita"/>
          <w:rFonts w:asciiTheme="minorHAnsi" w:hAnsiTheme="minorHAnsi" w:cstheme="minorHAnsi"/>
          <w:b w:val="0"/>
          <w:sz w:val="22"/>
          <w:szCs w:val="22"/>
          <w:bdr w:val="none" w:sz="0" w:space="0" w:color="auto" w:frame="1"/>
        </w:rPr>
        <w:t>capacidad o habilidad que posee una persona de no soportar las opiniones diferentes a las de él</w:t>
      </w:r>
      <w:r w:rsidRPr="006A1D11">
        <w:rPr>
          <w:rFonts w:asciiTheme="minorHAnsi" w:hAnsiTheme="minorHAnsi" w:cstheme="minorHAnsi"/>
          <w:sz w:val="22"/>
          <w:szCs w:val="22"/>
        </w:rPr>
        <w:t xml:space="preserve">. La palabra intolerancia es de origen latín </w:t>
      </w:r>
      <w:proofErr w:type="spellStart"/>
      <w:r w:rsidRPr="006A1D11">
        <w:rPr>
          <w:rStyle w:val="nfasis"/>
          <w:rFonts w:asciiTheme="minorHAnsi" w:hAnsiTheme="minorHAnsi" w:cstheme="minorHAnsi"/>
          <w:sz w:val="22"/>
          <w:szCs w:val="22"/>
        </w:rPr>
        <w:t>intolerantia</w:t>
      </w:r>
      <w:proofErr w:type="spellEnd"/>
      <w:r w:rsidRPr="006A1D11">
        <w:rPr>
          <w:rFonts w:asciiTheme="minorHAnsi" w:hAnsiTheme="minorHAnsi" w:cstheme="minorHAnsi"/>
          <w:sz w:val="22"/>
          <w:szCs w:val="22"/>
        </w:rPr>
        <w:t>.</w:t>
      </w:r>
    </w:p>
    <w:p w:rsidR="006A1D11" w:rsidRPr="006A1D11" w:rsidRDefault="006A1D11" w:rsidP="006A1D11">
      <w:pPr>
        <w:pStyle w:val="NormalWeb"/>
        <w:spacing w:before="0" w:beforeAutospacing="0" w:after="0" w:afterAutospacing="0"/>
        <w:jc w:val="both"/>
        <w:textAlignment w:val="top"/>
        <w:rPr>
          <w:rFonts w:asciiTheme="minorHAnsi" w:hAnsiTheme="minorHAnsi" w:cstheme="minorHAnsi"/>
          <w:sz w:val="22"/>
          <w:szCs w:val="22"/>
        </w:rPr>
      </w:pPr>
    </w:p>
    <w:p w:rsidR="006A1D11" w:rsidRDefault="006A1D11" w:rsidP="006A1D11">
      <w:pPr>
        <w:pStyle w:val="NormalWeb"/>
        <w:spacing w:before="0" w:beforeAutospacing="0" w:after="0" w:afterAutospacing="0"/>
        <w:jc w:val="both"/>
        <w:textAlignment w:val="top"/>
        <w:rPr>
          <w:rFonts w:asciiTheme="minorHAnsi" w:hAnsiTheme="minorHAnsi" w:cstheme="minorHAnsi"/>
          <w:sz w:val="22"/>
          <w:szCs w:val="22"/>
        </w:rPr>
      </w:pPr>
      <w:r w:rsidRPr="006A1D11">
        <w:rPr>
          <w:rStyle w:val="Textoennegrita"/>
          <w:rFonts w:asciiTheme="minorHAnsi" w:hAnsiTheme="minorHAnsi" w:cstheme="minorHAnsi"/>
          <w:b w:val="0"/>
          <w:sz w:val="22"/>
          <w:szCs w:val="22"/>
          <w:bdr w:val="none" w:sz="0" w:space="0" w:color="auto" w:frame="1"/>
        </w:rPr>
        <w:t>La intolerancia es sinónimo de intransigencia, terquedad, obstinación, testarudez</w:t>
      </w:r>
      <w:r w:rsidRPr="006A1D11">
        <w:rPr>
          <w:rFonts w:asciiTheme="minorHAnsi" w:hAnsiTheme="minorHAnsi" w:cstheme="minorHAnsi"/>
          <w:sz w:val="22"/>
          <w:szCs w:val="22"/>
        </w:rPr>
        <w:t xml:space="preserve"> por no respetar a las personas que poseen pensamientos diferentes bien sea en el ámbito político, religioso, cultural, sexual, racial, etcétera. En referencia a lo anterior, se puede deducir que </w:t>
      </w:r>
      <w:r w:rsidRPr="006A1D11">
        <w:rPr>
          <w:rStyle w:val="Textoennegrita"/>
          <w:rFonts w:asciiTheme="minorHAnsi" w:hAnsiTheme="minorHAnsi" w:cstheme="minorHAnsi"/>
          <w:b w:val="0"/>
          <w:sz w:val="22"/>
          <w:szCs w:val="22"/>
          <w:bdr w:val="none" w:sz="0" w:space="0" w:color="auto" w:frame="1"/>
        </w:rPr>
        <w:t xml:space="preserve">la intolerancia es un antivalor </w:t>
      </w:r>
      <w:r w:rsidRPr="006A1D11">
        <w:rPr>
          <w:rFonts w:asciiTheme="minorHAnsi" w:hAnsiTheme="minorHAnsi" w:cstheme="minorHAnsi"/>
          <w:sz w:val="22"/>
          <w:szCs w:val="22"/>
        </w:rPr>
        <w:t>que no permite una buena convivencia entre las personas.</w:t>
      </w:r>
    </w:p>
    <w:p w:rsidR="006A1D11" w:rsidRPr="006A1D11" w:rsidRDefault="006A1D11" w:rsidP="006A1D11">
      <w:pPr>
        <w:pStyle w:val="NormalWeb"/>
        <w:spacing w:before="0" w:beforeAutospacing="0" w:after="0" w:afterAutospacing="0"/>
        <w:jc w:val="both"/>
        <w:textAlignment w:val="top"/>
        <w:rPr>
          <w:rFonts w:asciiTheme="minorHAnsi" w:hAnsiTheme="minorHAnsi" w:cstheme="minorHAnsi"/>
          <w:sz w:val="22"/>
          <w:szCs w:val="22"/>
        </w:rPr>
      </w:pPr>
    </w:p>
    <w:p w:rsidR="006A1D11" w:rsidRDefault="006A1D11" w:rsidP="006A1D11">
      <w:pPr>
        <w:pStyle w:val="NormalWeb"/>
        <w:spacing w:before="0" w:beforeAutospacing="0" w:after="0" w:afterAutospacing="0"/>
        <w:jc w:val="both"/>
        <w:textAlignment w:val="top"/>
        <w:rPr>
          <w:rFonts w:asciiTheme="minorHAnsi" w:hAnsiTheme="minorHAnsi" w:cstheme="minorHAnsi"/>
          <w:sz w:val="22"/>
          <w:szCs w:val="22"/>
        </w:rPr>
      </w:pPr>
      <w:r w:rsidRPr="006A1D11">
        <w:rPr>
          <w:rStyle w:val="Textoennegrita"/>
          <w:rFonts w:asciiTheme="minorHAnsi" w:hAnsiTheme="minorHAnsi" w:cstheme="minorHAnsi"/>
          <w:b w:val="0"/>
          <w:sz w:val="22"/>
          <w:szCs w:val="22"/>
          <w:bdr w:val="none" w:sz="0" w:space="0" w:color="auto" w:frame="1"/>
        </w:rPr>
        <w:t xml:space="preserve">El término intolerable </w:t>
      </w:r>
      <w:r w:rsidRPr="006A1D11">
        <w:rPr>
          <w:rFonts w:asciiTheme="minorHAnsi" w:hAnsiTheme="minorHAnsi" w:cstheme="minorHAnsi"/>
          <w:sz w:val="22"/>
          <w:szCs w:val="22"/>
        </w:rPr>
        <w:t xml:space="preserve">es un adjetivo que </w:t>
      </w:r>
      <w:r w:rsidRPr="006A1D11">
        <w:rPr>
          <w:rStyle w:val="Textoennegrita"/>
          <w:rFonts w:asciiTheme="minorHAnsi" w:hAnsiTheme="minorHAnsi" w:cstheme="minorHAnsi"/>
          <w:b w:val="0"/>
          <w:sz w:val="22"/>
          <w:szCs w:val="22"/>
          <w:bdr w:val="none" w:sz="0" w:space="0" w:color="auto" w:frame="1"/>
        </w:rPr>
        <w:t>describe una cosa o alguien que no se puede tolerar</w:t>
      </w:r>
      <w:r w:rsidRPr="006A1D11">
        <w:rPr>
          <w:rFonts w:asciiTheme="minorHAnsi" w:hAnsiTheme="minorHAnsi" w:cstheme="minorHAnsi"/>
          <w:sz w:val="22"/>
          <w:szCs w:val="22"/>
        </w:rPr>
        <w:t xml:space="preserve">, por ejemplo: cuando se observa una situación de maltrato infantil, la misma se torna intolerable para </w:t>
      </w:r>
      <w:r w:rsidRPr="006A1D11">
        <w:rPr>
          <w:rFonts w:asciiTheme="minorHAnsi" w:hAnsiTheme="minorHAnsi" w:cstheme="minorHAnsi"/>
          <w:sz w:val="22"/>
          <w:szCs w:val="22"/>
        </w:rPr>
        <w:lastRenderedPageBreak/>
        <w:t>quien vive la situación como para quien la observa o, el individuo que no acepta ideas distintas a las de él se puede decir “es intolerable estar con él” o "¡que intolerante es!".</w:t>
      </w:r>
    </w:p>
    <w:p w:rsidR="006A1D11" w:rsidRPr="006A1D11" w:rsidRDefault="006A1D11" w:rsidP="006A1D11">
      <w:pPr>
        <w:pStyle w:val="NormalWeb"/>
        <w:spacing w:before="0" w:beforeAutospacing="0" w:after="0" w:afterAutospacing="0"/>
        <w:jc w:val="both"/>
        <w:textAlignment w:val="top"/>
        <w:rPr>
          <w:rFonts w:asciiTheme="minorHAnsi" w:hAnsiTheme="minorHAnsi" w:cstheme="minorHAnsi"/>
          <w:sz w:val="22"/>
          <w:szCs w:val="22"/>
        </w:rPr>
      </w:pPr>
    </w:p>
    <w:p w:rsidR="006A1D11" w:rsidRDefault="006A1D11" w:rsidP="006A1D11">
      <w:pPr>
        <w:pStyle w:val="NormalWeb"/>
        <w:spacing w:before="0" w:beforeAutospacing="0" w:after="0" w:afterAutospacing="0"/>
        <w:jc w:val="both"/>
        <w:textAlignment w:val="top"/>
        <w:rPr>
          <w:rFonts w:asciiTheme="minorHAnsi" w:hAnsiTheme="minorHAnsi" w:cstheme="minorHAnsi"/>
          <w:sz w:val="22"/>
          <w:szCs w:val="22"/>
        </w:rPr>
      </w:pPr>
      <w:r w:rsidRPr="006A1D11">
        <w:rPr>
          <w:rFonts w:asciiTheme="minorHAnsi" w:hAnsiTheme="minorHAnsi" w:cstheme="minorHAnsi"/>
          <w:sz w:val="22"/>
          <w:szCs w:val="22"/>
        </w:rPr>
        <w:t>Asimismo, una persona intolerante puede cometer otras faltas como: la discriminación, la agresión, el irrespeto, producto de la falta de tolerancia a las ideas diferentes de sí. Por ende, la intolerancia es una actitud negativa que afecta las relaciones entre los prójimos.</w:t>
      </w:r>
    </w:p>
    <w:p w:rsidR="006A1D11" w:rsidRDefault="006A1D11" w:rsidP="006A1D11">
      <w:pPr>
        <w:pStyle w:val="NormalWeb"/>
        <w:spacing w:before="0" w:beforeAutospacing="0" w:after="0" w:afterAutospacing="0"/>
        <w:jc w:val="both"/>
        <w:textAlignment w:val="top"/>
        <w:rPr>
          <w:rFonts w:asciiTheme="minorHAnsi" w:hAnsiTheme="minorHAnsi" w:cstheme="minorHAnsi"/>
          <w:sz w:val="22"/>
          <w:szCs w:val="22"/>
        </w:rPr>
      </w:pPr>
    </w:p>
    <w:p w:rsidR="006A1D11" w:rsidRPr="006A1D11" w:rsidRDefault="006A1D11" w:rsidP="006A1D11">
      <w:pPr>
        <w:pStyle w:val="NormalWeb"/>
        <w:spacing w:before="0" w:beforeAutospacing="0" w:after="0" w:afterAutospacing="0"/>
        <w:jc w:val="both"/>
        <w:textAlignment w:val="top"/>
        <w:rPr>
          <w:rFonts w:asciiTheme="minorHAnsi" w:hAnsiTheme="minorHAnsi" w:cstheme="minorHAnsi"/>
          <w:sz w:val="22"/>
          <w:szCs w:val="22"/>
        </w:rPr>
      </w:pPr>
      <w:r>
        <w:rPr>
          <w:rFonts w:asciiTheme="minorHAnsi" w:hAnsiTheme="minorHAnsi" w:cstheme="minorHAnsi"/>
          <w:sz w:val="22"/>
          <w:szCs w:val="22"/>
        </w:rPr>
        <w:t xml:space="preserve">Fuente: </w:t>
      </w:r>
      <w:r w:rsidRPr="006A1D11">
        <w:rPr>
          <w:rFonts w:asciiTheme="minorHAnsi" w:hAnsiTheme="minorHAnsi" w:cstheme="minorHAnsi"/>
          <w:sz w:val="22"/>
          <w:szCs w:val="22"/>
        </w:rPr>
        <w:t>https://www.significados.com/in</w:t>
      </w:r>
      <w:r>
        <w:rPr>
          <w:rFonts w:asciiTheme="minorHAnsi" w:hAnsiTheme="minorHAnsi" w:cstheme="minorHAnsi"/>
          <w:sz w:val="22"/>
          <w:szCs w:val="22"/>
        </w:rPr>
        <w:t>tolerancia</w:t>
      </w:r>
    </w:p>
    <w:p w:rsidR="006A1D11" w:rsidRDefault="006A1D11" w:rsidP="006A5C73">
      <w:pPr>
        <w:jc w:val="both"/>
        <w:rPr>
          <w:rFonts w:asciiTheme="minorHAnsi" w:hAnsiTheme="minorHAnsi" w:cstheme="minorHAnsi"/>
          <w:sz w:val="22"/>
          <w:szCs w:val="22"/>
          <w:lang w:val="es-ES"/>
        </w:rPr>
      </w:pPr>
    </w:p>
    <w:p w:rsidR="009741AF" w:rsidRPr="009741AF" w:rsidRDefault="009741AF" w:rsidP="006A5C73">
      <w:pPr>
        <w:jc w:val="both"/>
        <w:rPr>
          <w:rFonts w:asciiTheme="minorHAnsi" w:hAnsiTheme="minorHAnsi" w:cstheme="minorHAnsi"/>
          <w:b/>
          <w:sz w:val="22"/>
          <w:szCs w:val="22"/>
          <w:lang w:val="es-ES"/>
        </w:rPr>
      </w:pPr>
      <w:r w:rsidRPr="009741AF">
        <w:rPr>
          <w:rFonts w:asciiTheme="minorHAnsi" w:hAnsiTheme="minorHAnsi" w:cstheme="minorHAnsi"/>
          <w:b/>
          <w:sz w:val="22"/>
          <w:szCs w:val="22"/>
          <w:lang w:val="es-ES"/>
        </w:rPr>
        <w:t>Discriminación en la Administración Pública, por razones de Identidad de Género y/</w:t>
      </w:r>
      <w:proofErr w:type="spellStart"/>
      <w:r w:rsidRPr="009741AF">
        <w:rPr>
          <w:rFonts w:asciiTheme="minorHAnsi" w:hAnsiTheme="minorHAnsi" w:cstheme="minorHAnsi"/>
          <w:b/>
          <w:sz w:val="22"/>
          <w:szCs w:val="22"/>
          <w:lang w:val="es-ES"/>
        </w:rPr>
        <w:t>o</w:t>
      </w:r>
      <w:proofErr w:type="spellEnd"/>
      <w:r w:rsidRPr="009741AF">
        <w:rPr>
          <w:rFonts w:asciiTheme="minorHAnsi" w:hAnsiTheme="minorHAnsi" w:cstheme="minorHAnsi"/>
          <w:b/>
          <w:sz w:val="22"/>
          <w:szCs w:val="22"/>
          <w:lang w:val="es-ES"/>
        </w:rPr>
        <w:t xml:space="preserve"> Orientación sexual</w:t>
      </w:r>
    </w:p>
    <w:p w:rsidR="009741AF" w:rsidRPr="009741AF" w:rsidRDefault="009741AF" w:rsidP="006A5C73">
      <w:pPr>
        <w:jc w:val="both"/>
        <w:rPr>
          <w:rFonts w:asciiTheme="minorHAnsi" w:hAnsiTheme="minorHAnsi" w:cstheme="minorHAnsi"/>
          <w:b/>
          <w:sz w:val="22"/>
          <w:szCs w:val="22"/>
          <w:lang w:val="es-ES"/>
        </w:rPr>
      </w:pPr>
    </w:p>
    <w:p w:rsidR="009741AF" w:rsidRPr="009741AF" w:rsidRDefault="009741AF" w:rsidP="006A5C73">
      <w:pPr>
        <w:jc w:val="both"/>
        <w:rPr>
          <w:rFonts w:asciiTheme="minorHAnsi" w:hAnsiTheme="minorHAnsi" w:cstheme="minorHAnsi"/>
          <w:b/>
          <w:sz w:val="22"/>
          <w:szCs w:val="22"/>
          <w:lang w:val="es-ES"/>
        </w:rPr>
      </w:pPr>
      <w:r w:rsidRPr="009741AF">
        <w:rPr>
          <w:rFonts w:asciiTheme="minorHAnsi" w:hAnsiTheme="minorHAnsi" w:cstheme="minorHAnsi"/>
          <w:sz w:val="22"/>
          <w:szCs w:val="22"/>
          <w:lang w:val="es-ES"/>
        </w:rPr>
        <w:t xml:space="preserve">Toda distinción, exclusión o restricción basada en la identidad de género y/o en la orientación sexual, que tenga por objeto o resultado la anulación, menoscabo del reconocimiento, goce o </w:t>
      </w:r>
      <w:r w:rsidRPr="0062067B">
        <w:rPr>
          <w:rFonts w:asciiTheme="minorHAnsi" w:hAnsiTheme="minorHAnsi" w:cstheme="minorHAnsi"/>
          <w:sz w:val="22"/>
          <w:szCs w:val="22"/>
          <w:lang w:val="es-ES"/>
        </w:rPr>
        <w:t>ejercicio, en condiciones de igualdad, de los derechos humanos y libertades fundamentales</w:t>
      </w:r>
      <w:r w:rsidR="0062067B" w:rsidRPr="0062067B">
        <w:rPr>
          <w:rFonts w:asciiTheme="minorHAnsi" w:hAnsiTheme="minorHAnsi" w:cstheme="minorHAnsi"/>
          <w:sz w:val="22"/>
          <w:szCs w:val="22"/>
          <w:lang w:val="es-ES"/>
        </w:rPr>
        <w:t xml:space="preserve"> en la Administración Pública</w:t>
      </w:r>
      <w:r w:rsidR="0062067B">
        <w:rPr>
          <w:rFonts w:asciiTheme="minorHAnsi" w:hAnsiTheme="minorHAnsi" w:cstheme="minorHAnsi"/>
          <w:sz w:val="22"/>
          <w:szCs w:val="22"/>
          <w:lang w:val="es-ES"/>
        </w:rPr>
        <w:t>.</w:t>
      </w:r>
    </w:p>
    <w:p w:rsidR="009741AF" w:rsidRDefault="009741AF" w:rsidP="009741AF">
      <w:pPr>
        <w:jc w:val="both"/>
        <w:rPr>
          <w:rFonts w:asciiTheme="minorHAnsi" w:hAnsiTheme="minorHAnsi" w:cstheme="minorHAnsi"/>
          <w:sz w:val="22"/>
          <w:szCs w:val="22"/>
          <w:lang w:val="es-ES"/>
        </w:rPr>
      </w:pPr>
    </w:p>
    <w:p w:rsidR="009741AF" w:rsidRPr="006A5C73" w:rsidRDefault="009741AF" w:rsidP="009741AF">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OEA. Villalta Vizcarra</w:t>
      </w:r>
      <w:r w:rsidRPr="006A5C73">
        <w:rPr>
          <w:rFonts w:asciiTheme="minorHAnsi" w:hAnsiTheme="minorHAnsi" w:cstheme="minorHAnsi"/>
          <w:b/>
          <w:sz w:val="22"/>
          <w:szCs w:val="22"/>
          <w:lang w:val="es-ES"/>
        </w:rPr>
        <w:t xml:space="preserve"> </w:t>
      </w:r>
      <w:r w:rsidRPr="006A5C73">
        <w:rPr>
          <w:rFonts w:asciiTheme="minorHAnsi" w:hAnsiTheme="minorHAnsi" w:cstheme="minorHAnsi"/>
          <w:sz w:val="22"/>
          <w:szCs w:val="22"/>
          <w:lang w:val="es-ES"/>
        </w:rPr>
        <w:t>Ana Elizabeth. Orientación sexual, identidad de género y expresión de género.2013</w:t>
      </w:r>
    </w:p>
    <w:p w:rsidR="006A1D11" w:rsidRPr="006A5C73" w:rsidRDefault="006A1D1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b/>
          <w:sz w:val="22"/>
          <w:szCs w:val="22"/>
          <w:lang w:val="es-ES"/>
        </w:rPr>
      </w:pPr>
      <w:proofErr w:type="spellStart"/>
      <w:r w:rsidRPr="006A5C73">
        <w:rPr>
          <w:rFonts w:asciiTheme="minorHAnsi" w:hAnsiTheme="minorHAnsi" w:cstheme="minorHAnsi"/>
          <w:b/>
          <w:sz w:val="22"/>
          <w:szCs w:val="22"/>
          <w:lang w:val="es-ES"/>
        </w:rPr>
        <w:t>Bullyng</w:t>
      </w:r>
      <w:proofErr w:type="spellEnd"/>
      <w:r w:rsidRPr="006A5C73">
        <w:rPr>
          <w:rFonts w:asciiTheme="minorHAnsi" w:hAnsiTheme="minorHAnsi" w:cstheme="minorHAnsi"/>
          <w:b/>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Es una forma de violencia entre pares en el ambiente educativo. Se manifiesta en comportamientos o conductas repetidas y abusivas con la intención de infringir daño por parte de una o varias personas hacia otra en una relación de poder. Puede ser violencia de tipo verbal, físico, psicológica, de índole sexual, material, o cibernética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Ministerio de Educación Pública, 2016</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Acoso u hostigamiento sexual</w:t>
      </w:r>
      <w:r w:rsidRPr="006A5C73">
        <w:rPr>
          <w:rFonts w:asciiTheme="minorHAnsi" w:hAnsiTheme="minorHAnsi" w:cstheme="minorHAnsi"/>
          <w:sz w:val="22"/>
          <w:szCs w:val="22"/>
          <w:lang w:val="es-ES"/>
        </w:rPr>
        <w:t>:</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Toda conducta sexual indeseada por quien la recibe, reiterada y que provoque efectos perjudiciales en los siguientes casos: Condiciones materiales de empleo o de docencia, desempeño y cumplimiento laboral o educativo, estado general de bienestar personal.</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Fuente:(Art. 3, Ley Nº 7476, 1995)</w:t>
      </w:r>
    </w:p>
    <w:p w:rsidR="00F40BD1" w:rsidRPr="006A5C73" w:rsidRDefault="00F40BD1" w:rsidP="006A5C73">
      <w:pPr>
        <w:rPr>
          <w:rFonts w:asciiTheme="minorHAnsi" w:hAnsiTheme="minorHAnsi" w:cstheme="minorHAnsi"/>
          <w:b/>
          <w:sz w:val="22"/>
          <w:szCs w:val="22"/>
          <w:lang w:val="es-ES"/>
        </w:rPr>
      </w:pPr>
    </w:p>
    <w:p w:rsidR="00F40BD1" w:rsidRPr="006A5C73" w:rsidRDefault="00F40BD1" w:rsidP="006A5C73">
      <w:pPr>
        <w:rPr>
          <w:rFonts w:asciiTheme="minorHAnsi" w:hAnsiTheme="minorHAnsi" w:cstheme="minorHAnsi"/>
          <w:sz w:val="22"/>
          <w:szCs w:val="22"/>
          <w:lang w:val="es-ES"/>
        </w:rPr>
      </w:pPr>
      <w:r w:rsidRPr="006A5C73">
        <w:rPr>
          <w:rFonts w:asciiTheme="minorHAnsi" w:hAnsiTheme="minorHAnsi" w:cstheme="minorHAnsi"/>
          <w:b/>
          <w:sz w:val="22"/>
          <w:szCs w:val="22"/>
          <w:lang w:val="es-ES"/>
        </w:rPr>
        <w:t>Revictimización o victimización secundaria:</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La Victimización secundaria hace referencia a la inadecuada atención que recibe una víctima por parte del sistema penal e instituciones de salud, policía, entre otros. Se relaciona con la experiencia que victimiza a una persona en dos o más momentos de su vida.</w:t>
      </w:r>
    </w:p>
    <w:p w:rsidR="00F40BD1" w:rsidRDefault="00F40BD1" w:rsidP="006A5C73">
      <w:pPr>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b/>
          <w:sz w:val="22"/>
          <w:szCs w:val="22"/>
          <w:lang w:val="es-ES"/>
        </w:rPr>
      </w:pPr>
      <w:r w:rsidRPr="006A5C73">
        <w:rPr>
          <w:rFonts w:asciiTheme="minorHAnsi" w:hAnsiTheme="minorHAnsi" w:cstheme="minorHAnsi"/>
          <w:b/>
          <w:sz w:val="22"/>
          <w:szCs w:val="22"/>
          <w:lang w:val="es-ES"/>
        </w:rPr>
        <w:t xml:space="preserve">Violencia: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El uso intencional de la fuerza o el poder físico, de hecho, o como amenaza, contra uno mismo, otra persona o un grupo o comunidad, que cause o tenga muchas probabilidades de causar lesiones, muerte, daños psicológicos, trastornos del desarrollo o privaciones.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(OMS, 2003, p. 5)</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por abandono:</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lastRenderedPageBreak/>
        <w:t>Se produce cuando cualquier persona o institución no asume la responsabilidad que le corresponde en el cuidado de una persona mayor, con algún grado de dependencia, o que habiendo asumido su cuidado o custodia lo desampara de manera voluntaria. (Consejo Nacional de la Persona Adulta Mayor.</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[CONAPAM], 2013)</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auto infligida</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Es la violencia que una persona se inflige a sí misma, comprende el comportamiento suicida y las autolesiones.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(OMS, 2003, p. 6)</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comunitaria</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Es la que se produce entre personas que no guardan parentesco y que pueden conocerse o no, y sucede por lo general fuera del hogar.</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(OMS, 2003, p. 7)</w:t>
      </w:r>
    </w:p>
    <w:p w:rsidR="00F40BD1" w:rsidRDefault="00F40BD1" w:rsidP="006A5C73">
      <w:pPr>
        <w:jc w:val="both"/>
        <w:rPr>
          <w:rFonts w:asciiTheme="minorHAnsi" w:hAnsiTheme="minorHAnsi" w:cstheme="minorHAnsi"/>
          <w:b/>
          <w:sz w:val="22"/>
          <w:szCs w:val="22"/>
          <w:lang w:val="es-ES"/>
        </w:rPr>
      </w:pPr>
    </w:p>
    <w:p w:rsidR="00760892" w:rsidRPr="006A5C73" w:rsidRDefault="00760892"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doméstica o intrafamiliar</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Se entiende como acción u omisión, directa o indirecta, ejercida contra un pariente por consanguinidad, afinidad o adopción hasta el  tercer   grado   inclusive,   por   vínculo   jurídico   o   de   hecho   o   por   una relación  de garante y   que   produzca   como consecuencia,   el   menoscabo   de   su   integridad   física,   sexual, psicológica   o   patrimonial.     El   vínculo   por   afinidad   subsistirá   aun cuando haya finalizado la relación que lo originó.</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Fuente: (Art. 2, Ley Nº 7586, 1996) </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física:</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Acción u omisión que arriesga o daña la integridad corporal de una persona.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(Art. 2, Ley Nº 7586, 1996)</w:t>
      </w:r>
    </w:p>
    <w:p w:rsidR="00B35F9E" w:rsidRPr="006A5C73" w:rsidRDefault="00B35F9E"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interpersonal:</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Es la violencia impuesta por otro individuo o un número pequeño de individuos. Incluye la violencia familiar, de pareja y la violencia comunitaria.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(OMS, 2003, p. 6)</w:t>
      </w:r>
    </w:p>
    <w:p w:rsidR="00F40BD1"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institucional:</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Cualquier legislación, programa, procedimiento, o actuación por acción u omisión procedente de los poderes públicos o derivada de la actuación individual de los profesionales que comporte abuso, negligencia, perjuicio de la salud, la seguridad, el estado emocional, el bienestar físico, la correcta maduración o que vulnere los derechos básicos de las personas.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(Martínez-Roig y Sánchez-Marín, 1989)</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lastRenderedPageBreak/>
        <w:t>Violencia patrimonial:</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Acción u omisión que implica daño, pérdida, transformación, sustracción, destrucción, retención o distracción de objetos, instrumentos de trabajo, documentos personales, bienes, valores, derechos o recursos económicos destinados a satisfacer las necesidades de alguna persona.</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 Fuente: (Art. 2, Ley Nº 7586, 1996)</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por negligencia</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Acción de descuido contra una persona en situación de dependencia en aquellas actividades básicas de la vida diaria, tales como baño, vestido, alimentación, movilización, medicación, atención de los problemas de salud, que llevan al deterioro de la calidad de vida de la persona (Ministerio de Salud, 2000, p .12).  En el caso de la niñez y la adolescencia el PANI (2016) considera a la negligencia como aquella situación donde las necesidades físicas y emocionales básicas de las personas menores de edad (alimentación, vestido, higiene, protección y vigilancia en las situaciones potencialmente peligrosas, educación y/o cuidados médicos), que no son atendidas temporal o permanentemente por ningún miembro del grupo que convive con la persona menor de edad (PANI, 2016, p. 8).  De la misma manera la OMS (2006) para el caso de personas adultas mayores define la negligencia como un acto de omisión intencional o no, en el que se incumple con la satisfacción de las necesidades básicas de la persona adulta mayor, esta puede ser física, psicológica y económica.</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(OMS, 2006)</w:t>
      </w:r>
    </w:p>
    <w:p w:rsidR="00F40BD1" w:rsidRDefault="00F40BD1" w:rsidP="006A5C73">
      <w:pPr>
        <w:jc w:val="both"/>
        <w:rPr>
          <w:rFonts w:asciiTheme="minorHAnsi" w:hAnsiTheme="minorHAnsi" w:cstheme="minorHAnsi"/>
          <w:b/>
          <w:sz w:val="22"/>
          <w:szCs w:val="22"/>
          <w:lang w:val="es-ES"/>
        </w:rPr>
      </w:pPr>
    </w:p>
    <w:p w:rsidR="006A1D11" w:rsidRDefault="006A1D11" w:rsidP="006A5C73">
      <w:pPr>
        <w:jc w:val="both"/>
        <w:rPr>
          <w:rFonts w:asciiTheme="minorHAnsi" w:hAnsiTheme="minorHAnsi" w:cstheme="minorHAnsi"/>
          <w:b/>
          <w:sz w:val="22"/>
          <w:szCs w:val="22"/>
          <w:lang w:val="es-ES"/>
        </w:rPr>
      </w:pPr>
    </w:p>
    <w:p w:rsidR="006A1D11" w:rsidRPr="006A5C73" w:rsidRDefault="006A1D1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psicológica:</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Acción u omisión destinada a degradar o controlar las acciones, comportamientos, creencias y decisiones de otras personas, por medio de intimidación, manipulación, amenaza, directa o indirecta, humillación, aislamiento o cualquier otra conducta que implique un perjuicio en la salud psicológica, la autodeterminación o el desarrollo personal. </w:t>
      </w:r>
    </w:p>
    <w:p w:rsidR="00F40BD1" w:rsidRPr="006A5C73" w:rsidRDefault="00F40BD1" w:rsidP="006A5C73">
      <w:pPr>
        <w:jc w:val="both"/>
        <w:rPr>
          <w:rFonts w:asciiTheme="minorHAnsi" w:hAnsiTheme="minorHAnsi" w:cstheme="minorHAnsi"/>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Fuente: (Art. 2, Ley Nº 7586, 1996)</w:t>
      </w:r>
    </w:p>
    <w:p w:rsidR="00F40BD1" w:rsidRPr="006A5C73" w:rsidRDefault="00F40BD1" w:rsidP="006A5C73">
      <w:pPr>
        <w:jc w:val="both"/>
        <w:rPr>
          <w:rFonts w:asciiTheme="minorHAnsi" w:hAnsiTheme="minorHAnsi" w:cstheme="minorHAnsi"/>
          <w:b/>
          <w:sz w:val="22"/>
          <w:szCs w:val="22"/>
          <w:lang w:val="es-ES"/>
        </w:rPr>
      </w:pP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b/>
          <w:sz w:val="22"/>
          <w:szCs w:val="22"/>
          <w:lang w:val="es-ES"/>
        </w:rPr>
        <w:t>Violencia sexual:</w:t>
      </w:r>
      <w:r w:rsidRPr="006A5C73">
        <w:rPr>
          <w:rFonts w:asciiTheme="minorHAnsi" w:hAnsiTheme="minorHAnsi" w:cstheme="minorHAnsi"/>
          <w:sz w:val="22"/>
          <w:szCs w:val="22"/>
          <w:lang w:val="es-ES"/>
        </w:rPr>
        <w:t xml:space="preserve"> </w:t>
      </w:r>
    </w:p>
    <w:p w:rsidR="00F40BD1" w:rsidRPr="006A5C73" w:rsidRDefault="00F40BD1" w:rsidP="006A5C73">
      <w:pPr>
        <w:jc w:val="both"/>
        <w:rPr>
          <w:rFonts w:asciiTheme="minorHAnsi" w:hAnsiTheme="minorHAnsi" w:cstheme="minorHAnsi"/>
          <w:sz w:val="22"/>
          <w:szCs w:val="22"/>
          <w:lang w:val="es-ES"/>
        </w:rPr>
      </w:pPr>
      <w:r w:rsidRPr="006A5C73">
        <w:rPr>
          <w:rFonts w:asciiTheme="minorHAnsi" w:hAnsiTheme="minorHAnsi" w:cstheme="minorHAnsi"/>
          <w:sz w:val="22"/>
          <w:szCs w:val="22"/>
          <w:lang w:val="es-ES"/>
        </w:rPr>
        <w:t xml:space="preserve">Acción que obliga a una persona a mantener contacto sexualizado, físico o verbal, o a participar en otras interacciones sexuales mediante el uso de fuerza, intimidación, coerción, chantaje, soborno, manipulación, amenaza o cualquier otro mecanismo que anule o limite la voluntad personal. Igualmente, se considerará violencia sexual el hecho de que la persona agresora obligue a la agredida a realizar alguno de estos actos con terceras personas. </w:t>
      </w:r>
    </w:p>
    <w:p w:rsidR="00F40BD1" w:rsidRPr="006A5C73" w:rsidRDefault="00F40BD1" w:rsidP="006A5C73">
      <w:pPr>
        <w:jc w:val="both"/>
        <w:rPr>
          <w:rFonts w:asciiTheme="minorHAnsi" w:hAnsiTheme="minorHAnsi" w:cstheme="minorHAnsi"/>
          <w:sz w:val="22"/>
          <w:szCs w:val="22"/>
          <w:lang w:val="es-ES"/>
        </w:rPr>
      </w:pPr>
    </w:p>
    <w:p w:rsidR="00F40BD1" w:rsidRDefault="00F40BD1" w:rsidP="006A5C73">
      <w:pPr>
        <w:rPr>
          <w:rFonts w:asciiTheme="minorHAnsi" w:hAnsiTheme="minorHAnsi" w:cstheme="minorHAnsi"/>
          <w:sz w:val="22"/>
          <w:szCs w:val="22"/>
          <w:lang w:val="es-ES"/>
        </w:rPr>
      </w:pPr>
      <w:r w:rsidRPr="006A5C73">
        <w:rPr>
          <w:rFonts w:asciiTheme="minorHAnsi" w:hAnsiTheme="minorHAnsi" w:cstheme="minorHAnsi"/>
          <w:sz w:val="22"/>
          <w:szCs w:val="22"/>
          <w:lang w:val="es-ES"/>
        </w:rPr>
        <w:t>Fuente: (Art. 2, Ley Nº 7586, 1996)</w:t>
      </w:r>
    </w:p>
    <w:p w:rsidR="009F360C" w:rsidRPr="009741AF" w:rsidRDefault="009F360C" w:rsidP="006A5C73">
      <w:pPr>
        <w:rPr>
          <w:rFonts w:asciiTheme="minorHAnsi" w:hAnsiTheme="minorHAnsi" w:cstheme="minorHAnsi"/>
          <w:b/>
          <w:sz w:val="22"/>
          <w:szCs w:val="22"/>
          <w:lang w:val="es-ES"/>
        </w:rPr>
      </w:pPr>
    </w:p>
    <w:p w:rsidR="004423BB" w:rsidRPr="004423BB" w:rsidRDefault="004423BB" w:rsidP="004423BB">
      <w:pPr>
        <w:jc w:val="both"/>
        <w:textAlignment w:val="top"/>
        <w:outlineLvl w:val="1"/>
        <w:rPr>
          <w:rFonts w:asciiTheme="minorHAnsi" w:hAnsiTheme="minorHAnsi" w:cstheme="minorHAnsi"/>
          <w:color w:val="A34340"/>
          <w:sz w:val="22"/>
          <w:szCs w:val="22"/>
          <w:lang w:val="es-CR" w:eastAsia="es-CR"/>
        </w:rPr>
      </w:pPr>
      <w:r w:rsidRPr="004423BB">
        <w:rPr>
          <w:rFonts w:asciiTheme="minorHAnsi" w:hAnsiTheme="minorHAnsi" w:cstheme="minorHAnsi"/>
          <w:b/>
          <w:sz w:val="22"/>
          <w:szCs w:val="22"/>
          <w:lang w:val="es-CR" w:eastAsia="es-CR"/>
        </w:rPr>
        <w:t>Homofobia</w:t>
      </w:r>
      <w:r w:rsidRPr="004423BB">
        <w:rPr>
          <w:rFonts w:asciiTheme="minorHAnsi" w:hAnsiTheme="minorHAnsi" w:cstheme="minorHAnsi"/>
          <w:color w:val="A34340"/>
          <w:sz w:val="22"/>
          <w:szCs w:val="22"/>
          <w:lang w:val="es-CR" w:eastAsia="es-CR"/>
        </w:rPr>
        <w:t>:</w:t>
      </w:r>
    </w:p>
    <w:p w:rsidR="004423BB" w:rsidRPr="006A1D11" w:rsidRDefault="004423BB" w:rsidP="004423BB">
      <w:pPr>
        <w:jc w:val="both"/>
        <w:textAlignment w:val="top"/>
        <w:rPr>
          <w:rFonts w:asciiTheme="minorHAnsi" w:hAnsiTheme="minorHAnsi" w:cstheme="minorHAnsi"/>
          <w:sz w:val="22"/>
          <w:szCs w:val="22"/>
          <w:lang w:val="es-CR" w:eastAsia="es-CR"/>
        </w:rPr>
      </w:pPr>
      <w:r w:rsidRPr="006A1D11">
        <w:rPr>
          <w:rFonts w:asciiTheme="minorHAnsi" w:hAnsiTheme="minorHAnsi" w:cstheme="minorHAnsi"/>
          <w:sz w:val="22"/>
          <w:szCs w:val="22"/>
          <w:lang w:val="es-CR" w:eastAsia="es-CR"/>
        </w:rPr>
        <w:t>A</w:t>
      </w:r>
      <w:r w:rsidRPr="006A1D11">
        <w:rPr>
          <w:rFonts w:asciiTheme="minorHAnsi" w:hAnsiTheme="minorHAnsi" w:cstheme="minorHAnsi"/>
          <w:bCs/>
          <w:sz w:val="22"/>
          <w:szCs w:val="22"/>
          <w:bdr w:val="none" w:sz="0" w:space="0" w:color="auto" w:frame="1"/>
          <w:lang w:val="es-CR" w:eastAsia="es-CR"/>
        </w:rPr>
        <w:t>versión irracional, prejuicio y discriminación hacia las personas homosexuales, lesbianas, transexuales y bisexuales o comunidad LGBT</w:t>
      </w:r>
      <w:r w:rsidRPr="004423BB">
        <w:rPr>
          <w:rFonts w:asciiTheme="minorHAnsi" w:hAnsiTheme="minorHAnsi" w:cstheme="minorHAnsi"/>
          <w:sz w:val="22"/>
          <w:szCs w:val="22"/>
          <w:lang w:val="es-CR" w:eastAsia="es-CR"/>
        </w:rPr>
        <w:t>. La palabra homofobia es de origen griego, formada por </w:t>
      </w:r>
      <w:r w:rsidRPr="006A1D11">
        <w:rPr>
          <w:rFonts w:asciiTheme="minorHAnsi" w:hAnsiTheme="minorHAnsi" w:cstheme="minorHAnsi"/>
          <w:i/>
          <w:iCs/>
          <w:sz w:val="22"/>
          <w:szCs w:val="22"/>
          <w:lang w:val="es-CR" w:eastAsia="es-CR"/>
        </w:rPr>
        <w:t>homos</w:t>
      </w:r>
      <w:r w:rsidRPr="004423BB">
        <w:rPr>
          <w:rFonts w:asciiTheme="minorHAnsi" w:hAnsiTheme="minorHAnsi" w:cstheme="minorHAnsi"/>
          <w:sz w:val="22"/>
          <w:szCs w:val="22"/>
          <w:lang w:val="es-CR" w:eastAsia="es-CR"/>
        </w:rPr>
        <w:t xml:space="preserve"> que significa “igual” y </w:t>
      </w:r>
      <w:proofErr w:type="spellStart"/>
      <w:r w:rsidRPr="006A1D11">
        <w:rPr>
          <w:rFonts w:asciiTheme="minorHAnsi" w:hAnsiTheme="minorHAnsi" w:cstheme="minorHAnsi"/>
          <w:i/>
          <w:iCs/>
          <w:sz w:val="22"/>
          <w:szCs w:val="22"/>
          <w:lang w:val="es-CR" w:eastAsia="es-CR"/>
        </w:rPr>
        <w:t>phobos</w:t>
      </w:r>
      <w:proofErr w:type="spellEnd"/>
      <w:r w:rsidRPr="004423BB">
        <w:rPr>
          <w:rFonts w:asciiTheme="minorHAnsi" w:hAnsiTheme="minorHAnsi" w:cstheme="minorHAnsi"/>
          <w:sz w:val="22"/>
          <w:szCs w:val="22"/>
          <w:lang w:val="es-CR" w:eastAsia="es-CR"/>
        </w:rPr>
        <w:t xml:space="preserve"> que expresa “temor” más el sufijo </w:t>
      </w:r>
      <w:r w:rsidRPr="006A1D11">
        <w:rPr>
          <w:rFonts w:asciiTheme="minorHAnsi" w:hAnsiTheme="minorHAnsi" w:cstheme="minorHAnsi"/>
          <w:i/>
          <w:iCs/>
          <w:sz w:val="22"/>
          <w:szCs w:val="22"/>
          <w:lang w:val="es-CR" w:eastAsia="es-CR"/>
        </w:rPr>
        <w:t>-</w:t>
      </w:r>
      <w:proofErr w:type="spellStart"/>
      <w:r w:rsidRPr="006A1D11">
        <w:rPr>
          <w:rFonts w:asciiTheme="minorHAnsi" w:hAnsiTheme="minorHAnsi" w:cstheme="minorHAnsi"/>
          <w:i/>
          <w:iCs/>
          <w:sz w:val="22"/>
          <w:szCs w:val="22"/>
          <w:lang w:val="es-CR" w:eastAsia="es-CR"/>
        </w:rPr>
        <w:t>ia</w:t>
      </w:r>
      <w:proofErr w:type="spellEnd"/>
      <w:r w:rsidRPr="004423BB">
        <w:rPr>
          <w:rFonts w:asciiTheme="minorHAnsi" w:hAnsiTheme="minorHAnsi" w:cstheme="minorHAnsi"/>
          <w:sz w:val="22"/>
          <w:szCs w:val="22"/>
          <w:lang w:val="es-CR" w:eastAsia="es-CR"/>
        </w:rPr>
        <w:t> que representa “cualidad”.</w:t>
      </w:r>
    </w:p>
    <w:p w:rsidR="004423BB" w:rsidRPr="004423BB" w:rsidRDefault="004423BB" w:rsidP="004423BB">
      <w:pPr>
        <w:jc w:val="both"/>
        <w:textAlignment w:val="top"/>
        <w:rPr>
          <w:rFonts w:asciiTheme="minorHAnsi" w:hAnsiTheme="minorHAnsi" w:cstheme="minorHAnsi"/>
          <w:sz w:val="22"/>
          <w:szCs w:val="22"/>
          <w:lang w:val="es-CR" w:eastAsia="es-CR"/>
        </w:rPr>
      </w:pPr>
    </w:p>
    <w:p w:rsidR="004423BB" w:rsidRPr="006A1D11" w:rsidRDefault="007C6E4A" w:rsidP="004423BB">
      <w:pPr>
        <w:jc w:val="both"/>
        <w:textAlignment w:val="top"/>
        <w:rPr>
          <w:rFonts w:asciiTheme="minorHAnsi" w:hAnsiTheme="minorHAnsi" w:cstheme="minorHAnsi"/>
          <w:sz w:val="22"/>
          <w:szCs w:val="22"/>
          <w:lang w:val="es-CR" w:eastAsia="es-CR"/>
        </w:rPr>
      </w:pPr>
      <w:r w:rsidRPr="006A1D11">
        <w:rPr>
          <w:rFonts w:asciiTheme="minorHAnsi" w:hAnsiTheme="minorHAnsi" w:cstheme="minorHAnsi"/>
          <w:bCs/>
          <w:sz w:val="22"/>
          <w:szCs w:val="22"/>
          <w:bdr w:val="none" w:sz="0" w:space="0" w:color="auto" w:frame="1"/>
          <w:lang w:val="es-CR" w:eastAsia="es-CR"/>
        </w:rPr>
        <w:lastRenderedPageBreak/>
        <w:t>Se</w:t>
      </w:r>
      <w:r w:rsidR="004423BB" w:rsidRPr="006A1D11">
        <w:rPr>
          <w:rFonts w:asciiTheme="minorHAnsi" w:hAnsiTheme="minorHAnsi" w:cstheme="minorHAnsi"/>
          <w:bCs/>
          <w:sz w:val="22"/>
          <w:szCs w:val="22"/>
          <w:bdr w:val="none" w:sz="0" w:space="0" w:color="auto" w:frame="1"/>
          <w:lang w:val="es-CR" w:eastAsia="es-CR"/>
        </w:rPr>
        <w:t xml:space="preserve"> caracteriza </w:t>
      </w:r>
      <w:r w:rsidR="004423BB" w:rsidRPr="004423BB">
        <w:rPr>
          <w:rFonts w:asciiTheme="minorHAnsi" w:hAnsiTheme="minorHAnsi" w:cstheme="minorHAnsi"/>
          <w:sz w:val="22"/>
          <w:szCs w:val="22"/>
          <w:lang w:val="es-CR" w:eastAsia="es-CR"/>
        </w:rPr>
        <w:t>por el rechazo, miedo, odio o repugnancia que siente un grupo de personas por la homosexualidad, en general. Inicialmente, el término homofobia fue usado en el año 1966 por el psicoterapeuta, escritor, y activista estadounidense George Weinberg.</w:t>
      </w:r>
    </w:p>
    <w:p w:rsidR="007C6E4A" w:rsidRPr="004423BB" w:rsidRDefault="007C6E4A" w:rsidP="004423BB">
      <w:pPr>
        <w:jc w:val="both"/>
        <w:textAlignment w:val="top"/>
        <w:rPr>
          <w:rFonts w:asciiTheme="minorHAnsi" w:hAnsiTheme="minorHAnsi" w:cstheme="minorHAnsi"/>
          <w:sz w:val="22"/>
          <w:szCs w:val="22"/>
          <w:lang w:val="es-CR" w:eastAsia="es-CR"/>
        </w:rPr>
      </w:pPr>
    </w:p>
    <w:p w:rsidR="004423BB" w:rsidRPr="004423BB" w:rsidRDefault="004423BB" w:rsidP="004423BB">
      <w:pPr>
        <w:jc w:val="both"/>
        <w:textAlignment w:val="top"/>
        <w:rPr>
          <w:rFonts w:asciiTheme="minorHAnsi" w:hAnsiTheme="minorHAnsi" w:cstheme="minorHAnsi"/>
          <w:sz w:val="22"/>
          <w:szCs w:val="22"/>
          <w:lang w:val="es-CR" w:eastAsia="es-CR"/>
        </w:rPr>
      </w:pPr>
      <w:r w:rsidRPr="004423BB">
        <w:rPr>
          <w:rFonts w:asciiTheme="minorHAnsi" w:hAnsiTheme="minorHAnsi" w:cstheme="minorHAnsi"/>
          <w:sz w:val="22"/>
          <w:szCs w:val="22"/>
          <w:lang w:val="es-CR" w:eastAsia="es-CR"/>
        </w:rPr>
        <w:t>Los homosexuales padecen de discriminación en el trabajo, en el entorno social, sufriendo de agresiones verbales, psicológicas, físicas e inclusive crímenes. Desde 1991, la Amnistía Internacional reconoce la discriminación contra los homosexuales como una violación a los derechos humanos</w:t>
      </w:r>
    </w:p>
    <w:p w:rsidR="004423BB" w:rsidRPr="009741AF" w:rsidRDefault="004423BB" w:rsidP="006A5C73">
      <w:pPr>
        <w:rPr>
          <w:rFonts w:asciiTheme="minorHAnsi" w:hAnsiTheme="minorHAnsi" w:cstheme="minorHAnsi"/>
          <w:sz w:val="22"/>
          <w:szCs w:val="22"/>
          <w:lang w:val="es-ES"/>
        </w:rPr>
      </w:pPr>
    </w:p>
    <w:p w:rsidR="004423BB" w:rsidRPr="009741AF" w:rsidRDefault="004423BB" w:rsidP="006A5C73">
      <w:pPr>
        <w:rPr>
          <w:rFonts w:asciiTheme="minorHAnsi" w:hAnsiTheme="minorHAnsi" w:cstheme="minorHAnsi"/>
          <w:sz w:val="22"/>
          <w:szCs w:val="22"/>
          <w:lang w:val="es-ES"/>
        </w:rPr>
      </w:pPr>
      <w:r w:rsidRPr="009741AF">
        <w:rPr>
          <w:rFonts w:asciiTheme="minorHAnsi" w:hAnsiTheme="minorHAnsi" w:cstheme="minorHAnsi"/>
          <w:b/>
          <w:sz w:val="22"/>
          <w:szCs w:val="22"/>
          <w:lang w:val="es-ES"/>
        </w:rPr>
        <w:t xml:space="preserve">Fuente: </w:t>
      </w:r>
      <w:r w:rsidRPr="009741AF">
        <w:rPr>
          <w:rFonts w:asciiTheme="minorHAnsi" w:hAnsiTheme="minorHAnsi" w:cstheme="minorHAnsi"/>
          <w:sz w:val="22"/>
          <w:szCs w:val="22"/>
          <w:lang w:val="es-ES"/>
        </w:rPr>
        <w:t>https://www.significados.com/homofobia/</w:t>
      </w:r>
    </w:p>
    <w:p w:rsidR="004423BB" w:rsidRPr="009741AF" w:rsidRDefault="004423BB" w:rsidP="006A5C73">
      <w:pPr>
        <w:rPr>
          <w:rFonts w:asciiTheme="minorHAnsi" w:hAnsiTheme="minorHAnsi" w:cstheme="minorHAnsi"/>
          <w:b/>
          <w:sz w:val="22"/>
          <w:szCs w:val="22"/>
          <w:lang w:val="es-ES"/>
        </w:rPr>
      </w:pPr>
    </w:p>
    <w:p w:rsidR="009F360C" w:rsidRPr="009741AF" w:rsidRDefault="009F360C" w:rsidP="006A5C73">
      <w:pPr>
        <w:rPr>
          <w:rFonts w:asciiTheme="minorHAnsi" w:hAnsiTheme="minorHAnsi" w:cstheme="minorHAnsi"/>
          <w:sz w:val="22"/>
          <w:szCs w:val="22"/>
          <w:lang w:val="es-ES"/>
        </w:rPr>
      </w:pPr>
      <w:r w:rsidRPr="009741AF">
        <w:rPr>
          <w:rFonts w:asciiTheme="minorHAnsi" w:hAnsiTheme="minorHAnsi" w:cstheme="minorHAnsi"/>
          <w:b/>
          <w:sz w:val="22"/>
          <w:szCs w:val="22"/>
          <w:lang w:val="es-ES"/>
        </w:rPr>
        <w:t>Transfobia</w:t>
      </w:r>
      <w:r w:rsidRPr="009741AF">
        <w:rPr>
          <w:rFonts w:asciiTheme="minorHAnsi" w:hAnsiTheme="minorHAnsi" w:cstheme="minorHAnsi"/>
          <w:sz w:val="22"/>
          <w:szCs w:val="22"/>
          <w:lang w:val="es-ES"/>
        </w:rPr>
        <w:t xml:space="preserve"> </w:t>
      </w:r>
    </w:p>
    <w:p w:rsidR="009F360C" w:rsidRPr="009741AF" w:rsidRDefault="009F360C" w:rsidP="009F360C">
      <w:pPr>
        <w:jc w:val="both"/>
        <w:rPr>
          <w:rFonts w:asciiTheme="minorHAnsi" w:hAnsiTheme="minorHAnsi" w:cstheme="minorHAnsi"/>
          <w:sz w:val="22"/>
          <w:szCs w:val="22"/>
          <w:lang w:val="es-ES"/>
        </w:rPr>
      </w:pPr>
      <w:r w:rsidRPr="009741AF">
        <w:rPr>
          <w:rFonts w:asciiTheme="minorHAnsi" w:hAnsiTheme="minorHAnsi" w:cstheme="minorHAnsi"/>
          <w:sz w:val="22"/>
          <w:szCs w:val="22"/>
          <w:lang w:val="es-ES"/>
        </w:rPr>
        <w:t>Son los prejuicios dirigidos a las personas trans como consecuencia de su identidad o expresión de género real o percibida. La transfobia puede ser estructural, es decir, estar presente en políticas, leyes y acuerdos socioeconómicos que discriminen a las personas trans, o social, cuando otros miembros de la sociedad rechazan o maltratan a las personas trans. Además, la transfobia puede internalizarse cuando las personas trans aceptan y reflejan esas actitudes hostiles hacia sí mismas u otras personas trans.</w:t>
      </w:r>
    </w:p>
    <w:p w:rsidR="00B35F9E" w:rsidRPr="009741AF" w:rsidRDefault="00B35F9E" w:rsidP="009F360C">
      <w:pPr>
        <w:jc w:val="both"/>
        <w:rPr>
          <w:rFonts w:asciiTheme="minorHAnsi" w:hAnsiTheme="minorHAnsi" w:cstheme="minorHAnsi"/>
          <w:sz w:val="22"/>
          <w:szCs w:val="22"/>
          <w:lang w:val="es-ES"/>
        </w:rPr>
      </w:pPr>
    </w:p>
    <w:p w:rsidR="00B35F9E" w:rsidRDefault="00B35F9E" w:rsidP="00B35F9E">
      <w:pPr>
        <w:jc w:val="both"/>
        <w:rPr>
          <w:rFonts w:asciiTheme="minorHAnsi" w:hAnsiTheme="minorHAnsi" w:cstheme="minorHAnsi"/>
          <w:b/>
          <w:sz w:val="22"/>
          <w:szCs w:val="22"/>
          <w:lang w:val="es-ES"/>
        </w:rPr>
      </w:pPr>
      <w:r w:rsidRPr="006A5C73">
        <w:rPr>
          <w:rFonts w:asciiTheme="minorHAnsi" w:hAnsiTheme="minorHAnsi" w:cstheme="minorHAnsi"/>
          <w:sz w:val="22"/>
          <w:szCs w:val="22"/>
          <w:lang w:val="es-ES"/>
        </w:rPr>
        <w:t xml:space="preserve">Fuente: </w:t>
      </w:r>
      <w:r>
        <w:rPr>
          <w:rFonts w:asciiTheme="minorHAnsi" w:hAnsiTheme="minorHAnsi" w:cstheme="minorHAnsi"/>
          <w:sz w:val="22"/>
          <w:szCs w:val="22"/>
          <w:lang w:val="es-ES"/>
        </w:rPr>
        <w:t xml:space="preserve">UNDP, RGT, UNAIDS, UNFPA, </w:t>
      </w:r>
      <w:r w:rsidRPr="006A5C73">
        <w:rPr>
          <w:rFonts w:asciiTheme="minorHAnsi" w:hAnsiTheme="minorHAnsi" w:cstheme="minorHAnsi"/>
          <w:sz w:val="22"/>
          <w:szCs w:val="22"/>
          <w:lang w:val="es-ES"/>
        </w:rPr>
        <w:t>OMS</w:t>
      </w:r>
      <w:proofErr w:type="gramStart"/>
      <w:r>
        <w:rPr>
          <w:rFonts w:asciiTheme="minorHAnsi" w:hAnsiTheme="minorHAnsi" w:cstheme="minorHAnsi"/>
          <w:sz w:val="22"/>
          <w:szCs w:val="22"/>
          <w:lang w:val="es-ES"/>
        </w:rPr>
        <w:t>,USAID</w:t>
      </w:r>
      <w:proofErr w:type="gramEnd"/>
      <w:r>
        <w:rPr>
          <w:rFonts w:asciiTheme="minorHAnsi" w:hAnsiTheme="minorHAnsi" w:cstheme="minorHAnsi"/>
          <w:sz w:val="22"/>
          <w:szCs w:val="22"/>
          <w:lang w:val="es-ES"/>
        </w:rPr>
        <w:t>, PEPFAR</w:t>
      </w:r>
      <w:r w:rsidRPr="006A5C73">
        <w:rPr>
          <w:rFonts w:asciiTheme="minorHAnsi" w:hAnsiTheme="minorHAnsi" w:cstheme="minorHAnsi"/>
          <w:sz w:val="22"/>
          <w:szCs w:val="22"/>
          <w:lang w:val="es-ES"/>
        </w:rPr>
        <w:t xml:space="preserve">. </w:t>
      </w:r>
      <w:r w:rsidRPr="009F360C">
        <w:rPr>
          <w:rFonts w:asciiTheme="minorHAnsi" w:hAnsiTheme="minorHAnsi" w:cstheme="minorHAnsi"/>
          <w:sz w:val="22"/>
          <w:szCs w:val="22"/>
          <w:lang w:val="es-ES"/>
        </w:rPr>
        <w:t>Implementación integral de programas de VIH e ITS con personas transgénero</w:t>
      </w:r>
      <w:r>
        <w:rPr>
          <w:rFonts w:asciiTheme="minorHAnsi" w:hAnsiTheme="minorHAnsi" w:cstheme="minorHAnsi"/>
          <w:sz w:val="22"/>
          <w:szCs w:val="22"/>
          <w:lang w:val="es-ES"/>
        </w:rPr>
        <w:t>.</w:t>
      </w:r>
      <w:r w:rsidRPr="009F360C">
        <w:rPr>
          <w:rFonts w:asciiTheme="minorHAnsi" w:hAnsiTheme="minorHAnsi" w:cstheme="minorHAnsi"/>
          <w:sz w:val="22"/>
          <w:szCs w:val="22"/>
          <w:lang w:val="es-ES"/>
        </w:rPr>
        <w:t xml:space="preserve"> GUÍA PRÁCTICA PARA LAS INTERVENCIONES DE COLABORACIÓN</w:t>
      </w:r>
      <w:r>
        <w:rPr>
          <w:rFonts w:asciiTheme="minorHAnsi" w:hAnsiTheme="minorHAnsi" w:cstheme="minorHAnsi"/>
          <w:sz w:val="22"/>
          <w:szCs w:val="22"/>
          <w:lang w:val="es-ES"/>
        </w:rPr>
        <w:t>. USA. 2016</w:t>
      </w:r>
    </w:p>
    <w:p w:rsidR="00B35F9E" w:rsidRPr="006A5C73" w:rsidRDefault="00B35F9E" w:rsidP="009F360C">
      <w:pPr>
        <w:jc w:val="both"/>
        <w:rPr>
          <w:rFonts w:asciiTheme="minorHAnsi" w:hAnsiTheme="minorHAnsi" w:cstheme="minorHAnsi"/>
          <w:sz w:val="22"/>
          <w:szCs w:val="22"/>
        </w:rPr>
      </w:pPr>
    </w:p>
    <w:sectPr w:rsidR="00B35F9E" w:rsidRPr="006A5C7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0195" w:rsidRDefault="00040195" w:rsidP="00F40BD1">
      <w:r>
        <w:separator/>
      </w:r>
    </w:p>
  </w:endnote>
  <w:endnote w:type="continuationSeparator" w:id="0">
    <w:p w:rsidR="00040195" w:rsidRDefault="00040195" w:rsidP="00F40B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20002A87" w:usb1="00000000" w:usb2="00000000"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0195" w:rsidRDefault="00040195" w:rsidP="00F40BD1">
      <w:r>
        <w:separator/>
      </w:r>
    </w:p>
  </w:footnote>
  <w:footnote w:type="continuationSeparator" w:id="0">
    <w:p w:rsidR="00040195" w:rsidRDefault="00040195" w:rsidP="00F40BD1">
      <w:r>
        <w:continuationSeparator/>
      </w:r>
    </w:p>
  </w:footnote>
  <w:footnote w:id="1">
    <w:p w:rsidR="00F40BD1" w:rsidRPr="00F40BD1" w:rsidRDefault="00F40BD1" w:rsidP="00F40BD1">
      <w:pPr>
        <w:pStyle w:val="Textoindependiente2"/>
        <w:jc w:val="both"/>
        <w:rPr>
          <w:rFonts w:asciiTheme="minorHAnsi" w:hAnsiTheme="minorHAnsi" w:cstheme="minorHAnsi"/>
          <w:b w:val="0"/>
          <w:sz w:val="20"/>
        </w:rPr>
      </w:pPr>
      <w:r w:rsidRPr="00F40BD1">
        <w:rPr>
          <w:rStyle w:val="Refdenotaalpie"/>
          <w:rFonts w:asciiTheme="minorHAnsi" w:hAnsiTheme="minorHAnsi" w:cstheme="minorHAnsi"/>
          <w:sz w:val="20"/>
        </w:rPr>
        <w:footnoteRef/>
      </w:r>
      <w:r w:rsidRPr="00F40BD1">
        <w:rPr>
          <w:rFonts w:asciiTheme="minorHAnsi" w:hAnsiTheme="minorHAnsi" w:cstheme="minorHAnsi"/>
          <w:sz w:val="20"/>
        </w:rPr>
        <w:t xml:space="preserve"> </w:t>
      </w:r>
      <w:r w:rsidRPr="00F40BD1">
        <w:rPr>
          <w:rFonts w:asciiTheme="minorHAnsi" w:hAnsiTheme="minorHAnsi" w:cstheme="minorHAnsi"/>
          <w:b w:val="0"/>
          <w:sz w:val="20"/>
        </w:rPr>
        <w:t xml:space="preserve">Elaborado por Edda Quiros Rodriguez. </w:t>
      </w:r>
      <w:r w:rsidRPr="00F40BD1">
        <w:rPr>
          <w:rFonts w:asciiTheme="minorHAnsi" w:hAnsiTheme="minorHAnsi" w:cstheme="minorHAnsi"/>
          <w:b w:val="0"/>
          <w:sz w:val="20"/>
          <w:lang w:val="es-ES"/>
        </w:rPr>
        <w:t xml:space="preserve">Dirección de Planificación Estratégica y Evaluación de las Acciones en Salud. </w:t>
      </w:r>
      <w:r w:rsidRPr="00F40BD1">
        <w:rPr>
          <w:rFonts w:asciiTheme="minorHAnsi" w:hAnsiTheme="minorHAnsi" w:cstheme="minorHAnsi"/>
          <w:b w:val="0"/>
          <w:sz w:val="20"/>
        </w:rPr>
        <w:t>Ministerio de Salud. 2018</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BD1"/>
    <w:rsid w:val="00034C63"/>
    <w:rsid w:val="00040195"/>
    <w:rsid w:val="00310CAE"/>
    <w:rsid w:val="004423BB"/>
    <w:rsid w:val="005A478F"/>
    <w:rsid w:val="0062067B"/>
    <w:rsid w:val="006A1D11"/>
    <w:rsid w:val="006A5C73"/>
    <w:rsid w:val="00730CC6"/>
    <w:rsid w:val="00741660"/>
    <w:rsid w:val="00760892"/>
    <w:rsid w:val="007C6E4A"/>
    <w:rsid w:val="009741AF"/>
    <w:rsid w:val="009F360C"/>
    <w:rsid w:val="00B35F9E"/>
    <w:rsid w:val="00B4618B"/>
    <w:rsid w:val="00D55E18"/>
    <w:rsid w:val="00F40BD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0BD1"/>
    <w:pPr>
      <w:spacing w:after="0" w:line="240" w:lineRule="auto"/>
    </w:pPr>
    <w:rPr>
      <w:rFonts w:ascii="Times New Roman" w:eastAsia="Times New Roman" w:hAnsi="Times New Roman" w:cs="Times New Roman"/>
      <w:sz w:val="20"/>
      <w:szCs w:val="20"/>
      <w:lang w:val="en-US" w:eastAsia="es-ES"/>
    </w:rPr>
  </w:style>
  <w:style w:type="paragraph" w:styleId="Ttulo2">
    <w:name w:val="heading 2"/>
    <w:basedOn w:val="Normal"/>
    <w:link w:val="Ttulo2Car"/>
    <w:uiPriority w:val="9"/>
    <w:qFormat/>
    <w:rsid w:val="004423BB"/>
    <w:pPr>
      <w:spacing w:before="100" w:beforeAutospacing="1" w:after="100" w:afterAutospacing="1"/>
      <w:outlineLvl w:val="1"/>
    </w:pPr>
    <w:rPr>
      <w:b/>
      <w:bCs/>
      <w:sz w:val="36"/>
      <w:szCs w:val="36"/>
      <w:lang w:val="es-CR"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F40BD1"/>
    <w:pPr>
      <w:spacing w:before="100" w:beforeAutospacing="1" w:after="100" w:afterAutospacing="1"/>
    </w:pPr>
    <w:rPr>
      <w:sz w:val="24"/>
      <w:szCs w:val="24"/>
      <w:lang w:val="es-CR" w:eastAsia="es-CR"/>
    </w:rPr>
  </w:style>
  <w:style w:type="character" w:styleId="Textoennegrita">
    <w:name w:val="Strong"/>
    <w:basedOn w:val="Fuentedeprrafopredeter"/>
    <w:uiPriority w:val="22"/>
    <w:qFormat/>
    <w:rsid w:val="00F40BD1"/>
    <w:rPr>
      <w:b/>
      <w:bCs/>
    </w:rPr>
  </w:style>
  <w:style w:type="character" w:styleId="Hipervnculo">
    <w:name w:val="Hyperlink"/>
    <w:basedOn w:val="Fuentedeprrafopredeter"/>
    <w:rsid w:val="00F40BD1"/>
    <w:rPr>
      <w:color w:val="0000FF"/>
      <w:u w:val="single"/>
    </w:rPr>
  </w:style>
  <w:style w:type="paragraph" w:styleId="Textoindependiente2">
    <w:name w:val="Body Text 2"/>
    <w:basedOn w:val="Normal"/>
    <w:link w:val="Textoindependiente2Car"/>
    <w:rsid w:val="00F40BD1"/>
    <w:pPr>
      <w:jc w:val="center"/>
    </w:pPr>
    <w:rPr>
      <w:rFonts w:ascii="Bookman Old Style" w:hAnsi="Bookman Old Style"/>
      <w:b/>
      <w:sz w:val="36"/>
      <w:lang w:val="es-CR"/>
    </w:rPr>
  </w:style>
  <w:style w:type="character" w:customStyle="1" w:styleId="Textoindependiente2Car">
    <w:name w:val="Texto independiente 2 Car"/>
    <w:basedOn w:val="Fuentedeprrafopredeter"/>
    <w:link w:val="Textoindependiente2"/>
    <w:rsid w:val="00F40BD1"/>
    <w:rPr>
      <w:rFonts w:ascii="Bookman Old Style" w:eastAsia="Times New Roman" w:hAnsi="Bookman Old Style" w:cs="Times New Roman"/>
      <w:b/>
      <w:sz w:val="36"/>
      <w:szCs w:val="20"/>
      <w:lang w:eastAsia="es-ES"/>
    </w:rPr>
  </w:style>
  <w:style w:type="paragraph" w:styleId="Textonotapie">
    <w:name w:val="footnote text"/>
    <w:basedOn w:val="Normal"/>
    <w:link w:val="TextonotapieCar"/>
    <w:uiPriority w:val="99"/>
    <w:semiHidden/>
    <w:unhideWhenUsed/>
    <w:rsid w:val="00F40BD1"/>
  </w:style>
  <w:style w:type="character" w:customStyle="1" w:styleId="TextonotapieCar">
    <w:name w:val="Texto nota pie Car"/>
    <w:basedOn w:val="Fuentedeprrafopredeter"/>
    <w:link w:val="Textonotapie"/>
    <w:uiPriority w:val="99"/>
    <w:semiHidden/>
    <w:rsid w:val="00F40BD1"/>
    <w:rPr>
      <w:rFonts w:ascii="Times New Roman" w:eastAsia="Times New Roman" w:hAnsi="Times New Roman" w:cs="Times New Roman"/>
      <w:sz w:val="20"/>
      <w:szCs w:val="20"/>
      <w:lang w:val="en-US" w:eastAsia="es-ES"/>
    </w:rPr>
  </w:style>
  <w:style w:type="character" w:styleId="Refdenotaalpie">
    <w:name w:val="footnote reference"/>
    <w:basedOn w:val="Fuentedeprrafopredeter"/>
    <w:uiPriority w:val="99"/>
    <w:semiHidden/>
    <w:unhideWhenUsed/>
    <w:rsid w:val="00F40BD1"/>
    <w:rPr>
      <w:vertAlign w:val="superscript"/>
    </w:rPr>
  </w:style>
  <w:style w:type="character" w:customStyle="1" w:styleId="Ttulo2Car">
    <w:name w:val="Título 2 Car"/>
    <w:basedOn w:val="Fuentedeprrafopredeter"/>
    <w:link w:val="Ttulo2"/>
    <w:uiPriority w:val="9"/>
    <w:rsid w:val="004423BB"/>
    <w:rPr>
      <w:rFonts w:ascii="Times New Roman" w:eastAsia="Times New Roman" w:hAnsi="Times New Roman" w:cs="Times New Roman"/>
      <w:b/>
      <w:bCs/>
      <w:sz w:val="36"/>
      <w:szCs w:val="36"/>
      <w:lang w:eastAsia="es-CR"/>
    </w:rPr>
  </w:style>
  <w:style w:type="character" w:styleId="nfasis">
    <w:name w:val="Emphasis"/>
    <w:basedOn w:val="Fuentedeprrafopredeter"/>
    <w:uiPriority w:val="20"/>
    <w:qFormat/>
    <w:rsid w:val="004423BB"/>
    <w:rPr>
      <w:i/>
      <w:iCs/>
    </w:rPr>
  </w:style>
  <w:style w:type="paragraph" w:styleId="Textodeglobo">
    <w:name w:val="Balloon Text"/>
    <w:basedOn w:val="Normal"/>
    <w:link w:val="TextodegloboCar"/>
    <w:uiPriority w:val="99"/>
    <w:semiHidden/>
    <w:unhideWhenUsed/>
    <w:rsid w:val="005A478F"/>
    <w:rPr>
      <w:rFonts w:ascii="Tahoma" w:hAnsi="Tahoma" w:cs="Tahoma"/>
      <w:sz w:val="16"/>
      <w:szCs w:val="16"/>
    </w:rPr>
  </w:style>
  <w:style w:type="character" w:customStyle="1" w:styleId="TextodegloboCar">
    <w:name w:val="Texto de globo Car"/>
    <w:basedOn w:val="Fuentedeprrafopredeter"/>
    <w:link w:val="Textodeglobo"/>
    <w:uiPriority w:val="99"/>
    <w:semiHidden/>
    <w:rsid w:val="005A478F"/>
    <w:rPr>
      <w:rFonts w:ascii="Tahoma" w:eastAsia="Times New Roman" w:hAnsi="Tahoma" w:cs="Tahoma"/>
      <w:sz w:val="16"/>
      <w:szCs w:val="16"/>
      <w:lang w:val="en-U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0BD1"/>
    <w:pPr>
      <w:spacing w:after="0" w:line="240" w:lineRule="auto"/>
    </w:pPr>
    <w:rPr>
      <w:rFonts w:ascii="Times New Roman" w:eastAsia="Times New Roman" w:hAnsi="Times New Roman" w:cs="Times New Roman"/>
      <w:sz w:val="20"/>
      <w:szCs w:val="20"/>
      <w:lang w:val="en-US" w:eastAsia="es-ES"/>
    </w:rPr>
  </w:style>
  <w:style w:type="paragraph" w:styleId="Ttulo2">
    <w:name w:val="heading 2"/>
    <w:basedOn w:val="Normal"/>
    <w:link w:val="Ttulo2Car"/>
    <w:uiPriority w:val="9"/>
    <w:qFormat/>
    <w:rsid w:val="004423BB"/>
    <w:pPr>
      <w:spacing w:before="100" w:beforeAutospacing="1" w:after="100" w:afterAutospacing="1"/>
      <w:outlineLvl w:val="1"/>
    </w:pPr>
    <w:rPr>
      <w:b/>
      <w:bCs/>
      <w:sz w:val="36"/>
      <w:szCs w:val="36"/>
      <w:lang w:val="es-CR"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F40BD1"/>
    <w:pPr>
      <w:spacing w:before="100" w:beforeAutospacing="1" w:after="100" w:afterAutospacing="1"/>
    </w:pPr>
    <w:rPr>
      <w:sz w:val="24"/>
      <w:szCs w:val="24"/>
      <w:lang w:val="es-CR" w:eastAsia="es-CR"/>
    </w:rPr>
  </w:style>
  <w:style w:type="character" w:styleId="Textoennegrita">
    <w:name w:val="Strong"/>
    <w:basedOn w:val="Fuentedeprrafopredeter"/>
    <w:uiPriority w:val="22"/>
    <w:qFormat/>
    <w:rsid w:val="00F40BD1"/>
    <w:rPr>
      <w:b/>
      <w:bCs/>
    </w:rPr>
  </w:style>
  <w:style w:type="character" w:styleId="Hipervnculo">
    <w:name w:val="Hyperlink"/>
    <w:basedOn w:val="Fuentedeprrafopredeter"/>
    <w:rsid w:val="00F40BD1"/>
    <w:rPr>
      <w:color w:val="0000FF"/>
      <w:u w:val="single"/>
    </w:rPr>
  </w:style>
  <w:style w:type="paragraph" w:styleId="Textoindependiente2">
    <w:name w:val="Body Text 2"/>
    <w:basedOn w:val="Normal"/>
    <w:link w:val="Textoindependiente2Car"/>
    <w:rsid w:val="00F40BD1"/>
    <w:pPr>
      <w:jc w:val="center"/>
    </w:pPr>
    <w:rPr>
      <w:rFonts w:ascii="Bookman Old Style" w:hAnsi="Bookman Old Style"/>
      <w:b/>
      <w:sz w:val="36"/>
      <w:lang w:val="es-CR"/>
    </w:rPr>
  </w:style>
  <w:style w:type="character" w:customStyle="1" w:styleId="Textoindependiente2Car">
    <w:name w:val="Texto independiente 2 Car"/>
    <w:basedOn w:val="Fuentedeprrafopredeter"/>
    <w:link w:val="Textoindependiente2"/>
    <w:rsid w:val="00F40BD1"/>
    <w:rPr>
      <w:rFonts w:ascii="Bookman Old Style" w:eastAsia="Times New Roman" w:hAnsi="Bookman Old Style" w:cs="Times New Roman"/>
      <w:b/>
      <w:sz w:val="36"/>
      <w:szCs w:val="20"/>
      <w:lang w:eastAsia="es-ES"/>
    </w:rPr>
  </w:style>
  <w:style w:type="paragraph" w:styleId="Textonotapie">
    <w:name w:val="footnote text"/>
    <w:basedOn w:val="Normal"/>
    <w:link w:val="TextonotapieCar"/>
    <w:uiPriority w:val="99"/>
    <w:semiHidden/>
    <w:unhideWhenUsed/>
    <w:rsid w:val="00F40BD1"/>
  </w:style>
  <w:style w:type="character" w:customStyle="1" w:styleId="TextonotapieCar">
    <w:name w:val="Texto nota pie Car"/>
    <w:basedOn w:val="Fuentedeprrafopredeter"/>
    <w:link w:val="Textonotapie"/>
    <w:uiPriority w:val="99"/>
    <w:semiHidden/>
    <w:rsid w:val="00F40BD1"/>
    <w:rPr>
      <w:rFonts w:ascii="Times New Roman" w:eastAsia="Times New Roman" w:hAnsi="Times New Roman" w:cs="Times New Roman"/>
      <w:sz w:val="20"/>
      <w:szCs w:val="20"/>
      <w:lang w:val="en-US" w:eastAsia="es-ES"/>
    </w:rPr>
  </w:style>
  <w:style w:type="character" w:styleId="Refdenotaalpie">
    <w:name w:val="footnote reference"/>
    <w:basedOn w:val="Fuentedeprrafopredeter"/>
    <w:uiPriority w:val="99"/>
    <w:semiHidden/>
    <w:unhideWhenUsed/>
    <w:rsid w:val="00F40BD1"/>
    <w:rPr>
      <w:vertAlign w:val="superscript"/>
    </w:rPr>
  </w:style>
  <w:style w:type="character" w:customStyle="1" w:styleId="Ttulo2Car">
    <w:name w:val="Título 2 Car"/>
    <w:basedOn w:val="Fuentedeprrafopredeter"/>
    <w:link w:val="Ttulo2"/>
    <w:uiPriority w:val="9"/>
    <w:rsid w:val="004423BB"/>
    <w:rPr>
      <w:rFonts w:ascii="Times New Roman" w:eastAsia="Times New Roman" w:hAnsi="Times New Roman" w:cs="Times New Roman"/>
      <w:b/>
      <w:bCs/>
      <w:sz w:val="36"/>
      <w:szCs w:val="36"/>
      <w:lang w:eastAsia="es-CR"/>
    </w:rPr>
  </w:style>
  <w:style w:type="character" w:styleId="nfasis">
    <w:name w:val="Emphasis"/>
    <w:basedOn w:val="Fuentedeprrafopredeter"/>
    <w:uiPriority w:val="20"/>
    <w:qFormat/>
    <w:rsid w:val="004423BB"/>
    <w:rPr>
      <w:i/>
      <w:iCs/>
    </w:rPr>
  </w:style>
  <w:style w:type="paragraph" w:styleId="Textodeglobo">
    <w:name w:val="Balloon Text"/>
    <w:basedOn w:val="Normal"/>
    <w:link w:val="TextodegloboCar"/>
    <w:uiPriority w:val="99"/>
    <w:semiHidden/>
    <w:unhideWhenUsed/>
    <w:rsid w:val="005A478F"/>
    <w:rPr>
      <w:rFonts w:ascii="Tahoma" w:hAnsi="Tahoma" w:cs="Tahoma"/>
      <w:sz w:val="16"/>
      <w:szCs w:val="16"/>
    </w:rPr>
  </w:style>
  <w:style w:type="character" w:customStyle="1" w:styleId="TextodegloboCar">
    <w:name w:val="Texto de globo Car"/>
    <w:basedOn w:val="Fuentedeprrafopredeter"/>
    <w:link w:val="Textodeglobo"/>
    <w:uiPriority w:val="99"/>
    <w:semiHidden/>
    <w:rsid w:val="005A478F"/>
    <w:rPr>
      <w:rFonts w:ascii="Tahoma" w:eastAsia="Times New Roman" w:hAnsi="Tahoma" w:cs="Tahoma"/>
      <w:sz w:val="16"/>
      <w:szCs w:val="16"/>
      <w:lang w:val="en-U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1717528">
      <w:bodyDiv w:val="1"/>
      <w:marLeft w:val="0"/>
      <w:marRight w:val="0"/>
      <w:marTop w:val="0"/>
      <w:marBottom w:val="0"/>
      <w:divBdr>
        <w:top w:val="none" w:sz="0" w:space="0" w:color="auto"/>
        <w:left w:val="none" w:sz="0" w:space="0" w:color="auto"/>
        <w:bottom w:val="none" w:sz="0" w:space="0" w:color="auto"/>
        <w:right w:val="none" w:sz="0" w:space="0" w:color="auto"/>
      </w:divBdr>
    </w:div>
    <w:div w:id="2049254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efinicion.d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E25CA-D4C3-43D8-BF8D-9F8E91F2A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2859</Words>
  <Characters>15730</Characters>
  <Application>Microsoft Office Word</Application>
  <DocSecurity>0</DocSecurity>
  <Lines>131</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Edda  Quiros Rodriguez</dc:creator>
  <cp:lastModifiedBy>ORIETTA MONGE</cp:lastModifiedBy>
  <cp:revision>2</cp:revision>
  <dcterms:created xsi:type="dcterms:W3CDTF">2018-10-09T18:22:00Z</dcterms:created>
  <dcterms:modified xsi:type="dcterms:W3CDTF">2018-10-09T18:22:00Z</dcterms:modified>
</cp:coreProperties>
</file>