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2.xml" ContentType="application/vnd.openxmlformats-officedocument.drawingml.chart+xml"/>
  <Override PartName="/word/charts/style9.xml" ContentType="application/vnd.ms-office.chartstyle+xml"/>
  <Override PartName="/word/charts/colors9.xml" ContentType="application/vnd.ms-office.chartcolorstyle+xml"/>
  <Override PartName="/word/drawings/drawing2.xml" ContentType="application/vnd.openxmlformats-officedocument.drawingml.chartshapes+xml"/>
  <Override PartName="/word/charts/chart13.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4.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5.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xml" ContentType="application/vnd.openxmlformats-officedocument.themeOverride+xml"/>
  <Override PartName="/word/charts/chart21.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2.xml" ContentType="application/vnd.openxmlformats-officedocument.themeOverride+xml"/>
  <Override PartName="/word/charts/chart22.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3.xml" ContentType="application/vnd.openxmlformats-officedocument.themeOverride+xml"/>
  <Override PartName="/word/charts/chart23.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24.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25.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4.xml" ContentType="application/vnd.openxmlformats-officedocument.themeOverride+xml"/>
  <Override PartName="/word/charts/chart26.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7.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8.xml" ContentType="application/vnd.openxmlformats-officedocument.drawingml.chart+xml"/>
  <Override PartName="/word/charts/chart29.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30.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31.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32.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33.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34.xml" ContentType="application/vnd.openxmlformats-officedocument.drawingml.chart+xml"/>
  <Override PartName="/word/charts/chart35.xml" ContentType="application/vnd.openxmlformats-officedocument.drawingml.chart+xml"/>
  <Override PartName="/word/theme/themeOverride5.xml" ContentType="application/vnd.openxmlformats-officedocument.themeOverride+xml"/>
  <Override PartName="/word/charts/chart36.xml" ContentType="application/vnd.openxmlformats-officedocument.drawingml.chart+xml"/>
  <Override PartName="/word/charts/style26.xml" ContentType="application/vnd.ms-office.chartstyle+xml"/>
  <Override PartName="/word/charts/colors26.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Pr="00D800F9" w:rsidRDefault="0043401B" w:rsidP="0043401B">
      <w:pPr>
        <w:spacing w:after="160" w:line="259" w:lineRule="auto"/>
        <w:jc w:val="center"/>
        <w:rPr>
          <w:rFonts w:ascii="Arial" w:hAnsi="Arial" w:cs="Arial"/>
          <w:b/>
          <w:color w:val="2F5496" w:themeColor="accent5" w:themeShade="BF"/>
          <w:sz w:val="48"/>
          <w:szCs w:val="48"/>
          <w:lang w:val="es-ES"/>
        </w:rPr>
      </w:pPr>
      <w:r w:rsidRPr="00D800F9">
        <w:rPr>
          <w:rFonts w:ascii="Arial" w:hAnsi="Arial" w:cs="Arial"/>
          <w:b/>
          <w:color w:val="2F5496" w:themeColor="accent5" w:themeShade="BF"/>
          <w:sz w:val="48"/>
          <w:szCs w:val="48"/>
          <w:lang w:val="es-ES"/>
        </w:rPr>
        <w:t>Análisis de la Situación de Salud</w:t>
      </w:r>
    </w:p>
    <w:p w:rsidR="00A27A64" w:rsidRPr="00D800F9" w:rsidRDefault="00A27A64" w:rsidP="0043401B">
      <w:pPr>
        <w:spacing w:after="160" w:line="259" w:lineRule="auto"/>
        <w:jc w:val="center"/>
        <w:rPr>
          <w:rFonts w:ascii="Arial" w:hAnsi="Arial" w:cs="Arial"/>
          <w:b/>
          <w:color w:val="2F5496" w:themeColor="accent5" w:themeShade="BF"/>
          <w:sz w:val="48"/>
          <w:szCs w:val="48"/>
          <w:lang w:val="es-ES"/>
        </w:rPr>
      </w:pPr>
      <w:r w:rsidRPr="00D800F9">
        <w:rPr>
          <w:rFonts w:ascii="Arial" w:hAnsi="Arial" w:cs="Arial"/>
          <w:b/>
          <w:color w:val="2F5496" w:themeColor="accent5" w:themeShade="BF"/>
          <w:sz w:val="48"/>
          <w:szCs w:val="48"/>
          <w:lang w:val="es-ES"/>
        </w:rPr>
        <w:t>2018</w:t>
      </w:r>
    </w:p>
    <w:p w:rsidR="00694998" w:rsidRDefault="00694998" w:rsidP="0043401B">
      <w:pPr>
        <w:spacing w:after="160" w:line="259" w:lineRule="auto"/>
        <w:jc w:val="center"/>
        <w:rPr>
          <w:rFonts w:ascii="Arial" w:hAnsi="Arial" w:cs="Arial"/>
          <w:b/>
          <w:sz w:val="40"/>
          <w:szCs w:val="40"/>
          <w:lang w:val="es-ES"/>
        </w:rPr>
      </w:pPr>
    </w:p>
    <w:p w:rsidR="00694998" w:rsidRDefault="00694998" w:rsidP="0043401B">
      <w:pPr>
        <w:spacing w:after="160" w:line="259" w:lineRule="auto"/>
        <w:jc w:val="center"/>
        <w:rPr>
          <w:rFonts w:ascii="Arial" w:hAnsi="Arial" w:cs="Arial"/>
          <w:b/>
          <w:sz w:val="40"/>
          <w:szCs w:val="40"/>
          <w:lang w:val="es-ES"/>
        </w:rPr>
      </w:pPr>
    </w:p>
    <w:p w:rsidR="00694998" w:rsidRDefault="00694998" w:rsidP="0043401B">
      <w:pPr>
        <w:spacing w:after="160" w:line="259" w:lineRule="auto"/>
        <w:jc w:val="center"/>
        <w:rPr>
          <w:rFonts w:ascii="Arial" w:hAnsi="Arial" w:cs="Arial"/>
          <w:b/>
          <w:sz w:val="40"/>
          <w:szCs w:val="40"/>
        </w:rPr>
      </w:pPr>
    </w:p>
    <w:p w:rsidR="00694998" w:rsidRDefault="00694998" w:rsidP="0043401B">
      <w:pPr>
        <w:spacing w:after="160" w:line="259" w:lineRule="auto"/>
        <w:jc w:val="center"/>
        <w:rPr>
          <w:rFonts w:ascii="Arial" w:hAnsi="Arial" w:cs="Arial"/>
          <w:b/>
          <w:sz w:val="40"/>
          <w:szCs w:val="40"/>
        </w:rPr>
      </w:pPr>
    </w:p>
    <w:p w:rsidR="00694998" w:rsidRDefault="00D800F9" w:rsidP="0043401B">
      <w:pPr>
        <w:spacing w:after="160" w:line="259" w:lineRule="auto"/>
        <w:jc w:val="center"/>
        <w:rPr>
          <w:rFonts w:ascii="Arial" w:hAnsi="Arial" w:cs="Arial"/>
          <w:b/>
          <w:sz w:val="40"/>
          <w:szCs w:val="40"/>
        </w:rPr>
      </w:pPr>
      <w:r w:rsidRPr="00694998">
        <w:rPr>
          <w:rFonts w:ascii="Arial" w:hAnsi="Arial" w:cs="Arial"/>
          <w:b/>
          <w:noProof/>
          <w:sz w:val="40"/>
          <w:szCs w:val="40"/>
          <w:lang w:val="es-CR" w:eastAsia="es-CR"/>
        </w:rPr>
        <w:drawing>
          <wp:anchor distT="0" distB="0" distL="114300" distR="114300" simplePos="0" relativeHeight="251674624" behindDoc="0" locked="0" layoutInCell="1" allowOverlap="1" wp14:anchorId="2A14699D" wp14:editId="6C2467E7">
            <wp:simplePos x="0" y="0"/>
            <wp:positionH relativeFrom="margin">
              <wp:align>center</wp:align>
            </wp:positionH>
            <wp:positionV relativeFrom="margin">
              <wp:posOffset>3236179</wp:posOffset>
            </wp:positionV>
            <wp:extent cx="4843780" cy="1628140"/>
            <wp:effectExtent l="0" t="0" r="0" b="0"/>
            <wp:wrapSquare wrapText="bothSides"/>
            <wp:docPr id="10" name="Imagen 10" descr="C:\Users\Ilse\Desktop\LOGO 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lse\Desktop\LOGO M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43780" cy="16281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94998" w:rsidRDefault="00694998" w:rsidP="0043401B">
      <w:pPr>
        <w:spacing w:after="160" w:line="259" w:lineRule="auto"/>
        <w:jc w:val="center"/>
        <w:rPr>
          <w:rFonts w:ascii="Arial" w:hAnsi="Arial" w:cs="Arial"/>
          <w:b/>
          <w:sz w:val="40"/>
          <w:szCs w:val="40"/>
        </w:rPr>
      </w:pPr>
    </w:p>
    <w:p w:rsidR="00694998" w:rsidRDefault="00694998" w:rsidP="0043401B">
      <w:pPr>
        <w:spacing w:after="160" w:line="259" w:lineRule="auto"/>
        <w:jc w:val="center"/>
        <w:rPr>
          <w:rFonts w:ascii="Arial" w:hAnsi="Arial" w:cs="Arial"/>
          <w:b/>
          <w:sz w:val="40"/>
          <w:szCs w:val="40"/>
        </w:rPr>
      </w:pPr>
    </w:p>
    <w:p w:rsidR="00694998" w:rsidRDefault="00694998" w:rsidP="0043401B">
      <w:pPr>
        <w:spacing w:after="160" w:line="259" w:lineRule="auto"/>
        <w:jc w:val="center"/>
        <w:rPr>
          <w:rFonts w:ascii="Arial" w:hAnsi="Arial" w:cs="Arial"/>
          <w:b/>
          <w:sz w:val="40"/>
          <w:szCs w:val="40"/>
        </w:rPr>
      </w:pPr>
    </w:p>
    <w:p w:rsidR="00694998" w:rsidRDefault="00694998" w:rsidP="0043401B">
      <w:pPr>
        <w:spacing w:after="160" w:line="259" w:lineRule="auto"/>
        <w:jc w:val="center"/>
        <w:rPr>
          <w:rFonts w:ascii="Arial" w:hAnsi="Arial" w:cs="Arial"/>
          <w:b/>
          <w:sz w:val="40"/>
          <w:szCs w:val="40"/>
        </w:rPr>
      </w:pPr>
    </w:p>
    <w:p w:rsidR="00694998" w:rsidRDefault="00694998" w:rsidP="0043401B">
      <w:pPr>
        <w:spacing w:after="160" w:line="259" w:lineRule="auto"/>
        <w:jc w:val="center"/>
        <w:rPr>
          <w:rFonts w:ascii="Arial" w:hAnsi="Arial" w:cs="Arial"/>
          <w:b/>
          <w:sz w:val="40"/>
          <w:szCs w:val="40"/>
        </w:rPr>
      </w:pPr>
    </w:p>
    <w:p w:rsidR="00694998" w:rsidRDefault="00D800F9" w:rsidP="00D800F9">
      <w:pPr>
        <w:tabs>
          <w:tab w:val="left" w:pos="5537"/>
        </w:tabs>
        <w:spacing w:after="160" w:line="259" w:lineRule="auto"/>
        <w:rPr>
          <w:rFonts w:ascii="Arial" w:hAnsi="Arial" w:cs="Arial"/>
          <w:b/>
          <w:sz w:val="40"/>
          <w:szCs w:val="40"/>
        </w:rPr>
      </w:pPr>
      <w:r>
        <w:rPr>
          <w:rFonts w:ascii="Arial" w:hAnsi="Arial" w:cs="Arial"/>
          <w:b/>
          <w:sz w:val="40"/>
          <w:szCs w:val="40"/>
        </w:rPr>
        <w:tab/>
      </w:r>
      <w:bookmarkStart w:id="0" w:name="_GoBack"/>
      <w:bookmarkEnd w:id="0"/>
    </w:p>
    <w:p w:rsidR="00694998" w:rsidRDefault="00694998" w:rsidP="0043401B">
      <w:pPr>
        <w:spacing w:after="160" w:line="259" w:lineRule="auto"/>
        <w:jc w:val="center"/>
        <w:rPr>
          <w:rFonts w:ascii="Arial" w:hAnsi="Arial" w:cs="Arial"/>
          <w:b/>
          <w:sz w:val="40"/>
          <w:szCs w:val="40"/>
        </w:rPr>
      </w:pPr>
    </w:p>
    <w:p w:rsidR="00694998" w:rsidRDefault="00694998" w:rsidP="0043401B">
      <w:pPr>
        <w:spacing w:after="160" w:line="259" w:lineRule="auto"/>
        <w:jc w:val="center"/>
        <w:rPr>
          <w:rFonts w:ascii="Arial" w:hAnsi="Arial" w:cs="Arial"/>
          <w:b/>
          <w:sz w:val="40"/>
          <w:szCs w:val="40"/>
        </w:rPr>
      </w:pPr>
    </w:p>
    <w:p w:rsidR="00694998" w:rsidRPr="00D800F9" w:rsidRDefault="00694998" w:rsidP="0043401B">
      <w:pPr>
        <w:spacing w:after="160" w:line="259" w:lineRule="auto"/>
        <w:jc w:val="center"/>
        <w:rPr>
          <w:rFonts w:ascii="Arial" w:hAnsi="Arial" w:cs="Arial"/>
          <w:b/>
          <w:color w:val="2F5496" w:themeColor="accent5" w:themeShade="BF"/>
          <w:sz w:val="40"/>
          <w:szCs w:val="40"/>
        </w:rPr>
      </w:pPr>
      <w:r w:rsidRPr="00D800F9">
        <w:rPr>
          <w:rFonts w:ascii="Arial" w:hAnsi="Arial" w:cs="Arial"/>
          <w:b/>
          <w:color w:val="2F5496" w:themeColor="accent5" w:themeShade="BF"/>
          <w:sz w:val="40"/>
          <w:szCs w:val="40"/>
        </w:rPr>
        <w:t>Memoria Institucional</w:t>
      </w:r>
    </w:p>
    <w:p w:rsidR="0043401B" w:rsidRPr="00D800F9" w:rsidRDefault="00A27A64" w:rsidP="0043401B">
      <w:pPr>
        <w:spacing w:after="160" w:line="259" w:lineRule="auto"/>
        <w:jc w:val="center"/>
        <w:rPr>
          <w:rFonts w:ascii="Arial" w:hAnsi="Arial" w:cs="Arial"/>
          <w:b/>
          <w:color w:val="2F5496" w:themeColor="accent5" w:themeShade="BF"/>
          <w:sz w:val="40"/>
          <w:szCs w:val="40"/>
        </w:rPr>
      </w:pPr>
      <w:r w:rsidRPr="00D800F9">
        <w:rPr>
          <w:rFonts w:ascii="Arial" w:hAnsi="Arial" w:cs="Arial"/>
          <w:b/>
          <w:color w:val="2F5496" w:themeColor="accent5" w:themeShade="BF"/>
          <w:sz w:val="40"/>
          <w:szCs w:val="40"/>
        </w:rPr>
        <w:t>Mayo 2019</w:t>
      </w:r>
    </w:p>
    <w:p w:rsidR="0043401B" w:rsidRPr="00EF3FBA" w:rsidRDefault="0043401B">
      <w:pPr>
        <w:spacing w:after="160" w:line="259" w:lineRule="auto"/>
        <w:rPr>
          <w:rFonts w:ascii="Arial" w:hAnsi="Arial" w:cs="Arial"/>
          <w:sz w:val="36"/>
          <w:szCs w:val="36"/>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43401B" w:rsidRDefault="0043401B">
      <w:pPr>
        <w:spacing w:after="160" w:line="259" w:lineRule="auto"/>
        <w:rPr>
          <w:rFonts w:ascii="Arial" w:hAnsi="Arial" w:cs="Arial"/>
        </w:rPr>
      </w:pPr>
    </w:p>
    <w:p w:rsidR="002B1A80" w:rsidRDefault="002B1A80">
      <w:pPr>
        <w:spacing w:after="160" w:line="259" w:lineRule="auto"/>
        <w:rPr>
          <w:rFonts w:ascii="Arial" w:hAnsi="Arial" w:cs="Arial"/>
        </w:rPr>
      </w:pPr>
      <w:r>
        <w:rPr>
          <w:rFonts w:ascii="Arial" w:hAnsi="Arial" w:cs="Arial"/>
        </w:rPr>
        <w:t xml:space="preserve"> </w:t>
      </w:r>
      <w:r>
        <w:rPr>
          <w:rFonts w:ascii="Arial" w:hAnsi="Arial" w:cs="Arial"/>
        </w:rPr>
        <w:br w:type="page"/>
      </w:r>
    </w:p>
    <w:sdt>
      <w:sdtPr>
        <w:rPr>
          <w:rFonts w:ascii="Cambria" w:eastAsia="Cambria" w:hAnsi="Cambria" w:cs="Times New Roman"/>
          <w:color w:val="auto"/>
          <w:sz w:val="24"/>
          <w:szCs w:val="24"/>
          <w:lang w:val="es-ES" w:eastAsia="en-US"/>
        </w:rPr>
        <w:id w:val="1204759492"/>
        <w:docPartObj>
          <w:docPartGallery w:val="Table of Contents"/>
          <w:docPartUnique/>
        </w:docPartObj>
      </w:sdtPr>
      <w:sdtEndPr>
        <w:rPr>
          <w:b/>
          <w:bCs/>
        </w:rPr>
      </w:sdtEndPr>
      <w:sdtContent>
        <w:p w:rsidR="002818D5" w:rsidRDefault="002818D5">
          <w:pPr>
            <w:pStyle w:val="TtuloTDC"/>
          </w:pPr>
          <w:r>
            <w:rPr>
              <w:lang w:val="es-ES"/>
            </w:rPr>
            <w:t>Tabla de contenido</w:t>
          </w:r>
        </w:p>
        <w:p w:rsidR="00BC5AB0" w:rsidRDefault="002818D5">
          <w:pPr>
            <w:pStyle w:val="TDC1"/>
            <w:tabs>
              <w:tab w:val="right" w:leader="dot" w:pos="8828"/>
            </w:tabs>
            <w:rPr>
              <w:rFonts w:asciiTheme="minorHAnsi" w:eastAsiaTheme="minorEastAsia" w:hAnsiTheme="minorHAnsi" w:cstheme="minorBidi"/>
              <w:noProof/>
              <w:sz w:val="22"/>
              <w:szCs w:val="22"/>
              <w:lang w:val="es-CR" w:eastAsia="es-CR"/>
            </w:rPr>
          </w:pPr>
          <w:r>
            <w:rPr>
              <w:b/>
              <w:bCs/>
              <w:lang w:val="es-ES"/>
            </w:rPr>
            <w:fldChar w:fldCharType="begin"/>
          </w:r>
          <w:r>
            <w:rPr>
              <w:b/>
              <w:bCs/>
              <w:lang w:val="es-ES"/>
            </w:rPr>
            <w:instrText xml:space="preserve"> TOC \o "1-3" \h \z \u </w:instrText>
          </w:r>
          <w:r>
            <w:rPr>
              <w:b/>
              <w:bCs/>
              <w:lang w:val="es-ES"/>
            </w:rPr>
            <w:fldChar w:fldCharType="separate"/>
          </w:r>
          <w:hyperlink w:anchor="_Toc7439646" w:history="1">
            <w:r w:rsidR="00BC5AB0" w:rsidRPr="00831747">
              <w:rPr>
                <w:rStyle w:val="Hipervnculo"/>
                <w:rFonts w:ascii="Arial" w:hAnsi="Arial" w:cs="Arial"/>
                <w:noProof/>
              </w:rPr>
              <w:t>Indicadores demográficos</w:t>
            </w:r>
            <w:r w:rsidR="00BC5AB0">
              <w:rPr>
                <w:noProof/>
                <w:webHidden/>
              </w:rPr>
              <w:tab/>
            </w:r>
            <w:r w:rsidR="00BC5AB0">
              <w:rPr>
                <w:noProof/>
                <w:webHidden/>
              </w:rPr>
              <w:fldChar w:fldCharType="begin"/>
            </w:r>
            <w:r w:rsidR="00BC5AB0">
              <w:rPr>
                <w:noProof/>
                <w:webHidden/>
              </w:rPr>
              <w:instrText xml:space="preserve"> PAGEREF _Toc7439646 \h </w:instrText>
            </w:r>
            <w:r w:rsidR="00BC5AB0">
              <w:rPr>
                <w:noProof/>
                <w:webHidden/>
              </w:rPr>
            </w:r>
            <w:r w:rsidR="00BC5AB0">
              <w:rPr>
                <w:noProof/>
                <w:webHidden/>
              </w:rPr>
              <w:fldChar w:fldCharType="separate"/>
            </w:r>
            <w:r w:rsidR="00BC5AB0">
              <w:rPr>
                <w:noProof/>
                <w:webHidden/>
              </w:rPr>
              <w:t>4</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47" w:history="1">
            <w:r w:rsidR="00BC5AB0" w:rsidRPr="00831747">
              <w:rPr>
                <w:rStyle w:val="Hipervnculo"/>
                <w:rFonts w:ascii="Arial" w:hAnsi="Arial" w:cs="Arial"/>
                <w:b/>
                <w:noProof/>
              </w:rPr>
              <w:t>Estructura de Población</w:t>
            </w:r>
            <w:r w:rsidR="00BC5AB0">
              <w:rPr>
                <w:noProof/>
                <w:webHidden/>
              </w:rPr>
              <w:tab/>
            </w:r>
            <w:r w:rsidR="00BC5AB0">
              <w:rPr>
                <w:noProof/>
                <w:webHidden/>
              </w:rPr>
              <w:fldChar w:fldCharType="begin"/>
            </w:r>
            <w:r w:rsidR="00BC5AB0">
              <w:rPr>
                <w:noProof/>
                <w:webHidden/>
              </w:rPr>
              <w:instrText xml:space="preserve"> PAGEREF _Toc7439647 \h </w:instrText>
            </w:r>
            <w:r w:rsidR="00BC5AB0">
              <w:rPr>
                <w:noProof/>
                <w:webHidden/>
              </w:rPr>
            </w:r>
            <w:r w:rsidR="00BC5AB0">
              <w:rPr>
                <w:noProof/>
                <w:webHidden/>
              </w:rPr>
              <w:fldChar w:fldCharType="separate"/>
            </w:r>
            <w:r w:rsidR="00BC5AB0">
              <w:rPr>
                <w:noProof/>
                <w:webHidden/>
              </w:rPr>
              <w:t>4</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48" w:history="1">
            <w:r w:rsidR="00BC5AB0" w:rsidRPr="00831747">
              <w:rPr>
                <w:rStyle w:val="Hipervnculo"/>
                <w:rFonts w:ascii="Arial" w:hAnsi="Arial" w:cs="Arial"/>
                <w:b/>
                <w:noProof/>
              </w:rPr>
              <w:t>Fecundidad</w:t>
            </w:r>
            <w:r w:rsidR="00BC5AB0">
              <w:rPr>
                <w:noProof/>
                <w:webHidden/>
              </w:rPr>
              <w:tab/>
            </w:r>
            <w:r w:rsidR="00BC5AB0">
              <w:rPr>
                <w:noProof/>
                <w:webHidden/>
              </w:rPr>
              <w:fldChar w:fldCharType="begin"/>
            </w:r>
            <w:r w:rsidR="00BC5AB0">
              <w:rPr>
                <w:noProof/>
                <w:webHidden/>
              </w:rPr>
              <w:instrText xml:space="preserve"> PAGEREF _Toc7439648 \h </w:instrText>
            </w:r>
            <w:r w:rsidR="00BC5AB0">
              <w:rPr>
                <w:noProof/>
                <w:webHidden/>
              </w:rPr>
            </w:r>
            <w:r w:rsidR="00BC5AB0">
              <w:rPr>
                <w:noProof/>
                <w:webHidden/>
              </w:rPr>
              <w:fldChar w:fldCharType="separate"/>
            </w:r>
            <w:r w:rsidR="00BC5AB0">
              <w:rPr>
                <w:noProof/>
                <w:webHidden/>
              </w:rPr>
              <w:t>8</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49" w:history="1">
            <w:r w:rsidR="00BC5AB0" w:rsidRPr="00831747">
              <w:rPr>
                <w:rStyle w:val="Hipervnculo"/>
                <w:rFonts w:ascii="Arial" w:hAnsi="Arial" w:cs="Arial"/>
                <w:b/>
                <w:noProof/>
              </w:rPr>
              <w:t>Esperanza de vida</w:t>
            </w:r>
            <w:r w:rsidR="00BC5AB0">
              <w:rPr>
                <w:noProof/>
                <w:webHidden/>
              </w:rPr>
              <w:tab/>
            </w:r>
            <w:r w:rsidR="00BC5AB0">
              <w:rPr>
                <w:noProof/>
                <w:webHidden/>
              </w:rPr>
              <w:fldChar w:fldCharType="begin"/>
            </w:r>
            <w:r w:rsidR="00BC5AB0">
              <w:rPr>
                <w:noProof/>
                <w:webHidden/>
              </w:rPr>
              <w:instrText xml:space="preserve"> PAGEREF _Toc7439649 \h </w:instrText>
            </w:r>
            <w:r w:rsidR="00BC5AB0">
              <w:rPr>
                <w:noProof/>
                <w:webHidden/>
              </w:rPr>
            </w:r>
            <w:r w:rsidR="00BC5AB0">
              <w:rPr>
                <w:noProof/>
                <w:webHidden/>
              </w:rPr>
              <w:fldChar w:fldCharType="separate"/>
            </w:r>
            <w:r w:rsidR="00BC5AB0">
              <w:rPr>
                <w:noProof/>
                <w:webHidden/>
              </w:rPr>
              <w:t>9</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50" w:history="1">
            <w:r w:rsidR="00BC5AB0" w:rsidRPr="00831747">
              <w:rPr>
                <w:rStyle w:val="Hipervnculo"/>
                <w:rFonts w:ascii="Arial" w:hAnsi="Arial" w:cs="Arial"/>
                <w:b/>
                <w:noProof/>
              </w:rPr>
              <w:t>Embarazo adolescente</w:t>
            </w:r>
            <w:r w:rsidR="00BC5AB0">
              <w:rPr>
                <w:noProof/>
                <w:webHidden/>
              </w:rPr>
              <w:tab/>
            </w:r>
            <w:r w:rsidR="00BC5AB0">
              <w:rPr>
                <w:noProof/>
                <w:webHidden/>
              </w:rPr>
              <w:fldChar w:fldCharType="begin"/>
            </w:r>
            <w:r w:rsidR="00BC5AB0">
              <w:rPr>
                <w:noProof/>
                <w:webHidden/>
              </w:rPr>
              <w:instrText xml:space="preserve"> PAGEREF _Toc7439650 \h </w:instrText>
            </w:r>
            <w:r w:rsidR="00BC5AB0">
              <w:rPr>
                <w:noProof/>
                <w:webHidden/>
              </w:rPr>
            </w:r>
            <w:r w:rsidR="00BC5AB0">
              <w:rPr>
                <w:noProof/>
                <w:webHidden/>
              </w:rPr>
              <w:fldChar w:fldCharType="separate"/>
            </w:r>
            <w:r w:rsidR="00BC5AB0">
              <w:rPr>
                <w:noProof/>
                <w:webHidden/>
              </w:rPr>
              <w:t>10</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51" w:history="1">
            <w:r w:rsidR="00BC5AB0" w:rsidRPr="00831747">
              <w:rPr>
                <w:rStyle w:val="Hipervnculo"/>
                <w:rFonts w:ascii="Arial" w:hAnsi="Arial" w:cs="Arial"/>
                <w:b/>
                <w:noProof/>
                <w:lang w:val="es-CR"/>
              </w:rPr>
              <w:t>Mortalidad</w:t>
            </w:r>
            <w:r w:rsidR="00BC5AB0">
              <w:rPr>
                <w:noProof/>
                <w:webHidden/>
              </w:rPr>
              <w:tab/>
            </w:r>
            <w:r w:rsidR="00BC5AB0">
              <w:rPr>
                <w:noProof/>
                <w:webHidden/>
              </w:rPr>
              <w:fldChar w:fldCharType="begin"/>
            </w:r>
            <w:r w:rsidR="00BC5AB0">
              <w:rPr>
                <w:noProof/>
                <w:webHidden/>
              </w:rPr>
              <w:instrText xml:space="preserve"> PAGEREF _Toc7439651 \h </w:instrText>
            </w:r>
            <w:r w:rsidR="00BC5AB0">
              <w:rPr>
                <w:noProof/>
                <w:webHidden/>
              </w:rPr>
            </w:r>
            <w:r w:rsidR="00BC5AB0">
              <w:rPr>
                <w:noProof/>
                <w:webHidden/>
              </w:rPr>
              <w:fldChar w:fldCharType="separate"/>
            </w:r>
            <w:r w:rsidR="00BC5AB0">
              <w:rPr>
                <w:noProof/>
                <w:webHidden/>
              </w:rPr>
              <w:t>11</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52" w:history="1">
            <w:r w:rsidR="00BC5AB0" w:rsidRPr="00831747">
              <w:rPr>
                <w:rStyle w:val="Hipervnculo"/>
                <w:rFonts w:ascii="Arial" w:hAnsi="Arial" w:cs="Arial"/>
                <w:b/>
                <w:noProof/>
              </w:rPr>
              <w:t>Conformación étnica</w:t>
            </w:r>
            <w:r w:rsidR="00BC5AB0">
              <w:rPr>
                <w:noProof/>
                <w:webHidden/>
              </w:rPr>
              <w:tab/>
            </w:r>
            <w:r w:rsidR="00BC5AB0">
              <w:rPr>
                <w:noProof/>
                <w:webHidden/>
              </w:rPr>
              <w:fldChar w:fldCharType="begin"/>
            </w:r>
            <w:r w:rsidR="00BC5AB0">
              <w:rPr>
                <w:noProof/>
                <w:webHidden/>
              </w:rPr>
              <w:instrText xml:space="preserve"> PAGEREF _Toc7439652 \h </w:instrText>
            </w:r>
            <w:r w:rsidR="00BC5AB0">
              <w:rPr>
                <w:noProof/>
                <w:webHidden/>
              </w:rPr>
            </w:r>
            <w:r w:rsidR="00BC5AB0">
              <w:rPr>
                <w:noProof/>
                <w:webHidden/>
              </w:rPr>
              <w:fldChar w:fldCharType="separate"/>
            </w:r>
            <w:r w:rsidR="00BC5AB0">
              <w:rPr>
                <w:noProof/>
                <w:webHidden/>
              </w:rPr>
              <w:t>13</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53" w:history="1">
            <w:r w:rsidR="00BC5AB0" w:rsidRPr="00831747">
              <w:rPr>
                <w:rStyle w:val="Hipervnculo"/>
                <w:rFonts w:ascii="Arial" w:hAnsi="Arial" w:cs="Arial"/>
                <w:b/>
                <w:noProof/>
              </w:rPr>
              <w:t>Educación</w:t>
            </w:r>
            <w:r w:rsidR="00BC5AB0">
              <w:rPr>
                <w:noProof/>
                <w:webHidden/>
              </w:rPr>
              <w:tab/>
            </w:r>
            <w:r w:rsidR="00BC5AB0">
              <w:rPr>
                <w:noProof/>
                <w:webHidden/>
              </w:rPr>
              <w:fldChar w:fldCharType="begin"/>
            </w:r>
            <w:r w:rsidR="00BC5AB0">
              <w:rPr>
                <w:noProof/>
                <w:webHidden/>
              </w:rPr>
              <w:instrText xml:space="preserve"> PAGEREF _Toc7439653 \h </w:instrText>
            </w:r>
            <w:r w:rsidR="00BC5AB0">
              <w:rPr>
                <w:noProof/>
                <w:webHidden/>
              </w:rPr>
            </w:r>
            <w:r w:rsidR="00BC5AB0">
              <w:rPr>
                <w:noProof/>
                <w:webHidden/>
              </w:rPr>
              <w:fldChar w:fldCharType="separate"/>
            </w:r>
            <w:r w:rsidR="00BC5AB0">
              <w:rPr>
                <w:noProof/>
                <w:webHidden/>
              </w:rPr>
              <w:t>18</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54" w:history="1">
            <w:r w:rsidR="00BC5AB0" w:rsidRPr="00831747">
              <w:rPr>
                <w:rStyle w:val="Hipervnculo"/>
                <w:rFonts w:ascii="Arial" w:hAnsi="Arial" w:cs="Arial"/>
                <w:b/>
                <w:noProof/>
              </w:rPr>
              <w:t>Enfermedades no Transmisibles</w:t>
            </w:r>
            <w:r w:rsidR="00BC5AB0">
              <w:rPr>
                <w:noProof/>
                <w:webHidden/>
              </w:rPr>
              <w:tab/>
            </w:r>
            <w:r w:rsidR="00BC5AB0">
              <w:rPr>
                <w:noProof/>
                <w:webHidden/>
              </w:rPr>
              <w:fldChar w:fldCharType="begin"/>
            </w:r>
            <w:r w:rsidR="00BC5AB0">
              <w:rPr>
                <w:noProof/>
                <w:webHidden/>
              </w:rPr>
              <w:instrText xml:space="preserve"> PAGEREF _Toc7439654 \h </w:instrText>
            </w:r>
            <w:r w:rsidR="00BC5AB0">
              <w:rPr>
                <w:noProof/>
                <w:webHidden/>
              </w:rPr>
            </w:r>
            <w:r w:rsidR="00BC5AB0">
              <w:rPr>
                <w:noProof/>
                <w:webHidden/>
              </w:rPr>
              <w:fldChar w:fldCharType="separate"/>
            </w:r>
            <w:r w:rsidR="00BC5AB0">
              <w:rPr>
                <w:noProof/>
                <w:webHidden/>
              </w:rPr>
              <w:t>21</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55" w:history="1">
            <w:r w:rsidR="00BC5AB0" w:rsidRPr="00831747">
              <w:rPr>
                <w:rStyle w:val="Hipervnculo"/>
                <w:rFonts w:ascii="Arial" w:hAnsi="Arial" w:cs="Arial"/>
                <w:b/>
                <w:noProof/>
              </w:rPr>
              <w:t>Hipertensión Arterial</w:t>
            </w:r>
            <w:r w:rsidR="00BC5AB0">
              <w:rPr>
                <w:noProof/>
                <w:webHidden/>
              </w:rPr>
              <w:tab/>
            </w:r>
            <w:r w:rsidR="00BC5AB0">
              <w:rPr>
                <w:noProof/>
                <w:webHidden/>
              </w:rPr>
              <w:fldChar w:fldCharType="begin"/>
            </w:r>
            <w:r w:rsidR="00BC5AB0">
              <w:rPr>
                <w:noProof/>
                <w:webHidden/>
              </w:rPr>
              <w:instrText xml:space="preserve"> PAGEREF _Toc7439655 \h </w:instrText>
            </w:r>
            <w:r w:rsidR="00BC5AB0">
              <w:rPr>
                <w:noProof/>
                <w:webHidden/>
              </w:rPr>
            </w:r>
            <w:r w:rsidR="00BC5AB0">
              <w:rPr>
                <w:noProof/>
                <w:webHidden/>
              </w:rPr>
              <w:fldChar w:fldCharType="separate"/>
            </w:r>
            <w:r w:rsidR="00BC5AB0">
              <w:rPr>
                <w:noProof/>
                <w:webHidden/>
              </w:rPr>
              <w:t>21</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56" w:history="1">
            <w:r w:rsidR="00BC5AB0" w:rsidRPr="00831747">
              <w:rPr>
                <w:rStyle w:val="Hipervnculo"/>
                <w:rFonts w:ascii="Arial" w:hAnsi="Arial" w:cs="Arial"/>
                <w:b/>
                <w:noProof/>
              </w:rPr>
              <w:t>Diabetes mellitus</w:t>
            </w:r>
            <w:r w:rsidR="00BC5AB0">
              <w:rPr>
                <w:noProof/>
                <w:webHidden/>
              </w:rPr>
              <w:tab/>
            </w:r>
            <w:r w:rsidR="00BC5AB0">
              <w:rPr>
                <w:noProof/>
                <w:webHidden/>
              </w:rPr>
              <w:fldChar w:fldCharType="begin"/>
            </w:r>
            <w:r w:rsidR="00BC5AB0">
              <w:rPr>
                <w:noProof/>
                <w:webHidden/>
              </w:rPr>
              <w:instrText xml:space="preserve"> PAGEREF _Toc7439656 \h </w:instrText>
            </w:r>
            <w:r w:rsidR="00BC5AB0">
              <w:rPr>
                <w:noProof/>
                <w:webHidden/>
              </w:rPr>
            </w:r>
            <w:r w:rsidR="00BC5AB0">
              <w:rPr>
                <w:noProof/>
                <w:webHidden/>
              </w:rPr>
              <w:fldChar w:fldCharType="separate"/>
            </w:r>
            <w:r w:rsidR="00BC5AB0">
              <w:rPr>
                <w:noProof/>
                <w:webHidden/>
              </w:rPr>
              <w:t>24</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57" w:history="1">
            <w:r w:rsidR="00BC5AB0" w:rsidRPr="00831747">
              <w:rPr>
                <w:rStyle w:val="Hipervnculo"/>
                <w:rFonts w:ascii="Arial" w:hAnsi="Arial" w:cs="Arial"/>
                <w:b/>
                <w:noProof/>
              </w:rPr>
              <w:t>Cáncer</w:t>
            </w:r>
            <w:r w:rsidR="00BC5AB0">
              <w:rPr>
                <w:noProof/>
                <w:webHidden/>
              </w:rPr>
              <w:tab/>
            </w:r>
            <w:r w:rsidR="00BC5AB0">
              <w:rPr>
                <w:noProof/>
                <w:webHidden/>
              </w:rPr>
              <w:fldChar w:fldCharType="begin"/>
            </w:r>
            <w:r w:rsidR="00BC5AB0">
              <w:rPr>
                <w:noProof/>
                <w:webHidden/>
              </w:rPr>
              <w:instrText xml:space="preserve"> PAGEREF _Toc7439657 \h </w:instrText>
            </w:r>
            <w:r w:rsidR="00BC5AB0">
              <w:rPr>
                <w:noProof/>
                <w:webHidden/>
              </w:rPr>
            </w:r>
            <w:r w:rsidR="00BC5AB0">
              <w:rPr>
                <w:noProof/>
                <w:webHidden/>
              </w:rPr>
              <w:fldChar w:fldCharType="separate"/>
            </w:r>
            <w:r w:rsidR="00BC5AB0">
              <w:rPr>
                <w:noProof/>
                <w:webHidden/>
              </w:rPr>
              <w:t>27</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58" w:history="1">
            <w:r w:rsidR="00BC5AB0" w:rsidRPr="00831747">
              <w:rPr>
                <w:rStyle w:val="Hipervnculo"/>
                <w:rFonts w:ascii="Arial" w:hAnsi="Arial" w:cs="Arial"/>
                <w:b/>
                <w:noProof/>
                <w:lang w:eastAsia="es-ES"/>
              </w:rPr>
              <w:t>Vigilancia del estado nutricional</w:t>
            </w:r>
            <w:r w:rsidR="00BC5AB0">
              <w:rPr>
                <w:noProof/>
                <w:webHidden/>
              </w:rPr>
              <w:tab/>
            </w:r>
            <w:r w:rsidR="00BC5AB0">
              <w:rPr>
                <w:noProof/>
                <w:webHidden/>
              </w:rPr>
              <w:fldChar w:fldCharType="begin"/>
            </w:r>
            <w:r w:rsidR="00BC5AB0">
              <w:rPr>
                <w:noProof/>
                <w:webHidden/>
              </w:rPr>
              <w:instrText xml:space="preserve"> PAGEREF _Toc7439658 \h </w:instrText>
            </w:r>
            <w:r w:rsidR="00BC5AB0">
              <w:rPr>
                <w:noProof/>
                <w:webHidden/>
              </w:rPr>
            </w:r>
            <w:r w:rsidR="00BC5AB0">
              <w:rPr>
                <w:noProof/>
                <w:webHidden/>
              </w:rPr>
              <w:fldChar w:fldCharType="separate"/>
            </w:r>
            <w:r w:rsidR="00BC5AB0">
              <w:rPr>
                <w:noProof/>
                <w:webHidden/>
              </w:rPr>
              <w:t>30</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59" w:history="1">
            <w:r w:rsidR="00BC5AB0" w:rsidRPr="00831747">
              <w:rPr>
                <w:rStyle w:val="Hipervnculo"/>
                <w:rFonts w:ascii="Arial" w:hAnsi="Arial" w:cs="Arial"/>
                <w:b/>
                <w:noProof/>
              </w:rPr>
              <w:t>Desnutrición</w:t>
            </w:r>
            <w:r w:rsidR="00BC5AB0">
              <w:rPr>
                <w:noProof/>
                <w:webHidden/>
              </w:rPr>
              <w:tab/>
            </w:r>
            <w:r w:rsidR="00BC5AB0">
              <w:rPr>
                <w:noProof/>
                <w:webHidden/>
              </w:rPr>
              <w:fldChar w:fldCharType="begin"/>
            </w:r>
            <w:r w:rsidR="00BC5AB0">
              <w:rPr>
                <w:noProof/>
                <w:webHidden/>
              </w:rPr>
              <w:instrText xml:space="preserve"> PAGEREF _Toc7439659 \h </w:instrText>
            </w:r>
            <w:r w:rsidR="00BC5AB0">
              <w:rPr>
                <w:noProof/>
                <w:webHidden/>
              </w:rPr>
            </w:r>
            <w:r w:rsidR="00BC5AB0">
              <w:rPr>
                <w:noProof/>
                <w:webHidden/>
              </w:rPr>
              <w:fldChar w:fldCharType="separate"/>
            </w:r>
            <w:r w:rsidR="00BC5AB0">
              <w:rPr>
                <w:noProof/>
                <w:webHidden/>
              </w:rPr>
              <w:t>31</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60" w:history="1">
            <w:r w:rsidR="00BC5AB0" w:rsidRPr="00831747">
              <w:rPr>
                <w:rStyle w:val="Hipervnculo"/>
                <w:rFonts w:ascii="Arial" w:hAnsi="Arial" w:cs="Arial"/>
                <w:b/>
                <w:noProof/>
              </w:rPr>
              <w:t>Baja talla o retardo en talla (retardo del crecimiento).</w:t>
            </w:r>
            <w:r w:rsidR="00BC5AB0">
              <w:rPr>
                <w:noProof/>
                <w:webHidden/>
              </w:rPr>
              <w:tab/>
            </w:r>
            <w:r w:rsidR="00BC5AB0">
              <w:rPr>
                <w:noProof/>
                <w:webHidden/>
              </w:rPr>
              <w:fldChar w:fldCharType="begin"/>
            </w:r>
            <w:r w:rsidR="00BC5AB0">
              <w:rPr>
                <w:noProof/>
                <w:webHidden/>
              </w:rPr>
              <w:instrText xml:space="preserve"> PAGEREF _Toc7439660 \h </w:instrText>
            </w:r>
            <w:r w:rsidR="00BC5AB0">
              <w:rPr>
                <w:noProof/>
                <w:webHidden/>
              </w:rPr>
            </w:r>
            <w:r w:rsidR="00BC5AB0">
              <w:rPr>
                <w:noProof/>
                <w:webHidden/>
              </w:rPr>
              <w:fldChar w:fldCharType="separate"/>
            </w:r>
            <w:r w:rsidR="00BC5AB0">
              <w:rPr>
                <w:noProof/>
                <w:webHidden/>
              </w:rPr>
              <w:t>34</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61" w:history="1">
            <w:r w:rsidR="00BC5AB0" w:rsidRPr="00831747">
              <w:rPr>
                <w:rStyle w:val="Hipervnculo"/>
                <w:rFonts w:ascii="Arial" w:hAnsi="Arial" w:cs="Arial"/>
                <w:b/>
                <w:noProof/>
              </w:rPr>
              <w:t>Sobrepeso y Obesidad</w:t>
            </w:r>
            <w:r w:rsidR="00BC5AB0">
              <w:rPr>
                <w:noProof/>
                <w:webHidden/>
              </w:rPr>
              <w:tab/>
            </w:r>
            <w:r w:rsidR="00BC5AB0">
              <w:rPr>
                <w:noProof/>
                <w:webHidden/>
              </w:rPr>
              <w:fldChar w:fldCharType="begin"/>
            </w:r>
            <w:r w:rsidR="00BC5AB0">
              <w:rPr>
                <w:noProof/>
                <w:webHidden/>
              </w:rPr>
              <w:instrText xml:space="preserve"> PAGEREF _Toc7439661 \h </w:instrText>
            </w:r>
            <w:r w:rsidR="00BC5AB0">
              <w:rPr>
                <w:noProof/>
                <w:webHidden/>
              </w:rPr>
            </w:r>
            <w:r w:rsidR="00BC5AB0">
              <w:rPr>
                <w:noProof/>
                <w:webHidden/>
              </w:rPr>
              <w:fldChar w:fldCharType="separate"/>
            </w:r>
            <w:r w:rsidR="00BC5AB0">
              <w:rPr>
                <w:noProof/>
                <w:webHidden/>
              </w:rPr>
              <w:t>34</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62" w:history="1">
            <w:r w:rsidR="00BC5AB0" w:rsidRPr="00831747">
              <w:rPr>
                <w:rStyle w:val="Hipervnculo"/>
                <w:rFonts w:ascii="Arial" w:hAnsi="Arial" w:cs="Arial"/>
                <w:b/>
                <w:noProof/>
              </w:rPr>
              <w:t>Causas externas de morbimortalidad</w:t>
            </w:r>
            <w:r w:rsidR="00BC5AB0">
              <w:rPr>
                <w:noProof/>
                <w:webHidden/>
              </w:rPr>
              <w:tab/>
            </w:r>
            <w:r w:rsidR="00BC5AB0">
              <w:rPr>
                <w:noProof/>
                <w:webHidden/>
              </w:rPr>
              <w:fldChar w:fldCharType="begin"/>
            </w:r>
            <w:r w:rsidR="00BC5AB0">
              <w:rPr>
                <w:noProof/>
                <w:webHidden/>
              </w:rPr>
              <w:instrText xml:space="preserve"> PAGEREF _Toc7439662 \h </w:instrText>
            </w:r>
            <w:r w:rsidR="00BC5AB0">
              <w:rPr>
                <w:noProof/>
                <w:webHidden/>
              </w:rPr>
            </w:r>
            <w:r w:rsidR="00BC5AB0">
              <w:rPr>
                <w:noProof/>
                <w:webHidden/>
              </w:rPr>
              <w:fldChar w:fldCharType="separate"/>
            </w:r>
            <w:r w:rsidR="00BC5AB0">
              <w:rPr>
                <w:noProof/>
                <w:webHidden/>
              </w:rPr>
              <w:t>40</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63" w:history="1">
            <w:r w:rsidR="00BC5AB0" w:rsidRPr="00831747">
              <w:rPr>
                <w:rStyle w:val="Hipervnculo"/>
                <w:rFonts w:ascii="Arial" w:hAnsi="Arial" w:cs="Arial"/>
                <w:b/>
                <w:noProof/>
              </w:rPr>
              <w:t>Intoxicación aguda por plaguicidas</w:t>
            </w:r>
            <w:r w:rsidR="00BC5AB0">
              <w:rPr>
                <w:noProof/>
                <w:webHidden/>
              </w:rPr>
              <w:tab/>
            </w:r>
            <w:r w:rsidR="00BC5AB0">
              <w:rPr>
                <w:noProof/>
                <w:webHidden/>
              </w:rPr>
              <w:fldChar w:fldCharType="begin"/>
            </w:r>
            <w:r w:rsidR="00BC5AB0">
              <w:rPr>
                <w:noProof/>
                <w:webHidden/>
              </w:rPr>
              <w:instrText xml:space="preserve"> PAGEREF _Toc7439663 \h </w:instrText>
            </w:r>
            <w:r w:rsidR="00BC5AB0">
              <w:rPr>
                <w:noProof/>
                <w:webHidden/>
              </w:rPr>
            </w:r>
            <w:r w:rsidR="00BC5AB0">
              <w:rPr>
                <w:noProof/>
                <w:webHidden/>
              </w:rPr>
              <w:fldChar w:fldCharType="separate"/>
            </w:r>
            <w:r w:rsidR="00BC5AB0">
              <w:rPr>
                <w:noProof/>
                <w:webHidden/>
              </w:rPr>
              <w:t>40</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64" w:history="1">
            <w:r w:rsidR="00BC5AB0" w:rsidRPr="00831747">
              <w:rPr>
                <w:rStyle w:val="Hipervnculo"/>
                <w:rFonts w:ascii="Arial" w:hAnsi="Arial" w:cs="Arial"/>
                <w:b/>
                <w:noProof/>
              </w:rPr>
              <w:t>Violencia intrafamiliar</w:t>
            </w:r>
            <w:r w:rsidR="00BC5AB0">
              <w:rPr>
                <w:noProof/>
                <w:webHidden/>
              </w:rPr>
              <w:tab/>
            </w:r>
            <w:r w:rsidR="00BC5AB0">
              <w:rPr>
                <w:noProof/>
                <w:webHidden/>
              </w:rPr>
              <w:fldChar w:fldCharType="begin"/>
            </w:r>
            <w:r w:rsidR="00BC5AB0">
              <w:rPr>
                <w:noProof/>
                <w:webHidden/>
              </w:rPr>
              <w:instrText xml:space="preserve"> PAGEREF _Toc7439664 \h </w:instrText>
            </w:r>
            <w:r w:rsidR="00BC5AB0">
              <w:rPr>
                <w:noProof/>
                <w:webHidden/>
              </w:rPr>
            </w:r>
            <w:r w:rsidR="00BC5AB0">
              <w:rPr>
                <w:noProof/>
                <w:webHidden/>
              </w:rPr>
              <w:fldChar w:fldCharType="separate"/>
            </w:r>
            <w:r w:rsidR="00BC5AB0">
              <w:rPr>
                <w:noProof/>
                <w:webHidden/>
              </w:rPr>
              <w:t>45</w:t>
            </w:r>
            <w:r w:rsidR="00BC5AB0">
              <w:rPr>
                <w:noProof/>
                <w:webHidden/>
              </w:rPr>
              <w:fldChar w:fldCharType="end"/>
            </w:r>
          </w:hyperlink>
        </w:p>
        <w:p w:rsidR="00BC5AB0" w:rsidRDefault="00E2493E">
          <w:pPr>
            <w:pStyle w:val="TDC1"/>
            <w:tabs>
              <w:tab w:val="right" w:leader="dot" w:pos="8828"/>
            </w:tabs>
            <w:rPr>
              <w:rFonts w:asciiTheme="minorHAnsi" w:eastAsiaTheme="minorEastAsia" w:hAnsiTheme="minorHAnsi" w:cstheme="minorBidi"/>
              <w:noProof/>
              <w:sz w:val="22"/>
              <w:szCs w:val="22"/>
              <w:lang w:val="es-CR" w:eastAsia="es-CR"/>
            </w:rPr>
          </w:pPr>
          <w:hyperlink w:anchor="_Toc7439665" w:history="1">
            <w:r w:rsidR="00BC5AB0" w:rsidRPr="00831747">
              <w:rPr>
                <w:rStyle w:val="Hipervnculo"/>
                <w:rFonts w:ascii="Arial" w:hAnsi="Arial" w:cs="Arial"/>
                <w:noProof/>
              </w:rPr>
              <w:t>Enfermedades transmisibles</w:t>
            </w:r>
            <w:r w:rsidR="00BC5AB0">
              <w:rPr>
                <w:noProof/>
                <w:webHidden/>
              </w:rPr>
              <w:tab/>
            </w:r>
            <w:r w:rsidR="00BC5AB0">
              <w:rPr>
                <w:noProof/>
                <w:webHidden/>
              </w:rPr>
              <w:fldChar w:fldCharType="begin"/>
            </w:r>
            <w:r w:rsidR="00BC5AB0">
              <w:rPr>
                <w:noProof/>
                <w:webHidden/>
              </w:rPr>
              <w:instrText xml:space="preserve"> PAGEREF _Toc7439665 \h </w:instrText>
            </w:r>
            <w:r w:rsidR="00BC5AB0">
              <w:rPr>
                <w:noProof/>
                <w:webHidden/>
              </w:rPr>
            </w:r>
            <w:r w:rsidR="00BC5AB0">
              <w:rPr>
                <w:noProof/>
                <w:webHidden/>
              </w:rPr>
              <w:fldChar w:fldCharType="separate"/>
            </w:r>
            <w:r w:rsidR="00BC5AB0">
              <w:rPr>
                <w:noProof/>
                <w:webHidden/>
              </w:rPr>
              <w:t>49</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66" w:history="1">
            <w:r w:rsidR="00BC5AB0" w:rsidRPr="00831747">
              <w:rPr>
                <w:rStyle w:val="Hipervnculo"/>
                <w:rFonts w:ascii="Arial" w:hAnsi="Arial" w:cs="Arial"/>
                <w:b/>
                <w:noProof/>
              </w:rPr>
              <w:t>Enfermedades vectoriales</w:t>
            </w:r>
            <w:r w:rsidR="00BC5AB0">
              <w:rPr>
                <w:noProof/>
                <w:webHidden/>
              </w:rPr>
              <w:tab/>
            </w:r>
            <w:r w:rsidR="00BC5AB0">
              <w:rPr>
                <w:noProof/>
                <w:webHidden/>
              </w:rPr>
              <w:fldChar w:fldCharType="begin"/>
            </w:r>
            <w:r w:rsidR="00BC5AB0">
              <w:rPr>
                <w:noProof/>
                <w:webHidden/>
              </w:rPr>
              <w:instrText xml:space="preserve"> PAGEREF _Toc7439666 \h </w:instrText>
            </w:r>
            <w:r w:rsidR="00BC5AB0">
              <w:rPr>
                <w:noProof/>
                <w:webHidden/>
              </w:rPr>
            </w:r>
            <w:r w:rsidR="00BC5AB0">
              <w:rPr>
                <w:noProof/>
                <w:webHidden/>
              </w:rPr>
              <w:fldChar w:fldCharType="separate"/>
            </w:r>
            <w:r w:rsidR="00BC5AB0">
              <w:rPr>
                <w:noProof/>
                <w:webHidden/>
              </w:rPr>
              <w:t>49</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67" w:history="1">
            <w:r w:rsidR="00BC5AB0" w:rsidRPr="00831747">
              <w:rPr>
                <w:rStyle w:val="Hipervnculo"/>
                <w:rFonts w:ascii="Arial" w:hAnsi="Arial" w:cs="Arial"/>
                <w:b/>
                <w:noProof/>
              </w:rPr>
              <w:t>Malaria</w:t>
            </w:r>
            <w:r w:rsidR="00BC5AB0">
              <w:rPr>
                <w:noProof/>
                <w:webHidden/>
              </w:rPr>
              <w:tab/>
            </w:r>
            <w:r w:rsidR="00BC5AB0">
              <w:rPr>
                <w:noProof/>
                <w:webHidden/>
              </w:rPr>
              <w:fldChar w:fldCharType="begin"/>
            </w:r>
            <w:r w:rsidR="00BC5AB0">
              <w:rPr>
                <w:noProof/>
                <w:webHidden/>
              </w:rPr>
              <w:instrText xml:space="preserve"> PAGEREF _Toc7439667 \h </w:instrText>
            </w:r>
            <w:r w:rsidR="00BC5AB0">
              <w:rPr>
                <w:noProof/>
                <w:webHidden/>
              </w:rPr>
            </w:r>
            <w:r w:rsidR="00BC5AB0">
              <w:rPr>
                <w:noProof/>
                <w:webHidden/>
              </w:rPr>
              <w:fldChar w:fldCharType="separate"/>
            </w:r>
            <w:r w:rsidR="00BC5AB0">
              <w:rPr>
                <w:noProof/>
                <w:webHidden/>
              </w:rPr>
              <w:t>49</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68" w:history="1">
            <w:r w:rsidR="00BC5AB0" w:rsidRPr="00831747">
              <w:rPr>
                <w:rStyle w:val="Hipervnculo"/>
                <w:rFonts w:ascii="Arial" w:hAnsi="Arial" w:cs="Arial"/>
                <w:b/>
                <w:noProof/>
              </w:rPr>
              <w:t>Dengue</w:t>
            </w:r>
            <w:r w:rsidR="00BC5AB0">
              <w:rPr>
                <w:noProof/>
                <w:webHidden/>
              </w:rPr>
              <w:tab/>
            </w:r>
            <w:r w:rsidR="00BC5AB0">
              <w:rPr>
                <w:noProof/>
                <w:webHidden/>
              </w:rPr>
              <w:fldChar w:fldCharType="begin"/>
            </w:r>
            <w:r w:rsidR="00BC5AB0">
              <w:rPr>
                <w:noProof/>
                <w:webHidden/>
              </w:rPr>
              <w:instrText xml:space="preserve"> PAGEREF _Toc7439668 \h </w:instrText>
            </w:r>
            <w:r w:rsidR="00BC5AB0">
              <w:rPr>
                <w:noProof/>
                <w:webHidden/>
              </w:rPr>
            </w:r>
            <w:r w:rsidR="00BC5AB0">
              <w:rPr>
                <w:noProof/>
                <w:webHidden/>
              </w:rPr>
              <w:fldChar w:fldCharType="separate"/>
            </w:r>
            <w:r w:rsidR="00BC5AB0">
              <w:rPr>
                <w:noProof/>
                <w:webHidden/>
              </w:rPr>
              <w:t>52</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69" w:history="1">
            <w:r w:rsidR="00BC5AB0" w:rsidRPr="00831747">
              <w:rPr>
                <w:rStyle w:val="Hipervnculo"/>
                <w:rFonts w:ascii="Arial" w:hAnsi="Arial" w:cs="Arial"/>
                <w:b/>
                <w:noProof/>
              </w:rPr>
              <w:t>Chikungunya</w:t>
            </w:r>
            <w:r w:rsidR="00BC5AB0">
              <w:rPr>
                <w:noProof/>
                <w:webHidden/>
              </w:rPr>
              <w:tab/>
            </w:r>
            <w:r w:rsidR="00BC5AB0">
              <w:rPr>
                <w:noProof/>
                <w:webHidden/>
              </w:rPr>
              <w:fldChar w:fldCharType="begin"/>
            </w:r>
            <w:r w:rsidR="00BC5AB0">
              <w:rPr>
                <w:noProof/>
                <w:webHidden/>
              </w:rPr>
              <w:instrText xml:space="preserve"> PAGEREF _Toc7439669 \h </w:instrText>
            </w:r>
            <w:r w:rsidR="00BC5AB0">
              <w:rPr>
                <w:noProof/>
                <w:webHidden/>
              </w:rPr>
            </w:r>
            <w:r w:rsidR="00BC5AB0">
              <w:rPr>
                <w:noProof/>
                <w:webHidden/>
              </w:rPr>
              <w:fldChar w:fldCharType="separate"/>
            </w:r>
            <w:r w:rsidR="00BC5AB0">
              <w:rPr>
                <w:noProof/>
                <w:webHidden/>
              </w:rPr>
              <w:t>54</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70" w:history="1">
            <w:r w:rsidR="00BC5AB0" w:rsidRPr="00831747">
              <w:rPr>
                <w:rStyle w:val="Hipervnculo"/>
                <w:rFonts w:ascii="Arial" w:hAnsi="Arial" w:cs="Arial"/>
                <w:b/>
                <w:noProof/>
              </w:rPr>
              <w:t>Zika</w:t>
            </w:r>
            <w:r w:rsidR="00BC5AB0">
              <w:rPr>
                <w:noProof/>
                <w:webHidden/>
              </w:rPr>
              <w:tab/>
            </w:r>
            <w:r w:rsidR="00BC5AB0">
              <w:rPr>
                <w:noProof/>
                <w:webHidden/>
              </w:rPr>
              <w:fldChar w:fldCharType="begin"/>
            </w:r>
            <w:r w:rsidR="00BC5AB0">
              <w:rPr>
                <w:noProof/>
                <w:webHidden/>
              </w:rPr>
              <w:instrText xml:space="preserve"> PAGEREF _Toc7439670 \h </w:instrText>
            </w:r>
            <w:r w:rsidR="00BC5AB0">
              <w:rPr>
                <w:noProof/>
                <w:webHidden/>
              </w:rPr>
            </w:r>
            <w:r w:rsidR="00BC5AB0">
              <w:rPr>
                <w:noProof/>
                <w:webHidden/>
              </w:rPr>
              <w:fldChar w:fldCharType="separate"/>
            </w:r>
            <w:r w:rsidR="00BC5AB0">
              <w:rPr>
                <w:noProof/>
                <w:webHidden/>
              </w:rPr>
              <w:t>56</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71" w:history="1">
            <w:r w:rsidR="00BC5AB0" w:rsidRPr="00831747">
              <w:rPr>
                <w:rStyle w:val="Hipervnculo"/>
                <w:rFonts w:ascii="Arial" w:hAnsi="Arial" w:cs="Arial"/>
                <w:b/>
                <w:noProof/>
              </w:rPr>
              <w:t>Enfermedad de Chagas</w:t>
            </w:r>
            <w:r w:rsidR="00BC5AB0">
              <w:rPr>
                <w:noProof/>
                <w:webHidden/>
              </w:rPr>
              <w:tab/>
            </w:r>
            <w:r w:rsidR="00BC5AB0">
              <w:rPr>
                <w:noProof/>
                <w:webHidden/>
              </w:rPr>
              <w:fldChar w:fldCharType="begin"/>
            </w:r>
            <w:r w:rsidR="00BC5AB0">
              <w:rPr>
                <w:noProof/>
                <w:webHidden/>
              </w:rPr>
              <w:instrText xml:space="preserve"> PAGEREF _Toc7439671 \h </w:instrText>
            </w:r>
            <w:r w:rsidR="00BC5AB0">
              <w:rPr>
                <w:noProof/>
                <w:webHidden/>
              </w:rPr>
            </w:r>
            <w:r w:rsidR="00BC5AB0">
              <w:rPr>
                <w:noProof/>
                <w:webHidden/>
              </w:rPr>
              <w:fldChar w:fldCharType="separate"/>
            </w:r>
            <w:r w:rsidR="00BC5AB0">
              <w:rPr>
                <w:noProof/>
                <w:webHidden/>
              </w:rPr>
              <w:t>58</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72" w:history="1">
            <w:r w:rsidR="00BC5AB0" w:rsidRPr="00831747">
              <w:rPr>
                <w:rStyle w:val="Hipervnculo"/>
                <w:rFonts w:ascii="Arial" w:hAnsi="Arial" w:cs="Arial"/>
                <w:b/>
                <w:noProof/>
              </w:rPr>
              <w:t>Leishmaniasis</w:t>
            </w:r>
            <w:r w:rsidR="00BC5AB0">
              <w:rPr>
                <w:noProof/>
                <w:webHidden/>
              </w:rPr>
              <w:tab/>
            </w:r>
            <w:r w:rsidR="00BC5AB0">
              <w:rPr>
                <w:noProof/>
                <w:webHidden/>
              </w:rPr>
              <w:fldChar w:fldCharType="begin"/>
            </w:r>
            <w:r w:rsidR="00BC5AB0">
              <w:rPr>
                <w:noProof/>
                <w:webHidden/>
              </w:rPr>
              <w:instrText xml:space="preserve"> PAGEREF _Toc7439672 \h </w:instrText>
            </w:r>
            <w:r w:rsidR="00BC5AB0">
              <w:rPr>
                <w:noProof/>
                <w:webHidden/>
              </w:rPr>
            </w:r>
            <w:r w:rsidR="00BC5AB0">
              <w:rPr>
                <w:noProof/>
                <w:webHidden/>
              </w:rPr>
              <w:fldChar w:fldCharType="separate"/>
            </w:r>
            <w:r w:rsidR="00BC5AB0">
              <w:rPr>
                <w:noProof/>
                <w:webHidden/>
              </w:rPr>
              <w:t>60</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73" w:history="1">
            <w:r w:rsidR="00BC5AB0" w:rsidRPr="00831747">
              <w:rPr>
                <w:rStyle w:val="Hipervnculo"/>
                <w:rFonts w:ascii="Arial" w:hAnsi="Arial" w:cs="Arial"/>
                <w:b/>
                <w:noProof/>
              </w:rPr>
              <w:t>Leptospirosis</w:t>
            </w:r>
            <w:r w:rsidR="00BC5AB0">
              <w:rPr>
                <w:noProof/>
                <w:webHidden/>
              </w:rPr>
              <w:tab/>
            </w:r>
            <w:r w:rsidR="00BC5AB0">
              <w:rPr>
                <w:noProof/>
                <w:webHidden/>
              </w:rPr>
              <w:fldChar w:fldCharType="begin"/>
            </w:r>
            <w:r w:rsidR="00BC5AB0">
              <w:rPr>
                <w:noProof/>
                <w:webHidden/>
              </w:rPr>
              <w:instrText xml:space="preserve"> PAGEREF _Toc7439673 \h </w:instrText>
            </w:r>
            <w:r w:rsidR="00BC5AB0">
              <w:rPr>
                <w:noProof/>
                <w:webHidden/>
              </w:rPr>
            </w:r>
            <w:r w:rsidR="00BC5AB0">
              <w:rPr>
                <w:noProof/>
                <w:webHidden/>
              </w:rPr>
              <w:fldChar w:fldCharType="separate"/>
            </w:r>
            <w:r w:rsidR="00BC5AB0">
              <w:rPr>
                <w:noProof/>
                <w:webHidden/>
              </w:rPr>
              <w:t>61</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74" w:history="1">
            <w:r w:rsidR="00BC5AB0" w:rsidRPr="00831747">
              <w:rPr>
                <w:rStyle w:val="Hipervnculo"/>
                <w:rFonts w:ascii="Arial" w:hAnsi="Arial" w:cs="Arial"/>
                <w:b/>
                <w:noProof/>
              </w:rPr>
              <w:t>Enfermedades Inmunoprevenibles</w:t>
            </w:r>
            <w:r w:rsidR="00BC5AB0">
              <w:rPr>
                <w:noProof/>
                <w:webHidden/>
              </w:rPr>
              <w:tab/>
            </w:r>
            <w:r w:rsidR="00BC5AB0">
              <w:rPr>
                <w:noProof/>
                <w:webHidden/>
              </w:rPr>
              <w:fldChar w:fldCharType="begin"/>
            </w:r>
            <w:r w:rsidR="00BC5AB0">
              <w:rPr>
                <w:noProof/>
                <w:webHidden/>
              </w:rPr>
              <w:instrText xml:space="preserve"> PAGEREF _Toc7439674 \h </w:instrText>
            </w:r>
            <w:r w:rsidR="00BC5AB0">
              <w:rPr>
                <w:noProof/>
                <w:webHidden/>
              </w:rPr>
            </w:r>
            <w:r w:rsidR="00BC5AB0">
              <w:rPr>
                <w:noProof/>
                <w:webHidden/>
              </w:rPr>
              <w:fldChar w:fldCharType="separate"/>
            </w:r>
            <w:r w:rsidR="00BC5AB0">
              <w:rPr>
                <w:noProof/>
                <w:webHidden/>
              </w:rPr>
              <w:t>65</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75" w:history="1">
            <w:r w:rsidR="00BC5AB0" w:rsidRPr="00831747">
              <w:rPr>
                <w:rStyle w:val="Hipervnculo"/>
                <w:rFonts w:ascii="Arial" w:hAnsi="Arial" w:cs="Arial"/>
                <w:b/>
                <w:noProof/>
              </w:rPr>
              <w:t>Sarampión y rubéola</w:t>
            </w:r>
            <w:r w:rsidR="00BC5AB0">
              <w:rPr>
                <w:noProof/>
                <w:webHidden/>
              </w:rPr>
              <w:tab/>
            </w:r>
            <w:r w:rsidR="00BC5AB0">
              <w:rPr>
                <w:noProof/>
                <w:webHidden/>
              </w:rPr>
              <w:fldChar w:fldCharType="begin"/>
            </w:r>
            <w:r w:rsidR="00BC5AB0">
              <w:rPr>
                <w:noProof/>
                <w:webHidden/>
              </w:rPr>
              <w:instrText xml:space="preserve"> PAGEREF _Toc7439675 \h </w:instrText>
            </w:r>
            <w:r w:rsidR="00BC5AB0">
              <w:rPr>
                <w:noProof/>
                <w:webHidden/>
              </w:rPr>
            </w:r>
            <w:r w:rsidR="00BC5AB0">
              <w:rPr>
                <w:noProof/>
                <w:webHidden/>
              </w:rPr>
              <w:fldChar w:fldCharType="separate"/>
            </w:r>
            <w:r w:rsidR="00BC5AB0">
              <w:rPr>
                <w:noProof/>
                <w:webHidden/>
              </w:rPr>
              <w:t>65</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76" w:history="1">
            <w:r w:rsidR="00BC5AB0" w:rsidRPr="00831747">
              <w:rPr>
                <w:rStyle w:val="Hipervnculo"/>
                <w:rFonts w:ascii="Arial" w:hAnsi="Arial" w:cs="Arial"/>
                <w:b/>
                <w:noProof/>
              </w:rPr>
              <w:t>Tosferina</w:t>
            </w:r>
            <w:r w:rsidR="00BC5AB0">
              <w:rPr>
                <w:noProof/>
                <w:webHidden/>
              </w:rPr>
              <w:tab/>
            </w:r>
            <w:r w:rsidR="00BC5AB0">
              <w:rPr>
                <w:noProof/>
                <w:webHidden/>
              </w:rPr>
              <w:fldChar w:fldCharType="begin"/>
            </w:r>
            <w:r w:rsidR="00BC5AB0">
              <w:rPr>
                <w:noProof/>
                <w:webHidden/>
              </w:rPr>
              <w:instrText xml:space="preserve"> PAGEREF _Toc7439676 \h </w:instrText>
            </w:r>
            <w:r w:rsidR="00BC5AB0">
              <w:rPr>
                <w:noProof/>
                <w:webHidden/>
              </w:rPr>
            </w:r>
            <w:r w:rsidR="00BC5AB0">
              <w:rPr>
                <w:noProof/>
                <w:webHidden/>
              </w:rPr>
              <w:fldChar w:fldCharType="separate"/>
            </w:r>
            <w:r w:rsidR="00BC5AB0">
              <w:rPr>
                <w:noProof/>
                <w:webHidden/>
              </w:rPr>
              <w:t>67</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77" w:history="1">
            <w:r w:rsidR="00BC5AB0" w:rsidRPr="00831747">
              <w:rPr>
                <w:rStyle w:val="Hipervnculo"/>
                <w:rFonts w:ascii="Arial" w:hAnsi="Arial" w:cs="Arial"/>
                <w:b/>
                <w:noProof/>
              </w:rPr>
              <w:t>Poliomielitis</w:t>
            </w:r>
            <w:r w:rsidR="00BC5AB0">
              <w:rPr>
                <w:noProof/>
                <w:webHidden/>
              </w:rPr>
              <w:tab/>
            </w:r>
            <w:r w:rsidR="00BC5AB0">
              <w:rPr>
                <w:noProof/>
                <w:webHidden/>
              </w:rPr>
              <w:fldChar w:fldCharType="begin"/>
            </w:r>
            <w:r w:rsidR="00BC5AB0">
              <w:rPr>
                <w:noProof/>
                <w:webHidden/>
              </w:rPr>
              <w:instrText xml:space="preserve"> PAGEREF _Toc7439677 \h </w:instrText>
            </w:r>
            <w:r w:rsidR="00BC5AB0">
              <w:rPr>
                <w:noProof/>
                <w:webHidden/>
              </w:rPr>
            </w:r>
            <w:r w:rsidR="00BC5AB0">
              <w:rPr>
                <w:noProof/>
                <w:webHidden/>
              </w:rPr>
              <w:fldChar w:fldCharType="separate"/>
            </w:r>
            <w:r w:rsidR="00BC5AB0">
              <w:rPr>
                <w:noProof/>
                <w:webHidden/>
              </w:rPr>
              <w:t>70</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78" w:history="1">
            <w:r w:rsidR="00BC5AB0" w:rsidRPr="00831747">
              <w:rPr>
                <w:rStyle w:val="Hipervnculo"/>
                <w:rFonts w:ascii="Arial" w:hAnsi="Arial" w:cs="Arial"/>
                <w:b/>
                <w:noProof/>
              </w:rPr>
              <w:t>Varicela</w:t>
            </w:r>
            <w:r w:rsidR="00BC5AB0">
              <w:rPr>
                <w:noProof/>
                <w:webHidden/>
              </w:rPr>
              <w:tab/>
            </w:r>
            <w:r w:rsidR="00BC5AB0">
              <w:rPr>
                <w:noProof/>
                <w:webHidden/>
              </w:rPr>
              <w:fldChar w:fldCharType="begin"/>
            </w:r>
            <w:r w:rsidR="00BC5AB0">
              <w:rPr>
                <w:noProof/>
                <w:webHidden/>
              </w:rPr>
              <w:instrText xml:space="preserve"> PAGEREF _Toc7439678 \h </w:instrText>
            </w:r>
            <w:r w:rsidR="00BC5AB0">
              <w:rPr>
                <w:noProof/>
                <w:webHidden/>
              </w:rPr>
            </w:r>
            <w:r w:rsidR="00BC5AB0">
              <w:rPr>
                <w:noProof/>
                <w:webHidden/>
              </w:rPr>
              <w:fldChar w:fldCharType="separate"/>
            </w:r>
            <w:r w:rsidR="00BC5AB0">
              <w:rPr>
                <w:noProof/>
                <w:webHidden/>
              </w:rPr>
              <w:t>71</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79" w:history="1">
            <w:r w:rsidR="00BC5AB0" w:rsidRPr="00831747">
              <w:rPr>
                <w:rStyle w:val="Hipervnculo"/>
                <w:rFonts w:ascii="Arial" w:hAnsi="Arial" w:cs="Arial"/>
                <w:b/>
                <w:noProof/>
              </w:rPr>
              <w:t>Tuberculosis</w:t>
            </w:r>
            <w:r w:rsidR="00BC5AB0">
              <w:rPr>
                <w:noProof/>
                <w:webHidden/>
              </w:rPr>
              <w:tab/>
            </w:r>
            <w:r w:rsidR="00BC5AB0">
              <w:rPr>
                <w:noProof/>
                <w:webHidden/>
              </w:rPr>
              <w:fldChar w:fldCharType="begin"/>
            </w:r>
            <w:r w:rsidR="00BC5AB0">
              <w:rPr>
                <w:noProof/>
                <w:webHidden/>
              </w:rPr>
              <w:instrText xml:space="preserve"> PAGEREF _Toc7439679 \h </w:instrText>
            </w:r>
            <w:r w:rsidR="00BC5AB0">
              <w:rPr>
                <w:noProof/>
                <w:webHidden/>
              </w:rPr>
            </w:r>
            <w:r w:rsidR="00BC5AB0">
              <w:rPr>
                <w:noProof/>
                <w:webHidden/>
              </w:rPr>
              <w:fldChar w:fldCharType="separate"/>
            </w:r>
            <w:r w:rsidR="00BC5AB0">
              <w:rPr>
                <w:noProof/>
                <w:webHidden/>
              </w:rPr>
              <w:t>74</w:t>
            </w:r>
            <w:r w:rsidR="00BC5AB0">
              <w:rPr>
                <w:noProof/>
                <w:webHidden/>
              </w:rPr>
              <w:fldChar w:fldCharType="end"/>
            </w:r>
          </w:hyperlink>
        </w:p>
        <w:p w:rsidR="00BC5AB0" w:rsidRDefault="00E2493E">
          <w:pPr>
            <w:pStyle w:val="TDC3"/>
            <w:tabs>
              <w:tab w:val="right" w:leader="dot" w:pos="8828"/>
            </w:tabs>
            <w:rPr>
              <w:rFonts w:asciiTheme="minorHAnsi" w:eastAsiaTheme="minorEastAsia" w:hAnsiTheme="minorHAnsi" w:cstheme="minorBidi"/>
              <w:noProof/>
              <w:sz w:val="22"/>
              <w:szCs w:val="22"/>
              <w:lang w:val="es-CR" w:eastAsia="es-CR"/>
            </w:rPr>
          </w:pPr>
          <w:hyperlink w:anchor="_Toc7439680" w:history="1">
            <w:r w:rsidR="00BC5AB0" w:rsidRPr="00831747">
              <w:rPr>
                <w:rStyle w:val="Hipervnculo"/>
                <w:rFonts w:ascii="Arial" w:hAnsi="Arial" w:cs="Arial"/>
                <w:b/>
                <w:noProof/>
              </w:rPr>
              <w:t>Neumonía</w:t>
            </w:r>
            <w:r w:rsidR="00BC5AB0">
              <w:rPr>
                <w:noProof/>
                <w:webHidden/>
              </w:rPr>
              <w:tab/>
            </w:r>
            <w:r w:rsidR="00BC5AB0">
              <w:rPr>
                <w:noProof/>
                <w:webHidden/>
              </w:rPr>
              <w:fldChar w:fldCharType="begin"/>
            </w:r>
            <w:r w:rsidR="00BC5AB0">
              <w:rPr>
                <w:noProof/>
                <w:webHidden/>
              </w:rPr>
              <w:instrText xml:space="preserve"> PAGEREF _Toc7439680 \h </w:instrText>
            </w:r>
            <w:r w:rsidR="00BC5AB0">
              <w:rPr>
                <w:noProof/>
                <w:webHidden/>
              </w:rPr>
            </w:r>
            <w:r w:rsidR="00BC5AB0">
              <w:rPr>
                <w:noProof/>
                <w:webHidden/>
              </w:rPr>
              <w:fldChar w:fldCharType="separate"/>
            </w:r>
            <w:r w:rsidR="00BC5AB0">
              <w:rPr>
                <w:noProof/>
                <w:webHidden/>
              </w:rPr>
              <w:t>78</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81" w:history="1">
            <w:r w:rsidR="00BC5AB0" w:rsidRPr="00831747">
              <w:rPr>
                <w:rStyle w:val="Hipervnculo"/>
                <w:rFonts w:ascii="Arial" w:hAnsi="Arial" w:cs="Arial"/>
                <w:b/>
                <w:noProof/>
              </w:rPr>
              <w:t>Vigilancia de virus respiratorios</w:t>
            </w:r>
            <w:r w:rsidR="00BC5AB0">
              <w:rPr>
                <w:noProof/>
                <w:webHidden/>
              </w:rPr>
              <w:tab/>
            </w:r>
            <w:r w:rsidR="00BC5AB0">
              <w:rPr>
                <w:noProof/>
                <w:webHidden/>
              </w:rPr>
              <w:fldChar w:fldCharType="begin"/>
            </w:r>
            <w:r w:rsidR="00BC5AB0">
              <w:rPr>
                <w:noProof/>
                <w:webHidden/>
              </w:rPr>
              <w:instrText xml:space="preserve"> PAGEREF _Toc7439681 \h </w:instrText>
            </w:r>
            <w:r w:rsidR="00BC5AB0">
              <w:rPr>
                <w:noProof/>
                <w:webHidden/>
              </w:rPr>
            </w:r>
            <w:r w:rsidR="00BC5AB0">
              <w:rPr>
                <w:noProof/>
                <w:webHidden/>
              </w:rPr>
              <w:fldChar w:fldCharType="separate"/>
            </w:r>
            <w:r w:rsidR="00BC5AB0">
              <w:rPr>
                <w:noProof/>
                <w:webHidden/>
              </w:rPr>
              <w:t>80</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82" w:history="1">
            <w:r w:rsidR="00BC5AB0" w:rsidRPr="00831747">
              <w:rPr>
                <w:rStyle w:val="Hipervnculo"/>
                <w:rFonts w:ascii="Arial" w:hAnsi="Arial" w:cs="Arial"/>
                <w:b/>
                <w:noProof/>
              </w:rPr>
              <w:t>Inmunizaciones</w:t>
            </w:r>
            <w:r w:rsidR="00BC5AB0">
              <w:rPr>
                <w:noProof/>
                <w:webHidden/>
              </w:rPr>
              <w:tab/>
            </w:r>
            <w:r w:rsidR="00BC5AB0">
              <w:rPr>
                <w:noProof/>
                <w:webHidden/>
              </w:rPr>
              <w:fldChar w:fldCharType="begin"/>
            </w:r>
            <w:r w:rsidR="00BC5AB0">
              <w:rPr>
                <w:noProof/>
                <w:webHidden/>
              </w:rPr>
              <w:instrText xml:space="preserve"> PAGEREF _Toc7439682 \h </w:instrText>
            </w:r>
            <w:r w:rsidR="00BC5AB0">
              <w:rPr>
                <w:noProof/>
                <w:webHidden/>
              </w:rPr>
            </w:r>
            <w:r w:rsidR="00BC5AB0">
              <w:rPr>
                <w:noProof/>
                <w:webHidden/>
              </w:rPr>
              <w:fldChar w:fldCharType="separate"/>
            </w:r>
            <w:r w:rsidR="00BC5AB0">
              <w:rPr>
                <w:noProof/>
                <w:webHidden/>
              </w:rPr>
              <w:t>84</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83" w:history="1">
            <w:r w:rsidR="00BC5AB0" w:rsidRPr="00831747">
              <w:rPr>
                <w:rStyle w:val="Hipervnculo"/>
                <w:rFonts w:ascii="Arial" w:hAnsi="Arial" w:cs="Arial"/>
                <w:b/>
                <w:noProof/>
              </w:rPr>
              <w:t>VIH-sida</w:t>
            </w:r>
            <w:r w:rsidR="00BC5AB0">
              <w:rPr>
                <w:noProof/>
                <w:webHidden/>
              </w:rPr>
              <w:tab/>
            </w:r>
            <w:r w:rsidR="00BC5AB0">
              <w:rPr>
                <w:noProof/>
                <w:webHidden/>
              </w:rPr>
              <w:fldChar w:fldCharType="begin"/>
            </w:r>
            <w:r w:rsidR="00BC5AB0">
              <w:rPr>
                <w:noProof/>
                <w:webHidden/>
              </w:rPr>
              <w:instrText xml:space="preserve"> PAGEREF _Toc7439683 \h </w:instrText>
            </w:r>
            <w:r w:rsidR="00BC5AB0">
              <w:rPr>
                <w:noProof/>
                <w:webHidden/>
              </w:rPr>
            </w:r>
            <w:r w:rsidR="00BC5AB0">
              <w:rPr>
                <w:noProof/>
                <w:webHidden/>
              </w:rPr>
              <w:fldChar w:fldCharType="separate"/>
            </w:r>
            <w:r w:rsidR="00BC5AB0">
              <w:rPr>
                <w:noProof/>
                <w:webHidden/>
              </w:rPr>
              <w:t>86</w:t>
            </w:r>
            <w:r w:rsidR="00BC5AB0">
              <w:rPr>
                <w:noProof/>
                <w:webHidden/>
              </w:rPr>
              <w:fldChar w:fldCharType="end"/>
            </w:r>
          </w:hyperlink>
        </w:p>
        <w:p w:rsidR="00BC5AB0" w:rsidRDefault="00E2493E">
          <w:pPr>
            <w:pStyle w:val="TDC2"/>
            <w:tabs>
              <w:tab w:val="right" w:leader="dot" w:pos="8828"/>
            </w:tabs>
            <w:rPr>
              <w:rFonts w:asciiTheme="minorHAnsi" w:eastAsiaTheme="minorEastAsia" w:hAnsiTheme="minorHAnsi" w:cstheme="minorBidi"/>
              <w:noProof/>
              <w:sz w:val="22"/>
              <w:szCs w:val="22"/>
              <w:lang w:val="es-CR" w:eastAsia="es-CR"/>
            </w:rPr>
          </w:pPr>
          <w:hyperlink w:anchor="_Toc7439684" w:history="1">
            <w:r w:rsidR="00BC5AB0" w:rsidRPr="00831747">
              <w:rPr>
                <w:rStyle w:val="Hipervnculo"/>
                <w:rFonts w:ascii="Arial" w:hAnsi="Arial" w:cs="Arial"/>
                <w:b/>
                <w:noProof/>
              </w:rPr>
              <w:t>Enfermedad diarreica aguda (EDA)</w:t>
            </w:r>
            <w:r w:rsidR="00BC5AB0">
              <w:rPr>
                <w:noProof/>
                <w:webHidden/>
              </w:rPr>
              <w:tab/>
            </w:r>
            <w:r w:rsidR="00BC5AB0">
              <w:rPr>
                <w:noProof/>
                <w:webHidden/>
              </w:rPr>
              <w:fldChar w:fldCharType="begin"/>
            </w:r>
            <w:r w:rsidR="00BC5AB0">
              <w:rPr>
                <w:noProof/>
                <w:webHidden/>
              </w:rPr>
              <w:instrText xml:space="preserve"> PAGEREF _Toc7439684 \h </w:instrText>
            </w:r>
            <w:r w:rsidR="00BC5AB0">
              <w:rPr>
                <w:noProof/>
                <w:webHidden/>
              </w:rPr>
            </w:r>
            <w:r w:rsidR="00BC5AB0">
              <w:rPr>
                <w:noProof/>
                <w:webHidden/>
              </w:rPr>
              <w:fldChar w:fldCharType="separate"/>
            </w:r>
            <w:r w:rsidR="00BC5AB0">
              <w:rPr>
                <w:noProof/>
                <w:webHidden/>
              </w:rPr>
              <w:t>88</w:t>
            </w:r>
            <w:r w:rsidR="00BC5AB0">
              <w:rPr>
                <w:noProof/>
                <w:webHidden/>
              </w:rPr>
              <w:fldChar w:fldCharType="end"/>
            </w:r>
          </w:hyperlink>
        </w:p>
        <w:p w:rsidR="002818D5" w:rsidRDefault="002818D5">
          <w:r>
            <w:rPr>
              <w:b/>
              <w:bCs/>
              <w:lang w:val="es-ES"/>
            </w:rPr>
            <w:fldChar w:fldCharType="end"/>
          </w:r>
        </w:p>
      </w:sdtContent>
    </w:sdt>
    <w:p w:rsidR="005F52B2" w:rsidRDefault="005F52B2">
      <w:pPr>
        <w:spacing w:after="160" w:line="259" w:lineRule="auto"/>
        <w:rPr>
          <w:rFonts w:ascii="Arial" w:hAnsi="Arial" w:cs="Arial"/>
        </w:rPr>
      </w:pPr>
    </w:p>
    <w:p w:rsidR="005F52B2" w:rsidRDefault="005F52B2">
      <w:pPr>
        <w:spacing w:after="160" w:line="259" w:lineRule="auto"/>
        <w:rPr>
          <w:rFonts w:ascii="Arial" w:hAnsi="Arial" w:cs="Arial"/>
        </w:rPr>
      </w:pPr>
    </w:p>
    <w:p w:rsidR="005F52B2" w:rsidRDefault="005F52B2">
      <w:pPr>
        <w:spacing w:after="160" w:line="259" w:lineRule="auto"/>
        <w:rPr>
          <w:rFonts w:ascii="Arial" w:hAnsi="Arial" w:cs="Arial"/>
        </w:rPr>
      </w:pPr>
    </w:p>
    <w:p w:rsidR="005F52B2" w:rsidRDefault="00AF4746">
      <w:pPr>
        <w:spacing w:after="160" w:line="259" w:lineRule="auto"/>
        <w:rPr>
          <w:rFonts w:ascii="Arial" w:eastAsia="Times New Roman" w:hAnsi="Arial" w:cs="Arial"/>
          <w:b/>
          <w:bCs/>
          <w:kern w:val="32"/>
          <w:lang w:val="es-CR"/>
        </w:rPr>
      </w:pPr>
      <w:r>
        <w:rPr>
          <w:rFonts w:ascii="Arial" w:eastAsia="Times New Roman" w:hAnsi="Arial" w:cs="Arial"/>
          <w:b/>
          <w:bCs/>
          <w:kern w:val="32"/>
          <w:lang w:val="es-CR"/>
        </w:rPr>
        <w:br w:type="page"/>
      </w:r>
    </w:p>
    <w:p w:rsidR="00E63B5B" w:rsidRPr="002511BF" w:rsidRDefault="002511BF" w:rsidP="002511BF">
      <w:pPr>
        <w:pStyle w:val="Ttulo1"/>
        <w:rPr>
          <w:rFonts w:ascii="Arial" w:hAnsi="Arial" w:cs="Arial"/>
        </w:rPr>
      </w:pPr>
      <w:bookmarkStart w:id="1" w:name="_Toc7439646"/>
      <w:r w:rsidRPr="002511BF">
        <w:rPr>
          <w:rFonts w:ascii="Arial" w:hAnsi="Arial" w:cs="Arial"/>
        </w:rPr>
        <w:lastRenderedPageBreak/>
        <w:t>Indicadores demográficos</w:t>
      </w:r>
      <w:bookmarkEnd w:id="1"/>
      <w:r w:rsidRPr="002511BF">
        <w:rPr>
          <w:rFonts w:ascii="Arial" w:hAnsi="Arial" w:cs="Arial"/>
        </w:rPr>
        <w:t xml:space="preserve"> </w:t>
      </w:r>
    </w:p>
    <w:p w:rsidR="00E63B5B" w:rsidRPr="003B5ACE" w:rsidRDefault="00E63B5B" w:rsidP="0066355C">
      <w:pPr>
        <w:spacing w:after="160" w:line="276" w:lineRule="auto"/>
        <w:rPr>
          <w:rFonts w:ascii="Arial" w:hAnsi="Arial" w:cs="Arial"/>
          <w:b/>
          <w:lang w:val="es-CR"/>
        </w:rPr>
      </w:pPr>
    </w:p>
    <w:p w:rsidR="001C6615" w:rsidRPr="003A05DB" w:rsidRDefault="00176962" w:rsidP="00176962">
      <w:pPr>
        <w:pStyle w:val="Ttulo2"/>
        <w:spacing w:after="240" w:line="276" w:lineRule="auto"/>
        <w:rPr>
          <w:rFonts w:ascii="Arial" w:hAnsi="Arial" w:cs="Arial"/>
          <w:color w:val="auto"/>
          <w:lang w:val="es-ES"/>
        </w:rPr>
      </w:pPr>
      <w:bookmarkStart w:id="2" w:name="_Toc506187944"/>
      <w:bookmarkStart w:id="3" w:name="_Toc7439647"/>
      <w:r w:rsidRPr="003A05DB">
        <w:rPr>
          <w:rFonts w:ascii="Arial" w:hAnsi="Arial" w:cs="Arial"/>
          <w:b/>
          <w:color w:val="auto"/>
          <w:sz w:val="24"/>
          <w:szCs w:val="24"/>
          <w:lang w:val="es-ES"/>
        </w:rPr>
        <w:t>Estructura de Población</w:t>
      </w:r>
      <w:bookmarkEnd w:id="2"/>
      <w:bookmarkEnd w:id="3"/>
    </w:p>
    <w:p w:rsidR="004774AE" w:rsidRDefault="001C6615" w:rsidP="004774AE">
      <w:pPr>
        <w:spacing w:after="240" w:line="276" w:lineRule="auto"/>
        <w:jc w:val="both"/>
        <w:rPr>
          <w:rFonts w:ascii="Arial" w:hAnsi="Arial" w:cs="Arial"/>
          <w:color w:val="000000"/>
          <w:lang w:val="es-CR"/>
        </w:rPr>
      </w:pPr>
      <w:r w:rsidRPr="003B5ACE">
        <w:rPr>
          <w:rFonts w:ascii="Arial" w:hAnsi="Arial" w:cs="Arial"/>
          <w:color w:val="000000"/>
          <w:lang w:val="es-CR"/>
        </w:rPr>
        <w:t>Entre los años 2014 y 2018, la población de Costa Rica aument</w:t>
      </w:r>
      <w:r w:rsidR="00176962">
        <w:rPr>
          <w:rFonts w:ascii="Arial" w:hAnsi="Arial" w:cs="Arial"/>
          <w:color w:val="000000"/>
          <w:lang w:val="es-CR"/>
        </w:rPr>
        <w:t>ó</w:t>
      </w:r>
      <w:r w:rsidRPr="003B5ACE">
        <w:rPr>
          <w:rFonts w:ascii="Arial" w:hAnsi="Arial" w:cs="Arial"/>
          <w:color w:val="000000"/>
          <w:lang w:val="es-CR"/>
        </w:rPr>
        <w:t xml:space="preserve"> en </w:t>
      </w:r>
      <w:r w:rsidR="004774AE">
        <w:rPr>
          <w:rFonts w:ascii="Arial" w:hAnsi="Arial" w:cs="Arial"/>
          <w:color w:val="000000"/>
          <w:lang w:val="es-CR"/>
        </w:rPr>
        <w:t>aproximadamente</w:t>
      </w:r>
      <w:r w:rsidRPr="003B5ACE">
        <w:rPr>
          <w:rFonts w:ascii="Arial" w:hAnsi="Arial" w:cs="Arial"/>
          <w:color w:val="000000"/>
          <w:lang w:val="es-CR"/>
        </w:rPr>
        <w:t xml:space="preserve"> doscientas treinta mil personas, no obstante, ese aumento de población ha sido a un ritmo cada vez más lento</w:t>
      </w:r>
      <w:r w:rsidR="004774AE">
        <w:rPr>
          <w:rFonts w:ascii="Arial" w:hAnsi="Arial" w:cs="Arial"/>
          <w:color w:val="000000"/>
          <w:lang w:val="es-CR"/>
        </w:rPr>
        <w:t xml:space="preserve">, </w:t>
      </w:r>
      <w:r w:rsidR="004774AE" w:rsidRPr="003B5ACE">
        <w:rPr>
          <w:rFonts w:ascii="Arial" w:hAnsi="Arial" w:cs="Arial"/>
          <w:color w:val="000000"/>
          <w:lang w:val="es-CR"/>
        </w:rPr>
        <w:t xml:space="preserve">acercándose, a una persona por </w:t>
      </w:r>
      <w:r w:rsidR="004774AE" w:rsidRPr="00A51E40">
        <w:rPr>
          <w:rFonts w:ascii="Arial" w:hAnsi="Arial" w:cs="Arial"/>
          <w:color w:val="000000"/>
          <w:lang w:val="es-CR"/>
        </w:rPr>
        <w:t>cien habitantes.</w:t>
      </w:r>
    </w:p>
    <w:p w:rsidR="001C6615" w:rsidRPr="003B5ACE" w:rsidRDefault="001C6615" w:rsidP="0066355C">
      <w:pPr>
        <w:spacing w:line="276" w:lineRule="auto"/>
        <w:jc w:val="both"/>
        <w:rPr>
          <w:rFonts w:ascii="Arial" w:hAnsi="Arial" w:cs="Arial"/>
          <w:color w:val="000000"/>
          <w:lang w:val="es-CR"/>
        </w:rPr>
      </w:pPr>
      <w:r w:rsidRPr="003B5ACE">
        <w:rPr>
          <w:rFonts w:ascii="Arial" w:hAnsi="Arial" w:cs="Arial"/>
          <w:color w:val="000000"/>
          <w:lang w:val="es-CR"/>
        </w:rPr>
        <w:t xml:space="preserve">Al analizar la tendencia de la tasa de los últimos veinte años, </w:t>
      </w:r>
      <w:r w:rsidR="004774AE">
        <w:rPr>
          <w:rFonts w:ascii="Arial" w:hAnsi="Arial" w:cs="Arial"/>
          <w:color w:val="000000"/>
          <w:lang w:val="es-CR"/>
        </w:rPr>
        <w:t xml:space="preserve">se observa </w:t>
      </w:r>
      <w:r w:rsidRPr="003B5ACE">
        <w:rPr>
          <w:rFonts w:ascii="Arial" w:hAnsi="Arial" w:cs="Arial"/>
          <w:color w:val="000000"/>
          <w:lang w:val="es-CR"/>
        </w:rPr>
        <w:t xml:space="preserve">como año con año, hay una desaceleración </w:t>
      </w:r>
      <w:r w:rsidR="004774AE">
        <w:rPr>
          <w:rFonts w:ascii="Arial" w:hAnsi="Arial" w:cs="Arial"/>
          <w:color w:val="000000"/>
          <w:lang w:val="es-CR"/>
        </w:rPr>
        <w:t>d</w:t>
      </w:r>
      <w:r w:rsidRPr="003B5ACE">
        <w:rPr>
          <w:rFonts w:ascii="Arial" w:hAnsi="Arial" w:cs="Arial"/>
          <w:color w:val="000000"/>
          <w:lang w:val="es-CR"/>
        </w:rPr>
        <w:t>el crecimiento, lo cual es el resultado de los cambios en los componentes de la dinámica poblacional, la fecundidad y la mortalidad.</w:t>
      </w:r>
    </w:p>
    <w:p w:rsidR="001C6615" w:rsidRPr="001C6615" w:rsidRDefault="001C6615" w:rsidP="0066355C">
      <w:pPr>
        <w:spacing w:line="276" w:lineRule="auto"/>
        <w:jc w:val="both"/>
        <w:rPr>
          <w:rFonts w:ascii="Arial" w:hAnsi="Arial" w:cs="Arial"/>
          <w:lang w:val="es-CR"/>
        </w:rPr>
      </w:pPr>
    </w:p>
    <w:p w:rsidR="001C6615" w:rsidRPr="00DF79F2" w:rsidRDefault="00DF79F2" w:rsidP="001C6615">
      <w:pPr>
        <w:spacing w:line="276" w:lineRule="auto"/>
        <w:jc w:val="center"/>
        <w:rPr>
          <w:rFonts w:ascii="Arial" w:hAnsi="Arial" w:cs="Arial"/>
          <w:b/>
          <w:lang w:val="es-CR"/>
        </w:rPr>
      </w:pPr>
      <w:r w:rsidRPr="00DF79F2">
        <w:rPr>
          <w:rFonts w:ascii="Arial" w:hAnsi="Arial" w:cs="Arial"/>
          <w:b/>
          <w:lang w:val="es-CR"/>
        </w:rPr>
        <w:t>Cuadro</w:t>
      </w:r>
      <w:r w:rsidR="001C6615" w:rsidRPr="00DF79F2">
        <w:rPr>
          <w:rFonts w:ascii="Arial" w:hAnsi="Arial" w:cs="Arial"/>
          <w:b/>
          <w:lang w:val="es-CR"/>
        </w:rPr>
        <w:t xml:space="preserve"> 1</w:t>
      </w:r>
    </w:p>
    <w:p w:rsidR="001C6615" w:rsidRPr="00A37C77" w:rsidRDefault="001C6615" w:rsidP="001C6615">
      <w:pPr>
        <w:spacing w:line="276" w:lineRule="auto"/>
        <w:jc w:val="center"/>
        <w:rPr>
          <w:rFonts w:ascii="Arial" w:hAnsi="Arial" w:cs="Arial"/>
          <w:b/>
          <w:lang w:val="es-CR"/>
        </w:rPr>
      </w:pPr>
      <w:r w:rsidRPr="00A37C77">
        <w:rPr>
          <w:rFonts w:ascii="Arial" w:hAnsi="Arial" w:cs="Arial"/>
          <w:b/>
          <w:lang w:val="es-CR"/>
        </w:rPr>
        <w:t>Costa Rica: Población total por sexo y tasa de crecimiento, 2014-2018</w:t>
      </w:r>
    </w:p>
    <w:p w:rsidR="001C6615" w:rsidRPr="00A37C77" w:rsidRDefault="001C6615" w:rsidP="001C6615">
      <w:pPr>
        <w:spacing w:line="276" w:lineRule="auto"/>
        <w:jc w:val="center"/>
        <w:rPr>
          <w:rFonts w:ascii="Arial" w:hAnsi="Arial" w:cs="Arial"/>
          <w:lang w:val="es-CR"/>
        </w:rPr>
      </w:pPr>
      <w:r w:rsidRPr="00A37C77">
        <w:rPr>
          <w:rFonts w:ascii="Arial" w:hAnsi="Arial" w:cs="Arial"/>
          <w:sz w:val="20"/>
          <w:lang w:val="es-CR"/>
        </w:rPr>
        <w:t>(</w:t>
      </w:r>
      <w:r w:rsidR="002511BF">
        <w:rPr>
          <w:rFonts w:ascii="Arial" w:hAnsi="Arial" w:cs="Arial"/>
          <w:sz w:val="20"/>
          <w:lang w:val="es-CR"/>
        </w:rPr>
        <w:t>t</w:t>
      </w:r>
      <w:r w:rsidRPr="00A37C77">
        <w:rPr>
          <w:rFonts w:ascii="Arial" w:hAnsi="Arial" w:cs="Arial"/>
          <w:sz w:val="20"/>
          <w:lang w:val="es-CR"/>
        </w:rPr>
        <w:t>asa por 1.000 habitantes)</w:t>
      </w:r>
    </w:p>
    <w:tbl>
      <w:tblPr>
        <w:tblW w:w="7836" w:type="dxa"/>
        <w:jc w:val="center"/>
        <w:tblCellMar>
          <w:left w:w="70" w:type="dxa"/>
          <w:right w:w="70" w:type="dxa"/>
        </w:tblCellMar>
        <w:tblLook w:val="04A0" w:firstRow="1" w:lastRow="0" w:firstColumn="1" w:lastColumn="0" w:noHBand="0" w:noVBand="1"/>
      </w:tblPr>
      <w:tblGrid>
        <w:gridCol w:w="1567"/>
        <w:gridCol w:w="1567"/>
        <w:gridCol w:w="1567"/>
        <w:gridCol w:w="1568"/>
        <w:gridCol w:w="1567"/>
      </w:tblGrid>
      <w:tr w:rsidR="001C6615" w:rsidRPr="00D0403C" w:rsidTr="00EF3FBA">
        <w:trPr>
          <w:trHeight w:val="210"/>
          <w:jc w:val="center"/>
        </w:trPr>
        <w:tc>
          <w:tcPr>
            <w:tcW w:w="1567"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p w:rsidR="001C6615" w:rsidRPr="00D0403C" w:rsidRDefault="001C6615" w:rsidP="00D0403C">
            <w:pPr>
              <w:jc w:val="center"/>
              <w:rPr>
                <w:rFonts w:ascii="Arial" w:hAnsi="Arial" w:cs="Arial"/>
                <w:b/>
                <w:color w:val="000000"/>
                <w:sz w:val="22"/>
                <w:lang w:val="es-ES" w:eastAsia="es-ES"/>
              </w:rPr>
            </w:pPr>
            <w:r w:rsidRPr="00D0403C">
              <w:rPr>
                <w:rFonts w:ascii="Arial" w:hAnsi="Arial" w:cs="Arial"/>
                <w:b/>
                <w:color w:val="000000"/>
                <w:sz w:val="22"/>
                <w:lang w:val="es-ES" w:eastAsia="es-ES"/>
              </w:rPr>
              <w:t>Año</w:t>
            </w:r>
          </w:p>
        </w:tc>
        <w:tc>
          <w:tcPr>
            <w:tcW w:w="4702" w:type="dxa"/>
            <w:gridSpan w:val="3"/>
            <w:tcBorders>
              <w:top w:val="single" w:sz="4" w:space="0" w:color="auto"/>
              <w:left w:val="nil"/>
              <w:bottom w:val="single" w:sz="4" w:space="0" w:color="auto"/>
              <w:right w:val="nil"/>
            </w:tcBorders>
            <w:shd w:val="clear" w:color="auto" w:fill="D5DCE4" w:themeFill="text2" w:themeFillTint="33"/>
            <w:noWrap/>
            <w:vAlign w:val="bottom"/>
            <w:hideMark/>
          </w:tcPr>
          <w:p w:rsidR="001C6615" w:rsidRPr="00D0403C" w:rsidRDefault="001C6615" w:rsidP="00D0403C">
            <w:pPr>
              <w:jc w:val="center"/>
              <w:rPr>
                <w:rFonts w:ascii="Arial" w:hAnsi="Arial" w:cs="Arial"/>
                <w:b/>
                <w:color w:val="000000"/>
                <w:sz w:val="22"/>
                <w:lang w:val="es-ES" w:eastAsia="es-ES"/>
              </w:rPr>
            </w:pPr>
            <w:r w:rsidRPr="00D0403C">
              <w:rPr>
                <w:rFonts w:ascii="Arial" w:hAnsi="Arial" w:cs="Arial"/>
                <w:b/>
                <w:color w:val="000000"/>
                <w:sz w:val="22"/>
                <w:lang w:val="es-ES" w:eastAsia="es-ES"/>
              </w:rPr>
              <w:t>Población</w:t>
            </w:r>
          </w:p>
        </w:tc>
        <w:tc>
          <w:tcPr>
            <w:tcW w:w="1567" w:type="dxa"/>
            <w:vMerge w:val="restart"/>
            <w:tcBorders>
              <w:top w:val="single" w:sz="4" w:space="0" w:color="auto"/>
              <w:left w:val="nil"/>
              <w:bottom w:val="single" w:sz="4" w:space="0" w:color="000000"/>
              <w:right w:val="nil"/>
            </w:tcBorders>
            <w:shd w:val="clear" w:color="auto" w:fill="D5DCE4" w:themeFill="text2" w:themeFillTint="33"/>
            <w:vAlign w:val="center"/>
            <w:hideMark/>
          </w:tcPr>
          <w:p w:rsidR="001C6615" w:rsidRPr="00D0403C" w:rsidRDefault="001C6615" w:rsidP="00D0403C">
            <w:pPr>
              <w:jc w:val="center"/>
              <w:rPr>
                <w:rFonts w:ascii="Arial" w:hAnsi="Arial" w:cs="Arial"/>
                <w:b/>
                <w:color w:val="000000"/>
                <w:sz w:val="22"/>
                <w:lang w:val="es-ES" w:eastAsia="es-ES"/>
              </w:rPr>
            </w:pPr>
            <w:r w:rsidRPr="00D0403C">
              <w:rPr>
                <w:rFonts w:ascii="Arial" w:hAnsi="Arial" w:cs="Arial"/>
                <w:b/>
                <w:color w:val="000000"/>
                <w:sz w:val="22"/>
                <w:lang w:val="es-ES" w:eastAsia="es-ES"/>
              </w:rPr>
              <w:t>Tasa de crecimiento</w:t>
            </w:r>
          </w:p>
        </w:tc>
      </w:tr>
      <w:tr w:rsidR="001C6615" w:rsidRPr="00D0403C" w:rsidTr="00EF3FBA">
        <w:trPr>
          <w:trHeight w:val="385"/>
          <w:jc w:val="center"/>
        </w:trPr>
        <w:tc>
          <w:tcPr>
            <w:tcW w:w="1567" w:type="dxa"/>
            <w:vMerge/>
            <w:tcBorders>
              <w:top w:val="nil"/>
              <w:left w:val="nil"/>
              <w:bottom w:val="single" w:sz="4" w:space="0" w:color="000000"/>
              <w:right w:val="nil"/>
            </w:tcBorders>
            <w:shd w:val="clear" w:color="auto" w:fill="D5DCE4" w:themeFill="text2" w:themeFillTint="33"/>
            <w:vAlign w:val="center"/>
            <w:hideMark/>
          </w:tcPr>
          <w:p w:rsidR="001C6615" w:rsidRPr="00D0403C" w:rsidRDefault="001C6615" w:rsidP="00D0403C">
            <w:pPr>
              <w:rPr>
                <w:rFonts w:ascii="Arial" w:hAnsi="Arial" w:cs="Arial"/>
                <w:color w:val="000000"/>
                <w:sz w:val="22"/>
                <w:lang w:val="es-ES" w:eastAsia="es-ES"/>
              </w:rPr>
            </w:pPr>
          </w:p>
        </w:tc>
        <w:tc>
          <w:tcPr>
            <w:tcW w:w="1567" w:type="dxa"/>
            <w:tcBorders>
              <w:top w:val="nil"/>
              <w:left w:val="nil"/>
              <w:bottom w:val="single" w:sz="4" w:space="0" w:color="auto"/>
              <w:right w:val="nil"/>
            </w:tcBorders>
            <w:shd w:val="clear" w:color="auto" w:fill="D5DCE4" w:themeFill="text2" w:themeFillTint="33"/>
            <w:noWrap/>
            <w:vAlign w:val="bottom"/>
            <w:hideMark/>
          </w:tcPr>
          <w:p w:rsidR="001C6615" w:rsidRPr="00D0403C" w:rsidRDefault="001C6615" w:rsidP="00D0403C">
            <w:pPr>
              <w:jc w:val="center"/>
              <w:rPr>
                <w:rFonts w:ascii="Arial" w:hAnsi="Arial" w:cs="Arial"/>
                <w:b/>
                <w:color w:val="000000"/>
                <w:sz w:val="22"/>
                <w:lang w:val="es-ES" w:eastAsia="es-ES"/>
              </w:rPr>
            </w:pPr>
            <w:r w:rsidRPr="00D0403C">
              <w:rPr>
                <w:rFonts w:ascii="Arial" w:hAnsi="Arial" w:cs="Arial"/>
                <w:b/>
                <w:color w:val="000000"/>
                <w:sz w:val="22"/>
                <w:lang w:val="es-ES" w:eastAsia="es-ES"/>
              </w:rPr>
              <w:t>Total</w:t>
            </w:r>
          </w:p>
        </w:tc>
        <w:tc>
          <w:tcPr>
            <w:tcW w:w="1567" w:type="dxa"/>
            <w:tcBorders>
              <w:top w:val="nil"/>
              <w:left w:val="nil"/>
              <w:bottom w:val="single" w:sz="4" w:space="0" w:color="auto"/>
              <w:right w:val="nil"/>
            </w:tcBorders>
            <w:shd w:val="clear" w:color="auto" w:fill="D5DCE4" w:themeFill="text2" w:themeFillTint="33"/>
            <w:noWrap/>
            <w:vAlign w:val="bottom"/>
            <w:hideMark/>
          </w:tcPr>
          <w:p w:rsidR="001C6615" w:rsidRPr="00D0403C" w:rsidRDefault="001C6615" w:rsidP="00D0403C">
            <w:pPr>
              <w:jc w:val="center"/>
              <w:rPr>
                <w:rFonts w:ascii="Arial" w:hAnsi="Arial" w:cs="Arial"/>
                <w:b/>
                <w:color w:val="000000"/>
                <w:sz w:val="22"/>
                <w:lang w:val="es-ES" w:eastAsia="es-ES"/>
              </w:rPr>
            </w:pPr>
            <w:r w:rsidRPr="00D0403C">
              <w:rPr>
                <w:rFonts w:ascii="Arial" w:hAnsi="Arial" w:cs="Arial"/>
                <w:b/>
                <w:color w:val="000000"/>
                <w:sz w:val="22"/>
                <w:lang w:val="es-ES" w:eastAsia="es-ES"/>
              </w:rPr>
              <w:t>Hombres</w:t>
            </w:r>
          </w:p>
        </w:tc>
        <w:tc>
          <w:tcPr>
            <w:tcW w:w="1567" w:type="dxa"/>
            <w:tcBorders>
              <w:top w:val="nil"/>
              <w:left w:val="nil"/>
              <w:bottom w:val="single" w:sz="4" w:space="0" w:color="auto"/>
              <w:right w:val="nil"/>
            </w:tcBorders>
            <w:shd w:val="clear" w:color="auto" w:fill="D5DCE4" w:themeFill="text2" w:themeFillTint="33"/>
            <w:noWrap/>
            <w:vAlign w:val="bottom"/>
            <w:hideMark/>
          </w:tcPr>
          <w:p w:rsidR="001C6615" w:rsidRPr="00D0403C" w:rsidRDefault="001C6615" w:rsidP="00D0403C">
            <w:pPr>
              <w:jc w:val="center"/>
              <w:rPr>
                <w:rFonts w:ascii="Arial" w:hAnsi="Arial" w:cs="Arial"/>
                <w:b/>
                <w:color w:val="000000"/>
                <w:sz w:val="22"/>
                <w:lang w:val="es-ES" w:eastAsia="es-ES"/>
              </w:rPr>
            </w:pPr>
            <w:r w:rsidRPr="00D0403C">
              <w:rPr>
                <w:rFonts w:ascii="Arial" w:hAnsi="Arial" w:cs="Arial"/>
                <w:b/>
                <w:color w:val="000000"/>
                <w:sz w:val="22"/>
                <w:lang w:val="es-ES" w:eastAsia="es-ES"/>
              </w:rPr>
              <w:t>Mujeres</w:t>
            </w:r>
          </w:p>
        </w:tc>
        <w:tc>
          <w:tcPr>
            <w:tcW w:w="1567" w:type="dxa"/>
            <w:vMerge/>
            <w:tcBorders>
              <w:top w:val="nil"/>
              <w:left w:val="nil"/>
              <w:bottom w:val="single" w:sz="4" w:space="0" w:color="000000"/>
              <w:right w:val="nil"/>
            </w:tcBorders>
            <w:shd w:val="clear" w:color="auto" w:fill="D5DCE4" w:themeFill="text2" w:themeFillTint="33"/>
            <w:vAlign w:val="center"/>
            <w:hideMark/>
          </w:tcPr>
          <w:p w:rsidR="001C6615" w:rsidRPr="00D0403C" w:rsidRDefault="001C6615" w:rsidP="00D0403C">
            <w:pPr>
              <w:rPr>
                <w:rFonts w:ascii="Arial" w:hAnsi="Arial" w:cs="Arial"/>
                <w:color w:val="000000"/>
                <w:sz w:val="22"/>
                <w:lang w:val="es-ES" w:eastAsia="es-ES"/>
              </w:rPr>
            </w:pPr>
          </w:p>
        </w:tc>
      </w:tr>
      <w:tr w:rsidR="001C6615" w:rsidRPr="00D0403C" w:rsidTr="00D0403C">
        <w:trPr>
          <w:trHeight w:val="388"/>
          <w:jc w:val="center"/>
        </w:trPr>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2014</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4 773 119</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2 410 315</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2 362 804</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w:t>
            </w:r>
          </w:p>
        </w:tc>
      </w:tr>
      <w:tr w:rsidR="001C6615" w:rsidRPr="00D0403C" w:rsidTr="00D0403C">
        <w:trPr>
          <w:trHeight w:val="388"/>
          <w:jc w:val="center"/>
        </w:trPr>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2015</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4 832 227</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2 439 324</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2 392 903</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1,24</w:t>
            </w:r>
          </w:p>
        </w:tc>
      </w:tr>
      <w:tr w:rsidR="001C6615" w:rsidRPr="00D0403C" w:rsidTr="00D0403C">
        <w:trPr>
          <w:trHeight w:val="388"/>
          <w:jc w:val="center"/>
        </w:trPr>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2016</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4 890 372</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2 467 825</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2 422 547</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1,20</w:t>
            </w:r>
          </w:p>
        </w:tc>
      </w:tr>
      <w:tr w:rsidR="001C6615" w:rsidRPr="00D0403C" w:rsidTr="00D0403C">
        <w:trPr>
          <w:trHeight w:val="388"/>
          <w:jc w:val="center"/>
        </w:trPr>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2017</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4 947 481</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2 495 764</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2 451 717</w:t>
            </w:r>
          </w:p>
        </w:tc>
        <w:tc>
          <w:tcPr>
            <w:tcW w:w="1567" w:type="dxa"/>
            <w:tcBorders>
              <w:top w:val="nil"/>
              <w:left w:val="nil"/>
              <w:bottom w:val="nil"/>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1,17</w:t>
            </w:r>
          </w:p>
        </w:tc>
      </w:tr>
      <w:tr w:rsidR="001C6615" w:rsidRPr="00D0403C" w:rsidTr="00D0403C">
        <w:trPr>
          <w:trHeight w:val="388"/>
          <w:jc w:val="center"/>
        </w:trPr>
        <w:tc>
          <w:tcPr>
            <w:tcW w:w="1567" w:type="dxa"/>
            <w:tcBorders>
              <w:top w:val="nil"/>
              <w:left w:val="nil"/>
              <w:bottom w:val="single" w:sz="4" w:space="0" w:color="auto"/>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2018</w:t>
            </w:r>
          </w:p>
        </w:tc>
        <w:tc>
          <w:tcPr>
            <w:tcW w:w="1567" w:type="dxa"/>
            <w:tcBorders>
              <w:top w:val="nil"/>
              <w:left w:val="nil"/>
              <w:bottom w:val="single" w:sz="4" w:space="0" w:color="auto"/>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5 003 393</w:t>
            </w:r>
          </w:p>
        </w:tc>
        <w:tc>
          <w:tcPr>
            <w:tcW w:w="1567" w:type="dxa"/>
            <w:tcBorders>
              <w:top w:val="nil"/>
              <w:left w:val="nil"/>
              <w:bottom w:val="single" w:sz="4" w:space="0" w:color="auto"/>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2 523 066</w:t>
            </w:r>
          </w:p>
        </w:tc>
        <w:tc>
          <w:tcPr>
            <w:tcW w:w="1567" w:type="dxa"/>
            <w:tcBorders>
              <w:top w:val="nil"/>
              <w:left w:val="nil"/>
              <w:bottom w:val="single" w:sz="4" w:space="0" w:color="auto"/>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 xml:space="preserve"> 2 480 327</w:t>
            </w:r>
          </w:p>
        </w:tc>
        <w:tc>
          <w:tcPr>
            <w:tcW w:w="1567" w:type="dxa"/>
            <w:tcBorders>
              <w:top w:val="nil"/>
              <w:left w:val="nil"/>
              <w:bottom w:val="single" w:sz="4" w:space="0" w:color="auto"/>
              <w:right w:val="nil"/>
            </w:tcBorders>
            <w:shd w:val="clear" w:color="auto" w:fill="auto"/>
            <w:noWrap/>
            <w:vAlign w:val="bottom"/>
            <w:hideMark/>
          </w:tcPr>
          <w:p w:rsidR="001C6615" w:rsidRPr="00D0403C" w:rsidRDefault="001C6615" w:rsidP="00D0403C">
            <w:pPr>
              <w:jc w:val="center"/>
              <w:rPr>
                <w:rFonts w:ascii="Arial" w:hAnsi="Arial" w:cs="Arial"/>
                <w:color w:val="000000"/>
                <w:sz w:val="22"/>
                <w:lang w:val="es-ES" w:eastAsia="es-ES"/>
              </w:rPr>
            </w:pPr>
            <w:r w:rsidRPr="00D0403C">
              <w:rPr>
                <w:rFonts w:ascii="Arial" w:hAnsi="Arial" w:cs="Arial"/>
                <w:color w:val="000000"/>
                <w:sz w:val="22"/>
                <w:lang w:val="es-ES" w:eastAsia="es-ES"/>
              </w:rPr>
              <w:t>1,13</w:t>
            </w:r>
          </w:p>
        </w:tc>
      </w:tr>
    </w:tbl>
    <w:p w:rsidR="001C6615" w:rsidRPr="003A05DB" w:rsidRDefault="001C6615" w:rsidP="001C6615">
      <w:pPr>
        <w:spacing w:line="276" w:lineRule="auto"/>
        <w:jc w:val="center"/>
        <w:rPr>
          <w:rFonts w:ascii="Arial" w:hAnsi="Arial" w:cs="Arial"/>
          <w:sz w:val="20"/>
          <w:lang w:val="es-ES"/>
        </w:rPr>
      </w:pPr>
      <w:r w:rsidRPr="003A05DB">
        <w:rPr>
          <w:rFonts w:ascii="Arial" w:hAnsi="Arial" w:cs="Arial"/>
          <w:b/>
          <w:sz w:val="20"/>
          <w:lang w:val="es-ES"/>
        </w:rPr>
        <w:t>Fuente:</w:t>
      </w:r>
      <w:r w:rsidRPr="003A05DB">
        <w:rPr>
          <w:rFonts w:ascii="Arial" w:hAnsi="Arial" w:cs="Arial"/>
          <w:sz w:val="20"/>
          <w:lang w:val="es-ES"/>
        </w:rPr>
        <w:t xml:space="preserve"> Datos INEC-Centro Centroamericano de Población</w:t>
      </w:r>
      <w:r w:rsidR="004774AE" w:rsidRPr="003A05DB">
        <w:rPr>
          <w:rFonts w:ascii="Arial" w:hAnsi="Arial" w:cs="Arial"/>
          <w:sz w:val="20"/>
          <w:lang w:val="es-ES"/>
        </w:rPr>
        <w:t xml:space="preserve">, </w:t>
      </w:r>
      <w:r w:rsidRPr="003A05DB">
        <w:rPr>
          <w:rFonts w:ascii="Arial" w:hAnsi="Arial" w:cs="Arial"/>
          <w:sz w:val="20"/>
          <w:lang w:val="es-ES"/>
        </w:rPr>
        <w:t>Dirección de Vigilancia de la Salud</w:t>
      </w:r>
      <w:r w:rsidR="004774AE" w:rsidRPr="003A05DB">
        <w:rPr>
          <w:rFonts w:ascii="Arial" w:hAnsi="Arial" w:cs="Arial"/>
          <w:sz w:val="20"/>
          <w:lang w:val="es-ES"/>
        </w:rPr>
        <w:t>, Ministerio de Salud.</w:t>
      </w:r>
      <w:r w:rsidRPr="003A05DB">
        <w:rPr>
          <w:rFonts w:ascii="Arial" w:hAnsi="Arial" w:cs="Arial"/>
          <w:sz w:val="20"/>
          <w:lang w:val="es-ES"/>
        </w:rPr>
        <w:t xml:space="preserve"> </w:t>
      </w:r>
    </w:p>
    <w:p w:rsidR="001C6615" w:rsidRPr="003A05DB" w:rsidRDefault="001C6615" w:rsidP="001C6615">
      <w:pPr>
        <w:spacing w:line="276" w:lineRule="auto"/>
        <w:jc w:val="center"/>
        <w:rPr>
          <w:rFonts w:ascii="Arial" w:hAnsi="Arial" w:cs="Arial"/>
          <w:sz w:val="20"/>
          <w:lang w:val="es-ES"/>
        </w:rPr>
      </w:pPr>
    </w:p>
    <w:p w:rsidR="001C6615" w:rsidRPr="00CB5EE3" w:rsidRDefault="001C6615" w:rsidP="00D0403C">
      <w:pPr>
        <w:spacing w:line="276" w:lineRule="auto"/>
        <w:jc w:val="center"/>
        <w:rPr>
          <w:rFonts w:ascii="Arial" w:hAnsi="Arial" w:cs="Arial"/>
          <w:sz w:val="20"/>
          <w:lang w:val="es-CR"/>
        </w:rPr>
      </w:pPr>
    </w:p>
    <w:p w:rsidR="001C6615" w:rsidRDefault="004774AE" w:rsidP="00D0403C">
      <w:pPr>
        <w:spacing w:line="276" w:lineRule="auto"/>
        <w:jc w:val="both"/>
        <w:rPr>
          <w:rFonts w:ascii="Arial" w:hAnsi="Arial" w:cs="Arial"/>
          <w:lang w:val="es-CR"/>
        </w:rPr>
      </w:pPr>
      <w:r>
        <w:rPr>
          <w:rFonts w:ascii="Arial" w:hAnsi="Arial" w:cs="Arial"/>
          <w:lang w:val="es-CR"/>
        </w:rPr>
        <w:t>L</w:t>
      </w:r>
      <w:r w:rsidR="00CB5EE3">
        <w:rPr>
          <w:rFonts w:ascii="Arial" w:hAnsi="Arial" w:cs="Arial"/>
          <w:lang w:val="es-CR"/>
        </w:rPr>
        <w:t xml:space="preserve">a </w:t>
      </w:r>
      <w:r w:rsidR="001C6615" w:rsidRPr="00CB5EE3">
        <w:rPr>
          <w:rFonts w:ascii="Arial" w:hAnsi="Arial" w:cs="Arial"/>
          <w:lang w:val="es-CR"/>
        </w:rPr>
        <w:t xml:space="preserve">evolución </w:t>
      </w:r>
      <w:r>
        <w:rPr>
          <w:rFonts w:ascii="Arial" w:hAnsi="Arial" w:cs="Arial"/>
          <w:lang w:val="es-CR"/>
        </w:rPr>
        <w:t xml:space="preserve">que está  presentado </w:t>
      </w:r>
      <w:r w:rsidR="001C6615" w:rsidRPr="00CB5EE3">
        <w:rPr>
          <w:rFonts w:ascii="Arial" w:hAnsi="Arial" w:cs="Arial"/>
          <w:lang w:val="es-CR"/>
        </w:rPr>
        <w:t xml:space="preserve">la pirámide poblacional de Costa Rica </w:t>
      </w:r>
      <w:r>
        <w:rPr>
          <w:rFonts w:ascii="Arial" w:hAnsi="Arial" w:cs="Arial"/>
          <w:lang w:val="es-CR"/>
        </w:rPr>
        <w:t>entre</w:t>
      </w:r>
      <w:r w:rsidR="001C6615" w:rsidRPr="00CB5EE3">
        <w:rPr>
          <w:rFonts w:ascii="Arial" w:hAnsi="Arial" w:cs="Arial"/>
          <w:lang w:val="es-CR"/>
        </w:rPr>
        <w:t xml:space="preserve"> 1984 </w:t>
      </w:r>
      <w:r>
        <w:rPr>
          <w:rFonts w:ascii="Arial" w:hAnsi="Arial" w:cs="Arial"/>
          <w:lang w:val="es-CR"/>
        </w:rPr>
        <w:t>y</w:t>
      </w:r>
      <w:r w:rsidR="001C6615" w:rsidRPr="00CB5EE3">
        <w:rPr>
          <w:rFonts w:ascii="Arial" w:hAnsi="Arial" w:cs="Arial"/>
          <w:lang w:val="es-CR"/>
        </w:rPr>
        <w:t xml:space="preserve"> 2025</w:t>
      </w:r>
      <w:r w:rsidR="00CB5EE3">
        <w:rPr>
          <w:rFonts w:ascii="Arial" w:hAnsi="Arial" w:cs="Arial"/>
          <w:lang w:val="es-CR"/>
        </w:rPr>
        <w:t xml:space="preserve"> evidencia que </w:t>
      </w:r>
      <w:r w:rsidR="001C6615" w:rsidRPr="00CB5EE3">
        <w:rPr>
          <w:rFonts w:ascii="Arial" w:hAnsi="Arial" w:cs="Arial"/>
          <w:lang w:val="es-CR"/>
        </w:rPr>
        <w:t xml:space="preserve">la población ha ido envejeciendo y ha pasado de una alta proporción </w:t>
      </w:r>
      <w:r>
        <w:rPr>
          <w:rFonts w:ascii="Arial" w:hAnsi="Arial" w:cs="Arial"/>
          <w:lang w:val="es-CR"/>
        </w:rPr>
        <w:t>de población</w:t>
      </w:r>
      <w:r w:rsidR="001C6615" w:rsidRPr="00CB5EE3">
        <w:rPr>
          <w:rFonts w:ascii="Arial" w:hAnsi="Arial" w:cs="Arial"/>
          <w:lang w:val="es-CR"/>
        </w:rPr>
        <w:t xml:space="preserve"> joven en 1984</w:t>
      </w:r>
      <w:r>
        <w:rPr>
          <w:rFonts w:ascii="Arial" w:hAnsi="Arial" w:cs="Arial"/>
          <w:lang w:val="es-CR"/>
        </w:rPr>
        <w:t>,</w:t>
      </w:r>
      <w:r w:rsidR="001C6615" w:rsidRPr="00CB5EE3">
        <w:rPr>
          <w:rFonts w:ascii="Arial" w:hAnsi="Arial" w:cs="Arial"/>
          <w:lang w:val="es-CR"/>
        </w:rPr>
        <w:t xml:space="preserve"> a mayores concentraciones de personas en edades </w:t>
      </w:r>
      <w:r>
        <w:rPr>
          <w:rFonts w:ascii="Arial" w:hAnsi="Arial" w:cs="Arial"/>
          <w:lang w:val="es-CR"/>
        </w:rPr>
        <w:t xml:space="preserve">mayores </w:t>
      </w:r>
      <w:r w:rsidR="001C6615" w:rsidRPr="00CB5EE3">
        <w:rPr>
          <w:rFonts w:ascii="Arial" w:hAnsi="Arial" w:cs="Arial"/>
          <w:lang w:val="es-CR"/>
        </w:rPr>
        <w:t>de 30 años</w:t>
      </w:r>
      <w:r>
        <w:rPr>
          <w:rFonts w:ascii="Arial" w:hAnsi="Arial" w:cs="Arial"/>
          <w:lang w:val="es-CR"/>
        </w:rPr>
        <w:t xml:space="preserve">; lo cual está relacionado con la reducción </w:t>
      </w:r>
      <w:r w:rsidR="001C6615" w:rsidRPr="00CB5EE3">
        <w:rPr>
          <w:rFonts w:ascii="Arial" w:hAnsi="Arial" w:cs="Arial"/>
          <w:lang w:val="es-CR"/>
        </w:rPr>
        <w:t xml:space="preserve">constante de la fecundidad y el aumento de la esperanza de vida al nacer. </w:t>
      </w:r>
    </w:p>
    <w:p w:rsidR="00CB5EE3" w:rsidRPr="00CB5EE3" w:rsidRDefault="00CB5EE3" w:rsidP="00D0403C">
      <w:pPr>
        <w:spacing w:line="276" w:lineRule="auto"/>
        <w:jc w:val="both"/>
        <w:rPr>
          <w:rFonts w:ascii="Arial" w:hAnsi="Arial" w:cs="Arial"/>
          <w:lang w:val="es-CR"/>
        </w:rPr>
      </w:pPr>
    </w:p>
    <w:p w:rsidR="00DF79F2" w:rsidRDefault="00DF79F2" w:rsidP="00D0403C">
      <w:pPr>
        <w:spacing w:line="276" w:lineRule="auto"/>
        <w:jc w:val="center"/>
        <w:rPr>
          <w:rFonts w:ascii="Arial" w:hAnsi="Arial" w:cs="Arial"/>
          <w:lang w:val="es-CR"/>
        </w:rPr>
      </w:pPr>
    </w:p>
    <w:p w:rsidR="00DF79F2" w:rsidRDefault="00DF79F2" w:rsidP="00D0403C">
      <w:pPr>
        <w:spacing w:line="276" w:lineRule="auto"/>
        <w:jc w:val="center"/>
        <w:rPr>
          <w:rFonts w:ascii="Arial" w:hAnsi="Arial" w:cs="Arial"/>
          <w:lang w:val="es-CR"/>
        </w:rPr>
      </w:pPr>
    </w:p>
    <w:p w:rsidR="00DF79F2" w:rsidRDefault="00DF79F2" w:rsidP="00D0403C">
      <w:pPr>
        <w:spacing w:line="276" w:lineRule="auto"/>
        <w:jc w:val="center"/>
        <w:rPr>
          <w:rFonts w:ascii="Arial" w:hAnsi="Arial" w:cs="Arial"/>
          <w:lang w:val="es-CR"/>
        </w:rPr>
      </w:pPr>
    </w:p>
    <w:p w:rsidR="00DF79F2" w:rsidRDefault="00DF79F2">
      <w:pPr>
        <w:spacing w:after="160" w:line="259" w:lineRule="auto"/>
        <w:rPr>
          <w:rFonts w:ascii="Arial" w:hAnsi="Arial" w:cs="Arial"/>
          <w:lang w:val="es-CR"/>
        </w:rPr>
      </w:pPr>
      <w:r>
        <w:rPr>
          <w:rFonts w:ascii="Arial" w:hAnsi="Arial" w:cs="Arial"/>
          <w:lang w:val="es-CR"/>
        </w:rPr>
        <w:br w:type="page"/>
      </w:r>
    </w:p>
    <w:p w:rsidR="00A141C2" w:rsidRPr="00DF79F2" w:rsidRDefault="001C6615" w:rsidP="00D0403C">
      <w:pPr>
        <w:spacing w:line="276" w:lineRule="auto"/>
        <w:jc w:val="center"/>
        <w:rPr>
          <w:rFonts w:ascii="Arial" w:hAnsi="Arial" w:cs="Arial"/>
          <w:b/>
          <w:lang w:val="es-CR"/>
        </w:rPr>
      </w:pPr>
      <w:r w:rsidRPr="00DF79F2">
        <w:rPr>
          <w:rFonts w:ascii="Arial" w:hAnsi="Arial" w:cs="Arial"/>
          <w:b/>
          <w:lang w:val="es-CR"/>
        </w:rPr>
        <w:lastRenderedPageBreak/>
        <w:t xml:space="preserve">Figura </w:t>
      </w:r>
      <w:r w:rsidR="00A141C2" w:rsidRPr="00DF79F2">
        <w:rPr>
          <w:rFonts w:ascii="Arial" w:hAnsi="Arial" w:cs="Arial"/>
          <w:b/>
          <w:lang w:val="es-CR"/>
        </w:rPr>
        <w:t>1</w:t>
      </w:r>
    </w:p>
    <w:p w:rsidR="001C6615" w:rsidRPr="00CB5EE3" w:rsidRDefault="00A37C77" w:rsidP="00D0403C">
      <w:pPr>
        <w:spacing w:line="276" w:lineRule="auto"/>
        <w:jc w:val="center"/>
        <w:rPr>
          <w:rFonts w:ascii="Arial" w:hAnsi="Arial" w:cs="Arial"/>
          <w:lang w:val="es-CR"/>
        </w:rPr>
      </w:pPr>
      <w:r>
        <w:rPr>
          <w:rFonts w:ascii="Arial" w:hAnsi="Arial" w:cs="Arial"/>
          <w:b/>
          <w:lang w:val="es-CR"/>
        </w:rPr>
        <w:t xml:space="preserve">Costa Rica: </w:t>
      </w:r>
      <w:r w:rsidR="001C6615" w:rsidRPr="00CB5EE3">
        <w:rPr>
          <w:rFonts w:ascii="Arial" w:hAnsi="Arial" w:cs="Arial"/>
          <w:b/>
          <w:lang w:val="es-CR"/>
        </w:rPr>
        <w:t>Pirámide poblacional 1984 a 2025</w:t>
      </w:r>
      <w:r w:rsidR="001C6615" w:rsidRPr="00CB5EE3">
        <w:rPr>
          <w:rFonts w:ascii="Arial" w:hAnsi="Arial" w:cs="Arial"/>
          <w:lang w:val="es-CR"/>
        </w:rPr>
        <w:t>.</w:t>
      </w:r>
    </w:p>
    <w:p w:rsidR="001C6615" w:rsidRPr="00CB5EE3" w:rsidRDefault="001C6615" w:rsidP="001C6615">
      <w:pPr>
        <w:spacing w:line="360" w:lineRule="auto"/>
        <w:jc w:val="both"/>
        <w:rPr>
          <w:rFonts w:ascii="Arial" w:hAnsi="Arial" w:cs="Arial"/>
          <w:lang w:val="es-CR"/>
        </w:rPr>
      </w:pPr>
      <w:r w:rsidRPr="00CB5EE3">
        <w:rPr>
          <w:noProof/>
          <w:lang w:val="es-CR" w:eastAsia="es-CR"/>
        </w:rPr>
        <w:drawing>
          <wp:inline distT="0" distB="0" distL="0" distR="0" wp14:anchorId="2DC9E537" wp14:editId="356B2A1A">
            <wp:extent cx="5795010" cy="4353058"/>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819401" cy="4371380"/>
                    </a:xfrm>
                    <a:prstGeom prst="rect">
                      <a:avLst/>
                    </a:prstGeom>
                  </pic:spPr>
                </pic:pic>
              </a:graphicData>
            </a:graphic>
          </wp:inline>
        </w:drawing>
      </w:r>
    </w:p>
    <w:p w:rsidR="001C6615" w:rsidRDefault="001C6615" w:rsidP="00CB5EE3">
      <w:pPr>
        <w:jc w:val="center"/>
        <w:rPr>
          <w:rFonts w:ascii="Arial" w:hAnsi="Arial" w:cs="Arial"/>
          <w:sz w:val="20"/>
          <w:szCs w:val="20"/>
          <w:lang w:val="es-CR"/>
        </w:rPr>
      </w:pPr>
      <w:r w:rsidRPr="004774AE">
        <w:rPr>
          <w:rFonts w:ascii="Arial" w:hAnsi="Arial" w:cs="Arial"/>
          <w:b/>
          <w:sz w:val="20"/>
          <w:szCs w:val="20"/>
          <w:lang w:val="es-CR"/>
        </w:rPr>
        <w:t>Fuente:</w:t>
      </w:r>
      <w:r w:rsidRPr="00CB5EE3">
        <w:rPr>
          <w:rFonts w:ascii="Arial" w:hAnsi="Arial" w:cs="Arial"/>
          <w:sz w:val="20"/>
          <w:szCs w:val="20"/>
          <w:lang w:val="es-CR"/>
        </w:rPr>
        <w:t xml:space="preserve"> INEC. CCP-INEC.Proyecciones y Estimaciones de Población, 1950-2100, 2008.</w:t>
      </w:r>
    </w:p>
    <w:p w:rsidR="00CB5EE3" w:rsidRPr="00DF79F2" w:rsidRDefault="00CB5EE3" w:rsidP="001C6615">
      <w:pPr>
        <w:jc w:val="both"/>
        <w:rPr>
          <w:rFonts w:ascii="Arial" w:hAnsi="Arial" w:cs="Arial"/>
          <w:lang w:val="es-CR"/>
        </w:rPr>
      </w:pPr>
    </w:p>
    <w:p w:rsidR="00DB2C02" w:rsidRDefault="00DB2C02" w:rsidP="00CB5EE3">
      <w:pPr>
        <w:pStyle w:val="Encabezado"/>
        <w:spacing w:line="276" w:lineRule="auto"/>
        <w:jc w:val="both"/>
        <w:rPr>
          <w:rFonts w:ascii="Arial" w:hAnsi="Arial" w:cs="Arial"/>
          <w:lang w:val="es-CR"/>
        </w:rPr>
      </w:pPr>
    </w:p>
    <w:p w:rsidR="00DB2C02" w:rsidRDefault="00DB2C02" w:rsidP="00CB5EE3">
      <w:pPr>
        <w:pStyle w:val="Encabezado"/>
        <w:spacing w:line="276" w:lineRule="auto"/>
        <w:jc w:val="both"/>
        <w:rPr>
          <w:rFonts w:ascii="Arial" w:hAnsi="Arial" w:cs="Arial"/>
          <w:lang w:val="es-CR"/>
        </w:rPr>
      </w:pPr>
    </w:p>
    <w:p w:rsidR="00DB2C02" w:rsidRDefault="00DB2C02" w:rsidP="00CB5EE3">
      <w:pPr>
        <w:pStyle w:val="Encabezado"/>
        <w:spacing w:line="276" w:lineRule="auto"/>
        <w:jc w:val="both"/>
        <w:rPr>
          <w:rFonts w:ascii="Arial" w:hAnsi="Arial" w:cs="Arial"/>
          <w:lang w:val="es-CR"/>
        </w:rPr>
      </w:pPr>
    </w:p>
    <w:p w:rsidR="00CB5EE3" w:rsidRDefault="00DB2C02" w:rsidP="00CB5EE3">
      <w:pPr>
        <w:pStyle w:val="Encabezado"/>
        <w:spacing w:line="276" w:lineRule="auto"/>
        <w:jc w:val="both"/>
        <w:rPr>
          <w:rFonts w:ascii="Arial" w:hAnsi="Arial" w:cs="Arial"/>
          <w:lang w:val="es-CR"/>
        </w:rPr>
      </w:pPr>
      <w:r>
        <w:rPr>
          <w:rFonts w:ascii="Arial" w:hAnsi="Arial" w:cs="Arial"/>
          <w:lang w:val="es-CR"/>
        </w:rPr>
        <w:t xml:space="preserve">En el gráfico 1 se observa que, </w:t>
      </w:r>
      <w:r w:rsidR="00CB5EE3">
        <w:rPr>
          <w:rFonts w:ascii="Arial" w:hAnsi="Arial" w:cs="Arial"/>
          <w:lang w:val="es-CR"/>
        </w:rPr>
        <w:t>porcentualmente los grupos de edad de 20 a 64 y mayores de 65 años han aumentado entre 2,05% y 2,86%</w:t>
      </w:r>
      <w:r>
        <w:rPr>
          <w:rFonts w:ascii="Arial" w:hAnsi="Arial" w:cs="Arial"/>
          <w:lang w:val="es-CR"/>
        </w:rPr>
        <w:t xml:space="preserve"> respectivamente</w:t>
      </w:r>
      <w:r w:rsidR="00CB5EE3">
        <w:rPr>
          <w:rFonts w:ascii="Arial" w:hAnsi="Arial" w:cs="Arial"/>
          <w:lang w:val="es-CR"/>
        </w:rPr>
        <w:t>, en tanto que el grupo de 0 a 19 años ha disminuido en 4,91%.</w:t>
      </w:r>
    </w:p>
    <w:p w:rsidR="00CB5EE3" w:rsidRDefault="00CB5EE3" w:rsidP="00CB5EE3">
      <w:pPr>
        <w:pStyle w:val="Encabezado"/>
        <w:jc w:val="both"/>
        <w:rPr>
          <w:rFonts w:ascii="Arial" w:hAnsi="Arial" w:cs="Arial"/>
          <w:lang w:val="es-CR"/>
        </w:rPr>
      </w:pPr>
    </w:p>
    <w:p w:rsidR="00DF79F2" w:rsidRDefault="00DF79F2" w:rsidP="00CB5EE3">
      <w:pPr>
        <w:pStyle w:val="Encabezado"/>
        <w:jc w:val="center"/>
        <w:rPr>
          <w:rFonts w:ascii="Arial" w:hAnsi="Arial" w:cs="Arial"/>
          <w:lang w:val="es-CR"/>
        </w:rPr>
      </w:pPr>
    </w:p>
    <w:p w:rsidR="00DF79F2" w:rsidRDefault="00DF79F2" w:rsidP="00CB5EE3">
      <w:pPr>
        <w:pStyle w:val="Encabezado"/>
        <w:jc w:val="center"/>
        <w:rPr>
          <w:rFonts w:ascii="Arial" w:hAnsi="Arial" w:cs="Arial"/>
          <w:lang w:val="es-CR"/>
        </w:rPr>
      </w:pPr>
    </w:p>
    <w:p w:rsidR="00DF79F2" w:rsidRDefault="00DF79F2" w:rsidP="00CB5EE3">
      <w:pPr>
        <w:pStyle w:val="Encabezado"/>
        <w:jc w:val="center"/>
        <w:rPr>
          <w:rFonts w:ascii="Arial" w:hAnsi="Arial" w:cs="Arial"/>
          <w:lang w:val="es-CR"/>
        </w:rPr>
      </w:pPr>
    </w:p>
    <w:p w:rsidR="00DF79F2" w:rsidRDefault="00DF79F2" w:rsidP="00CB5EE3">
      <w:pPr>
        <w:pStyle w:val="Encabezado"/>
        <w:jc w:val="center"/>
        <w:rPr>
          <w:rFonts w:ascii="Arial" w:hAnsi="Arial" w:cs="Arial"/>
          <w:lang w:val="es-CR"/>
        </w:rPr>
      </w:pPr>
    </w:p>
    <w:p w:rsidR="00DF79F2" w:rsidRDefault="00DF79F2" w:rsidP="00CB5EE3">
      <w:pPr>
        <w:pStyle w:val="Encabezado"/>
        <w:jc w:val="center"/>
        <w:rPr>
          <w:rFonts w:ascii="Arial" w:hAnsi="Arial" w:cs="Arial"/>
          <w:lang w:val="es-CR"/>
        </w:rPr>
      </w:pPr>
    </w:p>
    <w:p w:rsidR="00DF79F2" w:rsidRDefault="00DF79F2">
      <w:pPr>
        <w:spacing w:after="160" w:line="259" w:lineRule="auto"/>
        <w:rPr>
          <w:rFonts w:ascii="Arial" w:hAnsi="Arial" w:cs="Arial"/>
          <w:lang w:val="es-CR" w:eastAsia="x-none"/>
        </w:rPr>
      </w:pPr>
      <w:r>
        <w:rPr>
          <w:rFonts w:ascii="Arial" w:hAnsi="Arial" w:cs="Arial"/>
          <w:lang w:val="es-CR"/>
        </w:rPr>
        <w:br w:type="page"/>
      </w:r>
    </w:p>
    <w:p w:rsidR="00CB5EE3" w:rsidRPr="00DF79F2" w:rsidRDefault="00CB5EE3" w:rsidP="00CB5EE3">
      <w:pPr>
        <w:pStyle w:val="Encabezado"/>
        <w:jc w:val="center"/>
        <w:rPr>
          <w:rFonts w:ascii="Arial" w:hAnsi="Arial" w:cs="Arial"/>
          <w:b/>
          <w:lang w:val="es-CR"/>
        </w:rPr>
      </w:pPr>
      <w:r w:rsidRPr="00DF79F2">
        <w:rPr>
          <w:rFonts w:ascii="Arial" w:hAnsi="Arial" w:cs="Arial"/>
          <w:b/>
          <w:lang w:val="es-CR"/>
        </w:rPr>
        <w:lastRenderedPageBreak/>
        <w:t>Gráfico 1</w:t>
      </w:r>
    </w:p>
    <w:p w:rsidR="00DF79F2" w:rsidRDefault="00CB5EE3" w:rsidP="00CB5EE3">
      <w:pPr>
        <w:pStyle w:val="Encabezado"/>
        <w:jc w:val="center"/>
        <w:rPr>
          <w:rFonts w:ascii="Arial" w:hAnsi="Arial" w:cs="Arial"/>
          <w:b/>
          <w:bCs/>
          <w:lang w:val="es-CR"/>
        </w:rPr>
      </w:pPr>
      <w:r w:rsidRPr="00DC1EB4">
        <w:rPr>
          <w:rFonts w:ascii="Arial" w:hAnsi="Arial" w:cs="Arial"/>
          <w:b/>
          <w:bCs/>
          <w:lang w:val="es-CR"/>
        </w:rPr>
        <w:t xml:space="preserve">Costa Rica: Tendencia de porcentaje de población por </w:t>
      </w:r>
      <w:r w:rsidR="00DB2C02">
        <w:rPr>
          <w:rFonts w:ascii="Arial" w:hAnsi="Arial" w:cs="Arial"/>
          <w:b/>
          <w:bCs/>
          <w:lang w:val="es-CR"/>
        </w:rPr>
        <w:t>c</w:t>
      </w:r>
      <w:r w:rsidRPr="00DC1EB4">
        <w:rPr>
          <w:rFonts w:ascii="Arial" w:hAnsi="Arial" w:cs="Arial"/>
          <w:b/>
          <w:bCs/>
          <w:lang w:val="es-CR"/>
        </w:rPr>
        <w:t xml:space="preserve">iclo de </w:t>
      </w:r>
      <w:r w:rsidR="00DB2C02">
        <w:rPr>
          <w:rFonts w:ascii="Arial" w:hAnsi="Arial" w:cs="Arial"/>
          <w:b/>
          <w:bCs/>
          <w:lang w:val="es-CR"/>
        </w:rPr>
        <w:t>v</w:t>
      </w:r>
      <w:r w:rsidRPr="00DC1EB4">
        <w:rPr>
          <w:rFonts w:ascii="Arial" w:hAnsi="Arial" w:cs="Arial"/>
          <w:b/>
          <w:bCs/>
          <w:lang w:val="es-CR"/>
        </w:rPr>
        <w:t xml:space="preserve">ida, </w:t>
      </w:r>
    </w:p>
    <w:p w:rsidR="00CB5EE3" w:rsidRPr="00DC1EB4" w:rsidRDefault="00CB5EE3" w:rsidP="00CB5EE3">
      <w:pPr>
        <w:pStyle w:val="Encabezado"/>
        <w:jc w:val="center"/>
        <w:rPr>
          <w:rFonts w:ascii="Arial" w:hAnsi="Arial" w:cs="Arial"/>
          <w:lang w:val="es-PA"/>
        </w:rPr>
      </w:pPr>
      <w:r w:rsidRPr="00DC1EB4">
        <w:rPr>
          <w:rFonts w:ascii="Arial" w:hAnsi="Arial" w:cs="Arial"/>
          <w:b/>
          <w:bCs/>
          <w:lang w:val="es-CR"/>
        </w:rPr>
        <w:t>2010 y 2019</w:t>
      </w:r>
    </w:p>
    <w:p w:rsidR="00CB5EE3" w:rsidRDefault="00BC70A3" w:rsidP="00CB5EE3">
      <w:pPr>
        <w:pStyle w:val="Encabezado"/>
        <w:jc w:val="center"/>
        <w:rPr>
          <w:rFonts w:ascii="Arial" w:hAnsi="Arial" w:cs="Arial"/>
          <w:lang w:val="es-CR"/>
        </w:rPr>
      </w:pPr>
      <w:r>
        <w:rPr>
          <w:noProof/>
          <w:lang w:val="es-CR" w:eastAsia="es-CR"/>
        </w:rPr>
        <w:drawing>
          <wp:anchor distT="0" distB="0" distL="114300" distR="114300" simplePos="0" relativeHeight="251671552" behindDoc="0" locked="0" layoutInCell="1" allowOverlap="1" wp14:anchorId="667BDA94" wp14:editId="387D49DD">
            <wp:simplePos x="0" y="0"/>
            <wp:positionH relativeFrom="column">
              <wp:posOffset>581401</wp:posOffset>
            </wp:positionH>
            <wp:positionV relativeFrom="paragraph">
              <wp:posOffset>1650365</wp:posOffset>
            </wp:positionV>
            <wp:extent cx="208915" cy="258112"/>
            <wp:effectExtent l="0" t="0" r="635" b="889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rot="10800000">
                      <a:off x="0" y="0"/>
                      <a:ext cx="208915" cy="258112"/>
                    </a:xfrm>
                    <a:prstGeom prst="rect">
                      <a:avLst/>
                    </a:prstGeom>
                  </pic:spPr>
                </pic:pic>
              </a:graphicData>
            </a:graphic>
            <wp14:sizeRelV relativeFrom="margin">
              <wp14:pctHeight>0</wp14:pctHeight>
            </wp14:sizeRelV>
          </wp:anchor>
        </w:drawing>
      </w:r>
      <w:r>
        <w:rPr>
          <w:noProof/>
          <w:lang w:val="es-CR" w:eastAsia="es-CR"/>
        </w:rPr>
        <mc:AlternateContent>
          <mc:Choice Requires="wps">
            <w:drawing>
              <wp:anchor distT="0" distB="0" distL="114300" distR="114300" simplePos="0" relativeHeight="251669504" behindDoc="0" locked="0" layoutInCell="1" allowOverlap="1" wp14:anchorId="16E0F419" wp14:editId="4F010FAA">
                <wp:simplePos x="0" y="0"/>
                <wp:positionH relativeFrom="column">
                  <wp:posOffset>695636</wp:posOffset>
                </wp:positionH>
                <wp:positionV relativeFrom="paragraph">
                  <wp:posOffset>363855</wp:posOffset>
                </wp:positionV>
                <wp:extent cx="585106" cy="258537"/>
                <wp:effectExtent l="0" t="0" r="0" b="0"/>
                <wp:wrapNone/>
                <wp:docPr id="5" name="CuadroTexto 8"/>
                <wp:cNvGraphicFramePr/>
                <a:graphic xmlns:a="http://schemas.openxmlformats.org/drawingml/2006/main">
                  <a:graphicData uri="http://schemas.microsoft.com/office/word/2010/wordprocessingShape">
                    <wps:wsp>
                      <wps:cNvSpPr txBox="1"/>
                      <wps:spPr>
                        <a:xfrm>
                          <a:off x="0" y="0"/>
                          <a:ext cx="585106" cy="258537"/>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02094B" w:rsidRPr="00DC1EB4" w:rsidRDefault="0002094B" w:rsidP="00CB5EE3">
                            <w:pPr>
                              <w:pStyle w:val="NormalWeb"/>
                              <w:spacing w:before="0" w:beforeAutospacing="0" w:after="0" w:afterAutospacing="0"/>
                              <w:jc w:val="center"/>
                              <w:rPr>
                                <w:sz w:val="18"/>
                              </w:rPr>
                            </w:pPr>
                            <w:r w:rsidRPr="00DC1EB4">
                              <w:rPr>
                                <w:rFonts w:asciiTheme="minorHAnsi" w:hAnsi="Calibri" w:cstheme="minorBidi"/>
                                <w:color w:val="000000" w:themeColor="dark1"/>
                                <w:sz w:val="18"/>
                              </w:rPr>
                              <w:t>2,86%</w:t>
                            </w:r>
                          </w:p>
                        </w:txbxContent>
                      </wps:txbx>
                      <wps:bodyPr vertOverflow="clip" horzOverflow="clip" wrap="square" rtlCol="0" anchor="ct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16E0F419" id="_x0000_t202" coordsize="21600,21600" o:spt="202" path="m,l,21600r21600,l21600,xe">
                <v:stroke joinstyle="miter"/>
                <v:path gradientshapeok="t" o:connecttype="rect"/>
              </v:shapetype>
              <v:shape id="CuadroTexto 8" o:spid="_x0000_s1026" type="#_x0000_t202" style="position:absolute;left:0;text-align:left;margin-left:54.75pt;margin-top:28.65pt;width:46.05pt;height:20.3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" filled="f" stroked="f">
                <v:textbox>
                  <w:txbxContent>
                    <w:p w:rsidR="0002094B" w:rsidRPr="00DC1EB4" w:rsidRDefault="0002094B" w:rsidP="00CB5EE3">
                      <w:pPr>
                        <w:pStyle w:val="NormalWeb"/>
                        <w:spacing w:before="0" w:beforeAutospacing="0" w:after="0" w:afterAutospacing="0"/>
                        <w:jc w:val="center"/>
                        <w:rPr>
                          <w:sz w:val="18"/>
                        </w:rPr>
                      </w:pPr>
                      <w:r w:rsidRPr="00DC1EB4">
                        <w:rPr>
                          <w:rFonts w:asciiTheme="minorHAnsi" w:hAnsi="Calibri" w:cstheme="minorBidi"/>
                          <w:color w:val="000000" w:themeColor="dark1"/>
                          <w:sz w:val="18"/>
                        </w:rPr>
                        <w:t>2,86%</w:t>
                      </w:r>
                    </w:p>
                  </w:txbxContent>
                </v:textbox>
              </v:shape>
            </w:pict>
          </mc:Fallback>
        </mc:AlternateContent>
      </w:r>
      <w:r>
        <w:rPr>
          <w:noProof/>
          <w:lang w:val="es-CR" w:eastAsia="es-CR"/>
        </w:rPr>
        <w:drawing>
          <wp:anchor distT="0" distB="0" distL="114300" distR="114300" simplePos="0" relativeHeight="251670528" behindDoc="0" locked="0" layoutInCell="1" allowOverlap="1" wp14:anchorId="76C2C984" wp14:editId="29B9C836">
            <wp:simplePos x="0" y="0"/>
            <wp:positionH relativeFrom="column">
              <wp:posOffset>584332</wp:posOffset>
            </wp:positionH>
            <wp:positionV relativeFrom="paragraph">
              <wp:posOffset>359039</wp:posOffset>
            </wp:positionV>
            <wp:extent cx="208915" cy="258112"/>
            <wp:effectExtent l="0" t="0" r="635" b="8890"/>
            <wp:wrapNone/>
            <wp:docPr id="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rot="10800000">
                      <a:off x="0" y="0"/>
                      <a:ext cx="208915" cy="258112"/>
                    </a:xfrm>
                    <a:prstGeom prst="rect">
                      <a:avLst/>
                    </a:prstGeom>
                  </pic:spPr>
                </pic:pic>
              </a:graphicData>
            </a:graphic>
            <wp14:sizeRelV relativeFrom="margin">
              <wp14:pctHeight>0</wp14:pctHeight>
            </wp14:sizeRelV>
          </wp:anchor>
        </w:drawing>
      </w:r>
      <w:r w:rsidR="00CB5EE3">
        <w:rPr>
          <w:noProof/>
          <w:lang w:val="es-CR" w:eastAsia="es-CR"/>
        </w:rPr>
        <w:drawing>
          <wp:inline distT="0" distB="0" distL="0" distR="0" wp14:anchorId="32B3FE37" wp14:editId="3E2C488A">
            <wp:extent cx="4433977" cy="2286000"/>
            <wp:effectExtent l="0" t="0" r="508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B5EE3" w:rsidRDefault="00CB5EE3" w:rsidP="00CB5EE3">
      <w:pPr>
        <w:pStyle w:val="Encabezado"/>
        <w:jc w:val="center"/>
        <w:rPr>
          <w:rFonts w:ascii="Arial" w:hAnsi="Arial" w:cs="Arial"/>
          <w:sz w:val="14"/>
          <w:lang w:val="es-CR"/>
        </w:rPr>
      </w:pPr>
    </w:p>
    <w:p w:rsidR="00CB5EE3" w:rsidRPr="00CB5EE3" w:rsidRDefault="00CB5EE3" w:rsidP="00DF79F2">
      <w:pPr>
        <w:pStyle w:val="Encabezado"/>
        <w:jc w:val="right"/>
        <w:rPr>
          <w:rFonts w:ascii="Arial" w:hAnsi="Arial" w:cs="Arial"/>
          <w:sz w:val="20"/>
          <w:szCs w:val="20"/>
          <w:lang w:val="es-CR"/>
        </w:rPr>
      </w:pPr>
      <w:r w:rsidRPr="00DF79F2">
        <w:rPr>
          <w:rFonts w:ascii="Arial" w:hAnsi="Arial" w:cs="Arial"/>
          <w:b/>
          <w:sz w:val="20"/>
          <w:szCs w:val="20"/>
          <w:lang w:val="es-CR"/>
        </w:rPr>
        <w:t>Fuente</w:t>
      </w:r>
      <w:r w:rsidR="00DF79F2">
        <w:rPr>
          <w:rFonts w:ascii="Arial" w:hAnsi="Arial" w:cs="Arial"/>
          <w:b/>
          <w:sz w:val="20"/>
          <w:szCs w:val="20"/>
          <w:lang w:val="es-CR"/>
        </w:rPr>
        <w:t>:</w:t>
      </w:r>
      <w:r w:rsidRPr="00CB5EE3">
        <w:rPr>
          <w:rFonts w:ascii="Arial" w:hAnsi="Arial" w:cs="Arial"/>
          <w:sz w:val="20"/>
          <w:szCs w:val="20"/>
          <w:lang w:val="es-CR"/>
        </w:rPr>
        <w:t xml:space="preserve"> Instituto Nacional de Estadística y Censos (INEC)</w:t>
      </w:r>
    </w:p>
    <w:p w:rsidR="00CB5EE3" w:rsidRPr="00CB5EE3" w:rsidRDefault="00CB5EE3" w:rsidP="00DF79F2">
      <w:pPr>
        <w:pStyle w:val="Encabezado"/>
        <w:jc w:val="right"/>
        <w:rPr>
          <w:rFonts w:ascii="Arial" w:hAnsi="Arial" w:cs="Arial"/>
          <w:sz w:val="20"/>
          <w:szCs w:val="20"/>
          <w:lang w:val="es-CR"/>
        </w:rPr>
      </w:pPr>
      <w:r w:rsidRPr="00CB5EE3">
        <w:rPr>
          <w:rFonts w:ascii="Arial" w:hAnsi="Arial" w:cs="Arial"/>
          <w:sz w:val="20"/>
          <w:szCs w:val="20"/>
          <w:lang w:val="es-CR"/>
        </w:rPr>
        <w:t>Dirección de Vigilancia de la Salud</w:t>
      </w:r>
    </w:p>
    <w:p w:rsidR="00CB5EE3" w:rsidRDefault="00CB5EE3" w:rsidP="00CB5EE3">
      <w:pPr>
        <w:pStyle w:val="Encabezado"/>
        <w:rPr>
          <w:rFonts w:ascii="Arial" w:hAnsi="Arial" w:cs="Arial"/>
          <w:lang w:val="es-CR"/>
        </w:rPr>
      </w:pPr>
    </w:p>
    <w:p w:rsidR="00CB5EE3" w:rsidRPr="00CB5EE3" w:rsidRDefault="00A37C77" w:rsidP="00CB5EE3">
      <w:pPr>
        <w:spacing w:line="276" w:lineRule="auto"/>
        <w:jc w:val="both"/>
        <w:rPr>
          <w:rFonts w:ascii="Arial" w:hAnsi="Arial" w:cs="Arial"/>
          <w:lang w:val="es-CR"/>
        </w:rPr>
      </w:pPr>
      <w:r>
        <w:rPr>
          <w:rFonts w:ascii="Arial" w:hAnsi="Arial" w:cs="Arial"/>
          <w:lang w:val="es-CR"/>
        </w:rPr>
        <w:t xml:space="preserve">Al </w:t>
      </w:r>
      <w:r w:rsidR="00DB2C02">
        <w:rPr>
          <w:rFonts w:ascii="Arial" w:hAnsi="Arial" w:cs="Arial"/>
          <w:lang w:val="es-CR"/>
        </w:rPr>
        <w:t>analizar</w:t>
      </w:r>
      <w:r>
        <w:rPr>
          <w:rFonts w:ascii="Arial" w:hAnsi="Arial" w:cs="Arial"/>
          <w:lang w:val="es-CR"/>
        </w:rPr>
        <w:t xml:space="preserve"> </w:t>
      </w:r>
      <w:r w:rsidR="00CB5EE3" w:rsidRPr="00CB5EE3">
        <w:rPr>
          <w:rFonts w:ascii="Arial" w:hAnsi="Arial" w:cs="Arial"/>
          <w:lang w:val="es-CR"/>
        </w:rPr>
        <w:t xml:space="preserve">la relación de dependencia (personas de 15 años y menos sumado con las personas de 64 años y más, contra las personas de 15 a 64 años) esta pasó de 60 a 47 </w:t>
      </w:r>
      <w:r w:rsidR="00DB2C02">
        <w:rPr>
          <w:rFonts w:ascii="Arial" w:hAnsi="Arial" w:cs="Arial"/>
          <w:lang w:val="es-CR"/>
        </w:rPr>
        <w:t xml:space="preserve">entre el </w:t>
      </w:r>
      <w:r w:rsidR="00CB5EE3" w:rsidRPr="00CB5EE3">
        <w:rPr>
          <w:rFonts w:ascii="Arial" w:hAnsi="Arial" w:cs="Arial"/>
          <w:lang w:val="es-CR"/>
        </w:rPr>
        <w:t xml:space="preserve">2000 </w:t>
      </w:r>
      <w:r w:rsidR="00DB2C02">
        <w:rPr>
          <w:rFonts w:ascii="Arial" w:hAnsi="Arial" w:cs="Arial"/>
          <w:lang w:val="es-CR"/>
        </w:rPr>
        <w:t xml:space="preserve">y el </w:t>
      </w:r>
      <w:r w:rsidR="00CB5EE3" w:rsidRPr="00CB5EE3">
        <w:rPr>
          <w:rFonts w:ascii="Arial" w:hAnsi="Arial" w:cs="Arial"/>
          <w:lang w:val="es-CR"/>
        </w:rPr>
        <w:t xml:space="preserve">2011, </w:t>
      </w:r>
      <w:r w:rsidR="00DB2C02">
        <w:rPr>
          <w:rFonts w:ascii="Arial" w:hAnsi="Arial" w:cs="Arial"/>
          <w:lang w:val="es-CR"/>
        </w:rPr>
        <w:t xml:space="preserve">lo que indica que </w:t>
      </w:r>
      <w:r w:rsidR="00CB5EE3" w:rsidRPr="00CB5EE3">
        <w:rPr>
          <w:rFonts w:ascii="Arial" w:hAnsi="Arial" w:cs="Arial"/>
          <w:lang w:val="es-CR"/>
        </w:rPr>
        <w:t xml:space="preserve">actualmente hay 47 personas dependientes, por cada 100 económicamente productivas. </w:t>
      </w:r>
    </w:p>
    <w:p w:rsidR="00CB5EE3" w:rsidRPr="003A05DB" w:rsidRDefault="00CB5EE3" w:rsidP="001C6615">
      <w:pPr>
        <w:spacing w:line="360" w:lineRule="auto"/>
        <w:jc w:val="both"/>
        <w:rPr>
          <w:rFonts w:ascii="Arial" w:hAnsi="Arial" w:cs="Arial"/>
          <w:lang w:val="es-ES"/>
        </w:rPr>
      </w:pPr>
    </w:p>
    <w:p w:rsidR="00DB2C02" w:rsidRDefault="001C6615" w:rsidP="00DB2C02">
      <w:pPr>
        <w:spacing w:after="240" w:line="276" w:lineRule="auto"/>
        <w:jc w:val="both"/>
        <w:rPr>
          <w:rFonts w:ascii="Arial" w:hAnsi="Arial" w:cs="Arial"/>
          <w:lang w:val="es-CR"/>
        </w:rPr>
      </w:pPr>
      <w:r w:rsidRPr="00A37C77">
        <w:rPr>
          <w:rFonts w:ascii="Arial" w:hAnsi="Arial" w:cs="Arial"/>
          <w:lang w:val="es-CR"/>
        </w:rPr>
        <w:t xml:space="preserve">Cuando la población en las edades más productivas (entre 18 y 45 años) crece más rápidamente que la población en edades dependientes, se conoce como </w:t>
      </w:r>
      <w:r w:rsidR="00DB2C02">
        <w:rPr>
          <w:rFonts w:ascii="Arial" w:hAnsi="Arial" w:cs="Arial"/>
          <w:lang w:val="es-CR"/>
        </w:rPr>
        <w:t>“</w:t>
      </w:r>
      <w:r w:rsidRPr="00DB2C02">
        <w:rPr>
          <w:rFonts w:ascii="Arial" w:hAnsi="Arial" w:cs="Arial"/>
          <w:i/>
          <w:lang w:val="es-CR"/>
        </w:rPr>
        <w:t>bono demográfico</w:t>
      </w:r>
      <w:r w:rsidR="00DB2C02">
        <w:rPr>
          <w:rFonts w:ascii="Arial" w:hAnsi="Arial" w:cs="Arial"/>
          <w:lang w:val="es-CR"/>
        </w:rPr>
        <w:t>”</w:t>
      </w:r>
      <w:r w:rsidRPr="00A37C77">
        <w:rPr>
          <w:rFonts w:ascii="Arial" w:hAnsi="Arial" w:cs="Arial"/>
          <w:lang w:val="es-CR"/>
        </w:rPr>
        <w:t>, esto se refleja como un abultamiento en la pirámide poblacional entre los 18 y 45 años. El bono demográfico es producto del mayor crecimiento de los productores potenciales, personas en edad de trabajar, respecto a los consumidores potenciales</w:t>
      </w:r>
      <w:r w:rsidRPr="00C02692">
        <w:rPr>
          <w:rStyle w:val="Refdenotaalpie"/>
          <w:rFonts w:ascii="Arial" w:hAnsi="Arial" w:cs="Arial"/>
          <w:lang w:val="es-CR"/>
        </w:rPr>
        <w:footnoteReference w:id="1"/>
      </w:r>
      <w:r w:rsidRPr="00C02692">
        <w:rPr>
          <w:rFonts w:ascii="Arial" w:hAnsi="Arial" w:cs="Arial"/>
          <w:lang w:val="es-CR"/>
        </w:rPr>
        <w:t>. E</w:t>
      </w:r>
      <w:r w:rsidRPr="00A37C77">
        <w:rPr>
          <w:rFonts w:ascii="Arial" w:hAnsi="Arial" w:cs="Arial"/>
          <w:lang w:val="es-CR"/>
        </w:rPr>
        <w:t>n Costa Rica, el bono demográfico inició en 1970 y se</w:t>
      </w:r>
      <w:r w:rsidR="00A37C77">
        <w:rPr>
          <w:rFonts w:ascii="Arial" w:hAnsi="Arial" w:cs="Arial"/>
          <w:lang w:val="es-CR"/>
        </w:rPr>
        <w:t xml:space="preserve"> espera que finalice en el 2025. </w:t>
      </w:r>
      <w:r w:rsidRPr="00A37C77">
        <w:rPr>
          <w:rFonts w:ascii="Arial" w:hAnsi="Arial" w:cs="Arial"/>
          <w:lang w:val="es-CR"/>
        </w:rPr>
        <w:t xml:space="preserve">Durante la etapa del bono, se puede generar un mayor crecimiento económico y bienestar de los hogares; sin embargo, estas oportunidades son potenciales, dado que dependen de </w:t>
      </w:r>
      <w:r w:rsidR="00DB2C02">
        <w:rPr>
          <w:rFonts w:ascii="Arial" w:hAnsi="Arial" w:cs="Arial"/>
          <w:lang w:val="es-CR"/>
        </w:rPr>
        <w:t xml:space="preserve">que </w:t>
      </w:r>
      <w:r w:rsidRPr="00A37C77">
        <w:rPr>
          <w:rFonts w:ascii="Arial" w:hAnsi="Arial" w:cs="Arial"/>
          <w:lang w:val="es-CR"/>
        </w:rPr>
        <w:t xml:space="preserve">las políticas públicas </w:t>
      </w:r>
      <w:r w:rsidR="00DB2C02">
        <w:rPr>
          <w:rFonts w:ascii="Arial" w:hAnsi="Arial" w:cs="Arial"/>
          <w:lang w:val="es-CR"/>
        </w:rPr>
        <w:t xml:space="preserve">que </w:t>
      </w:r>
      <w:r w:rsidRPr="00A37C77">
        <w:rPr>
          <w:rFonts w:ascii="Arial" w:hAnsi="Arial" w:cs="Arial"/>
          <w:lang w:val="es-CR"/>
        </w:rPr>
        <w:t>se implementen</w:t>
      </w:r>
      <w:r w:rsidR="00DB2C02">
        <w:rPr>
          <w:rFonts w:ascii="Arial" w:hAnsi="Arial" w:cs="Arial"/>
          <w:lang w:val="es-CR"/>
        </w:rPr>
        <w:t>,</w:t>
      </w:r>
      <w:r w:rsidRPr="00A37C77">
        <w:rPr>
          <w:rFonts w:ascii="Arial" w:hAnsi="Arial" w:cs="Arial"/>
          <w:lang w:val="es-CR"/>
        </w:rPr>
        <w:t xml:space="preserve"> sepan aprovechar esta oportunidad demográfica. </w:t>
      </w:r>
    </w:p>
    <w:p w:rsidR="001C6615" w:rsidRPr="00A37C77" w:rsidRDefault="001C6615" w:rsidP="00A37C77">
      <w:pPr>
        <w:spacing w:line="276" w:lineRule="auto"/>
        <w:jc w:val="both"/>
        <w:rPr>
          <w:rFonts w:ascii="Arial" w:hAnsi="Arial" w:cs="Arial"/>
          <w:lang w:val="es-CR"/>
        </w:rPr>
      </w:pPr>
      <w:r w:rsidRPr="00A37C77">
        <w:rPr>
          <w:rFonts w:ascii="Arial" w:hAnsi="Arial" w:cs="Arial"/>
          <w:lang w:val="es-CR"/>
        </w:rPr>
        <w:t>A partir del 2025 inicia una etapa de “antibono”, cuando los consumidores crecerán más rápido respecto a los productores potenciales, lo cual significa un reto para el financiamiento de las personas económicamente dependientes.</w:t>
      </w:r>
    </w:p>
    <w:p w:rsidR="003B5ACE" w:rsidRDefault="003B5ACE">
      <w:pPr>
        <w:spacing w:after="160" w:line="259" w:lineRule="auto"/>
        <w:rPr>
          <w:rFonts w:ascii="Arial" w:hAnsi="Arial" w:cs="Arial"/>
          <w:lang w:val="es-CR"/>
        </w:rPr>
      </w:pPr>
      <w:r>
        <w:rPr>
          <w:rFonts w:ascii="Arial" w:hAnsi="Arial" w:cs="Arial"/>
          <w:lang w:val="es-CR"/>
        </w:rPr>
        <w:br w:type="page"/>
      </w:r>
    </w:p>
    <w:p w:rsidR="001C6615" w:rsidRPr="00A37C77" w:rsidRDefault="001C6615" w:rsidP="00A37C77">
      <w:pPr>
        <w:spacing w:line="276" w:lineRule="auto"/>
        <w:jc w:val="both"/>
        <w:rPr>
          <w:rFonts w:ascii="Arial" w:hAnsi="Arial" w:cs="Arial"/>
          <w:lang w:val="es-CR"/>
        </w:rPr>
      </w:pPr>
    </w:p>
    <w:p w:rsidR="00A37C77" w:rsidRPr="00DB2C02" w:rsidRDefault="00DB2C02" w:rsidP="00A37C77">
      <w:pPr>
        <w:spacing w:line="276" w:lineRule="auto"/>
        <w:jc w:val="center"/>
        <w:rPr>
          <w:rFonts w:ascii="Arial" w:hAnsi="Arial" w:cs="Arial"/>
          <w:b/>
          <w:lang w:val="es-CR"/>
        </w:rPr>
      </w:pPr>
      <w:r w:rsidRPr="00DB2C02">
        <w:rPr>
          <w:rFonts w:ascii="Arial" w:hAnsi="Arial" w:cs="Arial"/>
          <w:b/>
          <w:lang w:val="es-CR"/>
        </w:rPr>
        <w:t>Gráfico 2</w:t>
      </w:r>
    </w:p>
    <w:p w:rsidR="001C6615" w:rsidRPr="00A37C77" w:rsidRDefault="00A37C77" w:rsidP="00A37C77">
      <w:pPr>
        <w:spacing w:line="276" w:lineRule="auto"/>
        <w:jc w:val="center"/>
        <w:rPr>
          <w:rFonts w:ascii="Arial" w:hAnsi="Arial" w:cs="Arial"/>
          <w:b/>
          <w:lang w:val="es-CR"/>
        </w:rPr>
      </w:pPr>
      <w:r>
        <w:rPr>
          <w:rFonts w:ascii="Arial" w:hAnsi="Arial" w:cs="Arial"/>
          <w:b/>
          <w:lang w:val="es-CR"/>
        </w:rPr>
        <w:t xml:space="preserve">Costa Rica: </w:t>
      </w:r>
      <w:r w:rsidR="001C6615" w:rsidRPr="00A37C77">
        <w:rPr>
          <w:rFonts w:ascii="Arial" w:hAnsi="Arial" w:cs="Arial"/>
          <w:b/>
          <w:lang w:val="es-CR"/>
        </w:rPr>
        <w:t>Bono demográfico, 1950-2100</w:t>
      </w:r>
    </w:p>
    <w:p w:rsidR="001C6615" w:rsidRPr="00DF283A" w:rsidRDefault="001C6615" w:rsidP="004758C5">
      <w:pPr>
        <w:spacing w:line="360" w:lineRule="auto"/>
        <w:jc w:val="center"/>
        <w:rPr>
          <w:rFonts w:ascii="Arial" w:hAnsi="Arial" w:cs="Arial"/>
        </w:rPr>
      </w:pPr>
      <w:r w:rsidRPr="00DF283A">
        <w:rPr>
          <w:rFonts w:ascii="Arial" w:hAnsi="Arial" w:cs="Arial"/>
          <w:noProof/>
          <w:lang w:val="es-CR" w:eastAsia="es-CR"/>
        </w:rPr>
        <w:drawing>
          <wp:inline distT="0" distB="0" distL="0" distR="0" wp14:anchorId="6B3AE6FB" wp14:editId="4DBC2C96">
            <wp:extent cx="4487199" cy="5199072"/>
            <wp:effectExtent l="0" t="0" r="889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05077" cy="5219786"/>
                    </a:xfrm>
                    <a:prstGeom prst="rect">
                      <a:avLst/>
                    </a:prstGeom>
                  </pic:spPr>
                </pic:pic>
              </a:graphicData>
            </a:graphic>
          </wp:inline>
        </w:drawing>
      </w:r>
    </w:p>
    <w:p w:rsidR="001C6615" w:rsidRPr="00DF283A" w:rsidRDefault="001C6615" w:rsidP="003B5ACE">
      <w:pPr>
        <w:pStyle w:val="Default"/>
        <w:jc w:val="right"/>
        <w:rPr>
          <w:rFonts w:ascii="Arial" w:hAnsi="Arial" w:cs="Arial"/>
          <w:sz w:val="20"/>
          <w:szCs w:val="20"/>
        </w:rPr>
      </w:pPr>
      <w:r w:rsidRPr="003B5ACE">
        <w:rPr>
          <w:rFonts w:ascii="Arial" w:hAnsi="Arial" w:cs="Arial"/>
          <w:b/>
          <w:sz w:val="20"/>
          <w:szCs w:val="20"/>
        </w:rPr>
        <w:t>Fuente:</w:t>
      </w:r>
      <w:r w:rsidRPr="00DF283A">
        <w:rPr>
          <w:rFonts w:ascii="Arial" w:hAnsi="Arial" w:cs="Arial"/>
          <w:sz w:val="20"/>
          <w:szCs w:val="20"/>
        </w:rPr>
        <w:t xml:space="preserve"> Cambio demográfico y</w:t>
      </w:r>
      <w:r w:rsidR="00DB2C02">
        <w:rPr>
          <w:rFonts w:ascii="Arial" w:hAnsi="Arial" w:cs="Arial"/>
          <w:sz w:val="20"/>
          <w:szCs w:val="20"/>
        </w:rPr>
        <w:t xml:space="preserve"> </w:t>
      </w:r>
      <w:r w:rsidRPr="00DF283A">
        <w:rPr>
          <w:rFonts w:ascii="Arial" w:hAnsi="Arial" w:cs="Arial"/>
          <w:sz w:val="20"/>
          <w:szCs w:val="20"/>
        </w:rPr>
        <w:t>transferencias generacionales en Costa Rica, 2017.</w:t>
      </w:r>
    </w:p>
    <w:p w:rsidR="001C6615" w:rsidRDefault="001C6615" w:rsidP="001C6615">
      <w:pPr>
        <w:pStyle w:val="Default"/>
        <w:rPr>
          <w:rFonts w:ascii="Arial" w:hAnsi="Arial" w:cs="Arial"/>
        </w:rPr>
      </w:pPr>
    </w:p>
    <w:p w:rsidR="00B90470" w:rsidRDefault="00B90470">
      <w:pPr>
        <w:spacing w:after="160" w:line="259" w:lineRule="auto"/>
        <w:rPr>
          <w:rFonts w:ascii="Arial" w:eastAsiaTheme="minorHAnsi" w:hAnsi="Arial" w:cs="Arial"/>
          <w:color w:val="000000"/>
          <w:lang w:val="es-ES"/>
        </w:rPr>
      </w:pPr>
      <w:r w:rsidRPr="003A05DB">
        <w:rPr>
          <w:rFonts w:ascii="Arial" w:hAnsi="Arial" w:cs="Arial"/>
          <w:lang w:val="es-ES"/>
        </w:rPr>
        <w:br w:type="page"/>
      </w:r>
    </w:p>
    <w:p w:rsidR="001C6615" w:rsidRPr="003A05DB" w:rsidRDefault="00BC70A3" w:rsidP="003B5ACE">
      <w:pPr>
        <w:pStyle w:val="Ttulo2"/>
        <w:spacing w:after="240"/>
        <w:rPr>
          <w:rFonts w:ascii="Arial" w:hAnsi="Arial" w:cs="Arial"/>
          <w:color w:val="auto"/>
          <w:lang w:val="es-ES"/>
        </w:rPr>
      </w:pPr>
      <w:bookmarkStart w:id="4" w:name="_Toc7439648"/>
      <w:r w:rsidRPr="003A05DB">
        <w:rPr>
          <w:rFonts w:ascii="Arial" w:hAnsi="Arial" w:cs="Arial"/>
          <w:b/>
          <w:color w:val="auto"/>
          <w:lang w:val="es-ES"/>
        </w:rPr>
        <w:lastRenderedPageBreak/>
        <w:t>F</w:t>
      </w:r>
      <w:r w:rsidR="00B90470" w:rsidRPr="003A05DB">
        <w:rPr>
          <w:rFonts w:ascii="Arial" w:hAnsi="Arial" w:cs="Arial"/>
          <w:b/>
          <w:color w:val="auto"/>
          <w:lang w:val="es-ES"/>
        </w:rPr>
        <w:t>ecundidad</w:t>
      </w:r>
      <w:bookmarkEnd w:id="4"/>
    </w:p>
    <w:p w:rsidR="00B90470" w:rsidRDefault="001C6615" w:rsidP="00B90470">
      <w:pPr>
        <w:spacing w:after="240" w:line="276" w:lineRule="auto"/>
        <w:jc w:val="both"/>
        <w:rPr>
          <w:rFonts w:ascii="Arial" w:hAnsi="Arial" w:cs="Arial"/>
          <w:color w:val="000000"/>
          <w:lang w:val="es-CR"/>
        </w:rPr>
      </w:pPr>
      <w:r w:rsidRPr="00BC70A3">
        <w:rPr>
          <w:rFonts w:ascii="Arial" w:hAnsi="Arial" w:cs="Arial"/>
          <w:color w:val="000000"/>
          <w:lang w:val="es-CR"/>
        </w:rPr>
        <w:t>En el 201</w:t>
      </w:r>
      <w:r w:rsidR="00BC70A3" w:rsidRPr="00BC70A3">
        <w:rPr>
          <w:rFonts w:ascii="Arial" w:hAnsi="Arial" w:cs="Arial"/>
          <w:color w:val="000000"/>
          <w:lang w:val="es-CR"/>
        </w:rPr>
        <w:t>8</w:t>
      </w:r>
      <w:r w:rsidRPr="00BC70A3">
        <w:rPr>
          <w:rFonts w:ascii="Arial" w:hAnsi="Arial" w:cs="Arial"/>
          <w:color w:val="000000"/>
          <w:lang w:val="es-CR"/>
        </w:rPr>
        <w:t xml:space="preserve"> hubo 68</w:t>
      </w:r>
      <w:r w:rsidR="00B90470">
        <w:rPr>
          <w:rFonts w:ascii="Arial" w:hAnsi="Arial" w:cs="Arial"/>
          <w:color w:val="000000"/>
          <w:lang w:val="es-CR"/>
        </w:rPr>
        <w:t>.</w:t>
      </w:r>
      <w:r w:rsidR="00BC70A3" w:rsidRPr="00BC70A3">
        <w:rPr>
          <w:rFonts w:ascii="Arial" w:hAnsi="Arial" w:cs="Arial"/>
          <w:color w:val="000000"/>
          <w:lang w:val="es-CR"/>
        </w:rPr>
        <w:t>098</w:t>
      </w:r>
      <w:r w:rsidRPr="00BC70A3">
        <w:rPr>
          <w:rFonts w:ascii="Arial" w:hAnsi="Arial" w:cs="Arial"/>
          <w:color w:val="000000"/>
          <w:lang w:val="es-CR"/>
        </w:rPr>
        <w:t xml:space="preserve"> nacimientos, la cifra más baja de nacimientos que ha habido en los últimos veinte años; </w:t>
      </w:r>
      <w:r w:rsidR="00BC70A3">
        <w:rPr>
          <w:rFonts w:ascii="Arial" w:hAnsi="Arial" w:cs="Arial"/>
          <w:color w:val="000000"/>
          <w:lang w:val="es-CR"/>
        </w:rPr>
        <w:t>2</w:t>
      </w:r>
      <w:r w:rsidR="00B90470">
        <w:rPr>
          <w:rFonts w:ascii="Arial" w:hAnsi="Arial" w:cs="Arial"/>
          <w:color w:val="000000"/>
          <w:lang w:val="es-CR"/>
        </w:rPr>
        <w:t>.</w:t>
      </w:r>
      <w:r w:rsidR="00BC70A3">
        <w:rPr>
          <w:rFonts w:ascii="Arial" w:hAnsi="Arial" w:cs="Arial"/>
          <w:color w:val="000000"/>
          <w:lang w:val="es-CR"/>
        </w:rPr>
        <w:t>114</w:t>
      </w:r>
      <w:r w:rsidRPr="00BC70A3">
        <w:rPr>
          <w:rFonts w:ascii="Arial" w:hAnsi="Arial" w:cs="Arial"/>
          <w:color w:val="000000"/>
          <w:lang w:val="es-CR"/>
        </w:rPr>
        <w:t xml:space="preserve"> nacimientos </w:t>
      </w:r>
      <w:r w:rsidR="00BC70A3">
        <w:rPr>
          <w:rFonts w:ascii="Arial" w:hAnsi="Arial" w:cs="Arial"/>
          <w:color w:val="000000"/>
          <w:lang w:val="es-CR"/>
        </w:rPr>
        <w:t xml:space="preserve">menos </w:t>
      </w:r>
      <w:r w:rsidRPr="00BC70A3">
        <w:rPr>
          <w:rFonts w:ascii="Arial" w:hAnsi="Arial" w:cs="Arial"/>
          <w:color w:val="000000"/>
          <w:lang w:val="es-CR"/>
        </w:rPr>
        <w:t>con respecto a</w:t>
      </w:r>
      <w:r w:rsidR="00B90470">
        <w:rPr>
          <w:rFonts w:ascii="Arial" w:hAnsi="Arial" w:cs="Arial"/>
          <w:color w:val="000000"/>
          <w:lang w:val="es-CR"/>
        </w:rPr>
        <w:t>l</w:t>
      </w:r>
      <w:r w:rsidRPr="00BC70A3">
        <w:rPr>
          <w:rFonts w:ascii="Arial" w:hAnsi="Arial" w:cs="Arial"/>
          <w:color w:val="000000"/>
          <w:lang w:val="es-CR"/>
        </w:rPr>
        <w:t xml:space="preserve"> 2013. </w:t>
      </w:r>
    </w:p>
    <w:p w:rsidR="001C6615" w:rsidRPr="00BC70A3" w:rsidRDefault="001C6615" w:rsidP="00BC70A3">
      <w:pPr>
        <w:spacing w:line="276" w:lineRule="auto"/>
        <w:jc w:val="both"/>
        <w:rPr>
          <w:rFonts w:ascii="Arial" w:hAnsi="Arial" w:cs="Arial"/>
          <w:color w:val="000000"/>
          <w:lang w:val="es-CR"/>
        </w:rPr>
      </w:pPr>
      <w:r w:rsidRPr="00BC70A3">
        <w:rPr>
          <w:rFonts w:ascii="Arial" w:hAnsi="Arial" w:cs="Arial"/>
          <w:color w:val="000000"/>
          <w:lang w:val="es-CR"/>
        </w:rPr>
        <w:t>Al hacer la relación con la cantidad de habitantes, para el 201</w:t>
      </w:r>
      <w:r w:rsidR="002C7321">
        <w:rPr>
          <w:rFonts w:ascii="Arial" w:hAnsi="Arial" w:cs="Arial"/>
          <w:color w:val="000000"/>
          <w:lang w:val="es-CR"/>
        </w:rPr>
        <w:t>8</w:t>
      </w:r>
      <w:r w:rsidRPr="00BC70A3">
        <w:rPr>
          <w:rFonts w:ascii="Arial" w:hAnsi="Arial" w:cs="Arial"/>
          <w:color w:val="000000"/>
          <w:lang w:val="es-CR"/>
        </w:rPr>
        <w:t xml:space="preserve"> hubo 13,</w:t>
      </w:r>
      <w:r w:rsidR="002C7321">
        <w:rPr>
          <w:rFonts w:ascii="Arial" w:hAnsi="Arial" w:cs="Arial"/>
          <w:color w:val="000000"/>
          <w:lang w:val="es-CR"/>
        </w:rPr>
        <w:t>61</w:t>
      </w:r>
      <w:r w:rsidRPr="00BC70A3">
        <w:rPr>
          <w:rFonts w:ascii="Arial" w:hAnsi="Arial" w:cs="Arial"/>
          <w:color w:val="000000"/>
          <w:lang w:val="es-CR"/>
        </w:rPr>
        <w:t xml:space="preserve"> nacimientos por mil personas residentes en Costa Rica, siendo la tasa bruta de natalidad más baja de las últimas dos décadas.</w:t>
      </w:r>
    </w:p>
    <w:p w:rsidR="001C6615" w:rsidRPr="003A05DB" w:rsidRDefault="001C6615" w:rsidP="00BC70A3">
      <w:pPr>
        <w:spacing w:line="276" w:lineRule="auto"/>
        <w:jc w:val="both"/>
        <w:rPr>
          <w:rFonts w:ascii="Arial" w:hAnsi="Arial" w:cs="Arial"/>
          <w:lang w:val="es-ES"/>
        </w:rPr>
      </w:pPr>
    </w:p>
    <w:p w:rsidR="00BF5A83" w:rsidRPr="003B5ACE" w:rsidRDefault="003B5ACE" w:rsidP="0066355C">
      <w:pPr>
        <w:jc w:val="center"/>
        <w:rPr>
          <w:rFonts w:ascii="Arial" w:hAnsi="Arial" w:cs="Arial"/>
          <w:b/>
          <w:lang w:val="es-CR"/>
        </w:rPr>
      </w:pPr>
      <w:r w:rsidRPr="003B5ACE">
        <w:rPr>
          <w:rFonts w:ascii="Arial" w:hAnsi="Arial" w:cs="Arial"/>
          <w:b/>
          <w:lang w:val="es-CR"/>
        </w:rPr>
        <w:t xml:space="preserve">Cuadro </w:t>
      </w:r>
      <w:r w:rsidR="00BF5A83" w:rsidRPr="003B5ACE">
        <w:rPr>
          <w:rFonts w:ascii="Arial" w:hAnsi="Arial" w:cs="Arial"/>
          <w:b/>
          <w:lang w:val="es-CR"/>
        </w:rPr>
        <w:t>2</w:t>
      </w:r>
    </w:p>
    <w:p w:rsidR="00BF5A83" w:rsidRPr="0084491D" w:rsidRDefault="00BF5A83" w:rsidP="0066355C">
      <w:pPr>
        <w:jc w:val="center"/>
        <w:rPr>
          <w:rFonts w:ascii="Arial" w:hAnsi="Arial" w:cs="Arial"/>
          <w:b/>
          <w:lang w:val="es-CR"/>
        </w:rPr>
      </w:pPr>
      <w:r w:rsidRPr="0084491D">
        <w:rPr>
          <w:rFonts w:ascii="Arial" w:hAnsi="Arial" w:cs="Arial"/>
          <w:b/>
          <w:lang w:val="es-CR"/>
        </w:rPr>
        <w:t>Costa Rica: Población, nacimientos, tasa bruta de natalidad (TBN) y tasa global de fecundidad (TGF), 2013-2017</w:t>
      </w:r>
    </w:p>
    <w:p w:rsidR="00BC70A3" w:rsidRPr="0084491D" w:rsidRDefault="00BF5A83" w:rsidP="0066355C">
      <w:pPr>
        <w:jc w:val="center"/>
        <w:rPr>
          <w:rFonts w:ascii="Arial" w:hAnsi="Arial" w:cs="Arial"/>
          <w:sz w:val="22"/>
          <w:lang w:val="es-CR"/>
        </w:rPr>
      </w:pPr>
      <w:r w:rsidRPr="00B93ED1">
        <w:rPr>
          <w:rFonts w:ascii="Arial" w:hAnsi="Arial" w:cs="Arial"/>
          <w:lang w:val="es-CR"/>
        </w:rPr>
        <w:t>(</w:t>
      </w:r>
      <w:r w:rsidRPr="00B90470">
        <w:rPr>
          <w:rFonts w:ascii="Arial" w:hAnsi="Arial" w:cs="Arial"/>
          <w:sz w:val="22"/>
          <w:szCs w:val="22"/>
          <w:lang w:val="es-CR"/>
        </w:rPr>
        <w:t>TBN por mil habitantes, TGF por mujer</w:t>
      </w:r>
      <w:r w:rsidRPr="0084491D">
        <w:rPr>
          <w:rFonts w:ascii="Arial" w:hAnsi="Arial" w:cs="Arial"/>
          <w:sz w:val="22"/>
          <w:lang w:val="es-CR"/>
        </w:rPr>
        <w:t>)</w:t>
      </w:r>
    </w:p>
    <w:p w:rsidR="00BC70A3" w:rsidRPr="003A05DB" w:rsidRDefault="00BC70A3" w:rsidP="00BC70A3">
      <w:pPr>
        <w:spacing w:line="276" w:lineRule="auto"/>
        <w:jc w:val="both"/>
        <w:rPr>
          <w:rFonts w:ascii="Arial" w:hAnsi="Arial" w:cs="Arial"/>
          <w:lang w:val="es-ES"/>
        </w:rPr>
      </w:pPr>
    </w:p>
    <w:tbl>
      <w:tblPr>
        <w:tblW w:w="8312" w:type="dxa"/>
        <w:tblCellMar>
          <w:left w:w="70" w:type="dxa"/>
          <w:right w:w="70" w:type="dxa"/>
        </w:tblCellMar>
        <w:tblLook w:val="04A0" w:firstRow="1" w:lastRow="0" w:firstColumn="1" w:lastColumn="0" w:noHBand="0" w:noVBand="1"/>
      </w:tblPr>
      <w:tblGrid>
        <w:gridCol w:w="1663"/>
        <w:gridCol w:w="1663"/>
        <w:gridCol w:w="1662"/>
        <w:gridCol w:w="1662"/>
        <w:gridCol w:w="1662"/>
      </w:tblGrid>
      <w:tr w:rsidR="001C6615" w:rsidRPr="002511BF" w:rsidTr="00EF3FBA">
        <w:trPr>
          <w:trHeight w:val="384"/>
        </w:trPr>
        <w:tc>
          <w:tcPr>
            <w:tcW w:w="1663"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Año</w:t>
            </w:r>
          </w:p>
        </w:tc>
        <w:tc>
          <w:tcPr>
            <w:tcW w:w="1663"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Población</w:t>
            </w:r>
          </w:p>
        </w:tc>
        <w:tc>
          <w:tcPr>
            <w:tcW w:w="1662"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Nacimientos</w:t>
            </w:r>
          </w:p>
        </w:tc>
        <w:tc>
          <w:tcPr>
            <w:tcW w:w="1662" w:type="dxa"/>
            <w:tcBorders>
              <w:top w:val="single" w:sz="4" w:space="0" w:color="auto"/>
              <w:left w:val="nil"/>
              <w:bottom w:val="nil"/>
              <w:right w:val="nil"/>
            </w:tcBorders>
            <w:shd w:val="clear" w:color="auto" w:fill="D5DCE4" w:themeFill="text2" w:themeFillTint="33"/>
            <w:noWrap/>
            <w:vAlign w:val="center"/>
            <w:hideMark/>
          </w:tcPr>
          <w:p w:rsidR="001C6615" w:rsidRPr="002511BF" w:rsidRDefault="001C6615" w:rsidP="00475BBF">
            <w:pPr>
              <w:rPr>
                <w:rFonts w:ascii="Arial" w:hAnsi="Arial" w:cs="Arial"/>
                <w:b/>
                <w:color w:val="000000"/>
                <w:sz w:val="20"/>
                <w:szCs w:val="20"/>
                <w:lang w:val="es-ES" w:eastAsia="es-ES"/>
              </w:rPr>
            </w:pPr>
            <w:r w:rsidRPr="002511BF">
              <w:rPr>
                <w:rFonts w:ascii="Arial" w:hAnsi="Arial" w:cs="Arial"/>
                <w:b/>
                <w:color w:val="000000"/>
                <w:sz w:val="20"/>
                <w:szCs w:val="20"/>
                <w:lang w:val="es-ES" w:eastAsia="es-ES"/>
              </w:rPr>
              <w:t>Tasa bruta de</w:t>
            </w:r>
          </w:p>
        </w:tc>
        <w:tc>
          <w:tcPr>
            <w:tcW w:w="1662" w:type="dxa"/>
            <w:tcBorders>
              <w:top w:val="single" w:sz="4" w:space="0" w:color="auto"/>
              <w:left w:val="nil"/>
              <w:bottom w:val="nil"/>
              <w:right w:val="nil"/>
            </w:tcBorders>
            <w:shd w:val="clear" w:color="auto" w:fill="D5DCE4" w:themeFill="text2" w:themeFillTint="33"/>
            <w:vAlign w:val="center"/>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Tasa global de</w:t>
            </w:r>
          </w:p>
        </w:tc>
      </w:tr>
      <w:tr w:rsidR="001C6615" w:rsidRPr="002511BF" w:rsidTr="00EF3FBA">
        <w:trPr>
          <w:trHeight w:val="384"/>
        </w:trPr>
        <w:tc>
          <w:tcPr>
            <w:tcW w:w="1663" w:type="dxa"/>
            <w:vMerge/>
            <w:tcBorders>
              <w:top w:val="nil"/>
              <w:left w:val="nil"/>
              <w:bottom w:val="single" w:sz="4" w:space="0" w:color="000000"/>
              <w:right w:val="nil"/>
            </w:tcBorders>
            <w:shd w:val="clear" w:color="auto" w:fill="D5DCE4" w:themeFill="text2" w:themeFillTint="33"/>
            <w:vAlign w:val="center"/>
            <w:hideMark/>
          </w:tcPr>
          <w:p w:rsidR="001C6615" w:rsidRPr="002511BF" w:rsidRDefault="001C6615" w:rsidP="00475BBF">
            <w:pPr>
              <w:rPr>
                <w:rFonts w:ascii="Arial" w:hAnsi="Arial" w:cs="Arial"/>
                <w:b/>
                <w:color w:val="000000"/>
                <w:sz w:val="20"/>
                <w:szCs w:val="20"/>
                <w:lang w:val="es-ES" w:eastAsia="es-ES"/>
              </w:rPr>
            </w:pPr>
          </w:p>
        </w:tc>
        <w:tc>
          <w:tcPr>
            <w:tcW w:w="1663" w:type="dxa"/>
            <w:vMerge/>
            <w:tcBorders>
              <w:top w:val="nil"/>
              <w:left w:val="nil"/>
              <w:bottom w:val="single" w:sz="4" w:space="0" w:color="000000"/>
              <w:right w:val="nil"/>
            </w:tcBorders>
            <w:shd w:val="clear" w:color="auto" w:fill="D5DCE4" w:themeFill="text2" w:themeFillTint="33"/>
            <w:vAlign w:val="center"/>
            <w:hideMark/>
          </w:tcPr>
          <w:p w:rsidR="001C6615" w:rsidRPr="002511BF" w:rsidRDefault="001C6615" w:rsidP="00475BBF">
            <w:pPr>
              <w:rPr>
                <w:rFonts w:ascii="Arial" w:hAnsi="Arial" w:cs="Arial"/>
                <w:b/>
                <w:color w:val="000000"/>
                <w:sz w:val="20"/>
                <w:szCs w:val="20"/>
                <w:lang w:val="es-ES" w:eastAsia="es-ES"/>
              </w:rPr>
            </w:pPr>
          </w:p>
        </w:tc>
        <w:tc>
          <w:tcPr>
            <w:tcW w:w="1662" w:type="dxa"/>
            <w:vMerge/>
            <w:tcBorders>
              <w:top w:val="nil"/>
              <w:left w:val="nil"/>
              <w:bottom w:val="single" w:sz="4" w:space="0" w:color="000000"/>
              <w:right w:val="nil"/>
            </w:tcBorders>
            <w:shd w:val="clear" w:color="auto" w:fill="D5DCE4" w:themeFill="text2" w:themeFillTint="33"/>
            <w:vAlign w:val="center"/>
            <w:hideMark/>
          </w:tcPr>
          <w:p w:rsidR="001C6615" w:rsidRPr="002511BF" w:rsidRDefault="001C6615" w:rsidP="00475BBF">
            <w:pPr>
              <w:rPr>
                <w:rFonts w:ascii="Arial" w:hAnsi="Arial" w:cs="Arial"/>
                <w:b/>
                <w:color w:val="000000"/>
                <w:sz w:val="20"/>
                <w:szCs w:val="20"/>
                <w:lang w:val="es-ES" w:eastAsia="es-ES"/>
              </w:rPr>
            </w:pPr>
          </w:p>
        </w:tc>
        <w:tc>
          <w:tcPr>
            <w:tcW w:w="1662" w:type="dxa"/>
            <w:tcBorders>
              <w:top w:val="nil"/>
              <w:left w:val="nil"/>
              <w:bottom w:val="single" w:sz="4" w:space="0" w:color="auto"/>
              <w:right w:val="nil"/>
            </w:tcBorders>
            <w:shd w:val="clear" w:color="auto" w:fill="D5DCE4" w:themeFill="text2" w:themeFillTint="33"/>
            <w:noWrap/>
            <w:vAlign w:val="center"/>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natalidad</w:t>
            </w:r>
          </w:p>
        </w:tc>
        <w:tc>
          <w:tcPr>
            <w:tcW w:w="1662" w:type="dxa"/>
            <w:tcBorders>
              <w:top w:val="nil"/>
              <w:left w:val="nil"/>
              <w:bottom w:val="single" w:sz="4" w:space="0" w:color="auto"/>
              <w:right w:val="nil"/>
            </w:tcBorders>
            <w:shd w:val="clear" w:color="auto" w:fill="D5DCE4" w:themeFill="text2" w:themeFillTint="33"/>
            <w:vAlign w:val="center"/>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fecundidad</w:t>
            </w:r>
          </w:p>
        </w:tc>
      </w:tr>
      <w:tr w:rsidR="001C6615" w:rsidRPr="002511BF" w:rsidTr="00475BBF">
        <w:trPr>
          <w:trHeight w:val="384"/>
        </w:trPr>
        <w:tc>
          <w:tcPr>
            <w:tcW w:w="1663" w:type="dxa"/>
            <w:tcBorders>
              <w:top w:val="nil"/>
              <w:left w:val="nil"/>
              <w:bottom w:val="nil"/>
              <w:right w:val="nil"/>
            </w:tcBorders>
            <w:shd w:val="clear" w:color="auto" w:fill="auto"/>
            <w:noWrap/>
            <w:vAlign w:val="bottom"/>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2013</w:t>
            </w:r>
          </w:p>
        </w:tc>
        <w:tc>
          <w:tcPr>
            <w:tcW w:w="1663" w:type="dxa"/>
            <w:tcBorders>
              <w:top w:val="nil"/>
              <w:left w:val="nil"/>
              <w:bottom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4.713.</w:t>
            </w:r>
            <w:r w:rsidR="001C6615" w:rsidRPr="002511BF">
              <w:rPr>
                <w:rFonts w:ascii="Arial" w:hAnsi="Arial" w:cs="Arial"/>
                <w:color w:val="000000"/>
                <w:sz w:val="20"/>
                <w:szCs w:val="20"/>
                <w:lang w:val="es-ES" w:eastAsia="es-ES"/>
              </w:rPr>
              <w:t>168</w:t>
            </w:r>
          </w:p>
        </w:tc>
        <w:tc>
          <w:tcPr>
            <w:tcW w:w="1662" w:type="dxa"/>
            <w:tcBorders>
              <w:top w:val="nil"/>
              <w:left w:val="nil"/>
              <w:bottom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70.</w:t>
            </w:r>
            <w:r w:rsidR="001C6615" w:rsidRPr="002511BF">
              <w:rPr>
                <w:rFonts w:ascii="Arial" w:hAnsi="Arial" w:cs="Arial"/>
                <w:color w:val="000000"/>
                <w:sz w:val="20"/>
                <w:szCs w:val="20"/>
                <w:lang w:val="es-ES" w:eastAsia="es-ES"/>
              </w:rPr>
              <w:t>550</w:t>
            </w:r>
          </w:p>
        </w:tc>
        <w:tc>
          <w:tcPr>
            <w:tcW w:w="1662" w:type="dxa"/>
            <w:tcBorders>
              <w:top w:val="nil"/>
              <w:left w:val="nil"/>
              <w:bottom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14,97</w:t>
            </w:r>
          </w:p>
        </w:tc>
        <w:tc>
          <w:tcPr>
            <w:tcW w:w="1662" w:type="dxa"/>
            <w:tcBorders>
              <w:top w:val="nil"/>
              <w:left w:val="nil"/>
              <w:bottom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1,76</w:t>
            </w:r>
          </w:p>
        </w:tc>
      </w:tr>
      <w:tr w:rsidR="001C6615" w:rsidRPr="002511BF" w:rsidTr="00475BBF">
        <w:trPr>
          <w:trHeight w:val="384"/>
        </w:trPr>
        <w:tc>
          <w:tcPr>
            <w:tcW w:w="1663" w:type="dxa"/>
            <w:tcBorders>
              <w:top w:val="nil"/>
              <w:left w:val="nil"/>
              <w:bottom w:val="nil"/>
              <w:right w:val="nil"/>
            </w:tcBorders>
            <w:shd w:val="clear" w:color="auto" w:fill="auto"/>
            <w:noWrap/>
            <w:vAlign w:val="bottom"/>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2014</w:t>
            </w:r>
          </w:p>
        </w:tc>
        <w:tc>
          <w:tcPr>
            <w:tcW w:w="1663" w:type="dxa"/>
            <w:tcBorders>
              <w:top w:val="nil"/>
              <w:left w:val="nil"/>
              <w:bottom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4.773.</w:t>
            </w:r>
            <w:r w:rsidR="001C6615" w:rsidRPr="002511BF">
              <w:rPr>
                <w:rFonts w:ascii="Arial" w:hAnsi="Arial" w:cs="Arial"/>
                <w:color w:val="000000"/>
                <w:sz w:val="20"/>
                <w:szCs w:val="20"/>
                <w:lang w:val="es-ES" w:eastAsia="es-ES"/>
              </w:rPr>
              <w:t>119</w:t>
            </w:r>
          </w:p>
        </w:tc>
        <w:tc>
          <w:tcPr>
            <w:tcW w:w="1662" w:type="dxa"/>
            <w:tcBorders>
              <w:top w:val="nil"/>
              <w:left w:val="nil"/>
              <w:bottom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71.</w:t>
            </w:r>
            <w:r w:rsidR="001C6615" w:rsidRPr="002511BF">
              <w:rPr>
                <w:rFonts w:ascii="Arial" w:hAnsi="Arial" w:cs="Arial"/>
                <w:color w:val="000000"/>
                <w:sz w:val="20"/>
                <w:szCs w:val="20"/>
                <w:lang w:val="es-ES" w:eastAsia="es-ES"/>
              </w:rPr>
              <w:t>793</w:t>
            </w:r>
          </w:p>
        </w:tc>
        <w:tc>
          <w:tcPr>
            <w:tcW w:w="1662" w:type="dxa"/>
            <w:tcBorders>
              <w:top w:val="nil"/>
              <w:left w:val="nil"/>
              <w:bottom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15,04</w:t>
            </w:r>
          </w:p>
        </w:tc>
        <w:tc>
          <w:tcPr>
            <w:tcW w:w="1662" w:type="dxa"/>
            <w:tcBorders>
              <w:top w:val="nil"/>
              <w:left w:val="nil"/>
              <w:bottom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1,77</w:t>
            </w:r>
          </w:p>
        </w:tc>
      </w:tr>
      <w:tr w:rsidR="001C6615" w:rsidRPr="002511BF" w:rsidTr="00475BBF">
        <w:trPr>
          <w:trHeight w:val="384"/>
        </w:trPr>
        <w:tc>
          <w:tcPr>
            <w:tcW w:w="1663" w:type="dxa"/>
            <w:tcBorders>
              <w:top w:val="nil"/>
              <w:left w:val="nil"/>
              <w:bottom w:val="nil"/>
              <w:right w:val="nil"/>
            </w:tcBorders>
            <w:shd w:val="clear" w:color="auto" w:fill="auto"/>
            <w:noWrap/>
            <w:vAlign w:val="bottom"/>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2015</w:t>
            </w:r>
          </w:p>
        </w:tc>
        <w:tc>
          <w:tcPr>
            <w:tcW w:w="1663" w:type="dxa"/>
            <w:tcBorders>
              <w:top w:val="nil"/>
              <w:left w:val="nil"/>
              <w:bottom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4.832.</w:t>
            </w:r>
            <w:r w:rsidR="001C6615" w:rsidRPr="002511BF">
              <w:rPr>
                <w:rFonts w:ascii="Arial" w:hAnsi="Arial" w:cs="Arial"/>
                <w:color w:val="000000"/>
                <w:sz w:val="20"/>
                <w:szCs w:val="20"/>
                <w:lang w:val="es-ES" w:eastAsia="es-ES"/>
              </w:rPr>
              <w:t>227</w:t>
            </w:r>
          </w:p>
        </w:tc>
        <w:tc>
          <w:tcPr>
            <w:tcW w:w="1662" w:type="dxa"/>
            <w:tcBorders>
              <w:top w:val="nil"/>
              <w:left w:val="nil"/>
              <w:bottom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71.</w:t>
            </w:r>
            <w:r w:rsidR="001C6615" w:rsidRPr="002511BF">
              <w:rPr>
                <w:rFonts w:ascii="Arial" w:hAnsi="Arial" w:cs="Arial"/>
                <w:color w:val="000000"/>
                <w:sz w:val="20"/>
                <w:szCs w:val="20"/>
                <w:lang w:val="es-ES" w:eastAsia="es-ES"/>
              </w:rPr>
              <w:t>819</w:t>
            </w:r>
          </w:p>
        </w:tc>
        <w:tc>
          <w:tcPr>
            <w:tcW w:w="1662" w:type="dxa"/>
            <w:tcBorders>
              <w:top w:val="nil"/>
              <w:left w:val="nil"/>
              <w:bottom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14,86</w:t>
            </w:r>
          </w:p>
        </w:tc>
        <w:tc>
          <w:tcPr>
            <w:tcW w:w="1662" w:type="dxa"/>
            <w:tcBorders>
              <w:top w:val="nil"/>
              <w:left w:val="nil"/>
              <w:bottom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1,76</w:t>
            </w:r>
          </w:p>
        </w:tc>
      </w:tr>
      <w:tr w:rsidR="001C6615" w:rsidRPr="002511BF" w:rsidTr="00BF5A83">
        <w:trPr>
          <w:trHeight w:val="384"/>
        </w:trPr>
        <w:tc>
          <w:tcPr>
            <w:tcW w:w="1663" w:type="dxa"/>
            <w:tcBorders>
              <w:top w:val="nil"/>
              <w:left w:val="nil"/>
              <w:right w:val="nil"/>
            </w:tcBorders>
            <w:shd w:val="clear" w:color="auto" w:fill="auto"/>
            <w:noWrap/>
            <w:vAlign w:val="bottom"/>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2016</w:t>
            </w:r>
          </w:p>
        </w:tc>
        <w:tc>
          <w:tcPr>
            <w:tcW w:w="1663" w:type="dxa"/>
            <w:tcBorders>
              <w:top w:val="nil"/>
              <w:left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4.890.</w:t>
            </w:r>
            <w:r w:rsidR="001C6615" w:rsidRPr="002511BF">
              <w:rPr>
                <w:rFonts w:ascii="Arial" w:hAnsi="Arial" w:cs="Arial"/>
                <w:color w:val="000000"/>
                <w:sz w:val="20"/>
                <w:szCs w:val="20"/>
                <w:lang w:val="es-ES" w:eastAsia="es-ES"/>
              </w:rPr>
              <w:t>372</w:t>
            </w:r>
          </w:p>
        </w:tc>
        <w:tc>
          <w:tcPr>
            <w:tcW w:w="1662" w:type="dxa"/>
            <w:tcBorders>
              <w:top w:val="nil"/>
              <w:left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70.</w:t>
            </w:r>
            <w:r w:rsidR="001C6615" w:rsidRPr="002511BF">
              <w:rPr>
                <w:rFonts w:ascii="Arial" w:hAnsi="Arial" w:cs="Arial"/>
                <w:color w:val="000000"/>
                <w:sz w:val="20"/>
                <w:szCs w:val="20"/>
                <w:lang w:val="es-ES" w:eastAsia="es-ES"/>
              </w:rPr>
              <w:t>004</w:t>
            </w:r>
          </w:p>
        </w:tc>
        <w:tc>
          <w:tcPr>
            <w:tcW w:w="1662" w:type="dxa"/>
            <w:tcBorders>
              <w:top w:val="nil"/>
              <w:left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14,31</w:t>
            </w:r>
          </w:p>
        </w:tc>
        <w:tc>
          <w:tcPr>
            <w:tcW w:w="1662" w:type="dxa"/>
            <w:tcBorders>
              <w:top w:val="nil"/>
              <w:left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1,71</w:t>
            </w:r>
          </w:p>
        </w:tc>
      </w:tr>
      <w:tr w:rsidR="001C6615" w:rsidRPr="002511BF" w:rsidTr="00BF5A83">
        <w:trPr>
          <w:trHeight w:val="384"/>
        </w:trPr>
        <w:tc>
          <w:tcPr>
            <w:tcW w:w="1663" w:type="dxa"/>
            <w:tcBorders>
              <w:top w:val="nil"/>
              <w:left w:val="nil"/>
              <w:right w:val="nil"/>
            </w:tcBorders>
            <w:shd w:val="clear" w:color="auto" w:fill="auto"/>
            <w:noWrap/>
            <w:vAlign w:val="bottom"/>
            <w:hideMark/>
          </w:tcPr>
          <w:p w:rsidR="001C6615" w:rsidRPr="002511BF" w:rsidRDefault="001C6615"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2017</w:t>
            </w:r>
          </w:p>
        </w:tc>
        <w:tc>
          <w:tcPr>
            <w:tcW w:w="1663" w:type="dxa"/>
            <w:tcBorders>
              <w:top w:val="nil"/>
              <w:left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4.947.</w:t>
            </w:r>
            <w:r w:rsidR="001C6615" w:rsidRPr="002511BF">
              <w:rPr>
                <w:rFonts w:ascii="Arial" w:hAnsi="Arial" w:cs="Arial"/>
                <w:color w:val="000000"/>
                <w:sz w:val="20"/>
                <w:szCs w:val="20"/>
                <w:lang w:val="es-ES" w:eastAsia="es-ES"/>
              </w:rPr>
              <w:t>481</w:t>
            </w:r>
          </w:p>
        </w:tc>
        <w:tc>
          <w:tcPr>
            <w:tcW w:w="1662" w:type="dxa"/>
            <w:tcBorders>
              <w:top w:val="nil"/>
              <w:left w:val="nil"/>
              <w:right w:val="nil"/>
            </w:tcBorders>
            <w:shd w:val="clear" w:color="auto" w:fill="auto"/>
            <w:noWrap/>
            <w:vAlign w:val="bottom"/>
            <w:hideMark/>
          </w:tcPr>
          <w:p w:rsidR="001C6615"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68.</w:t>
            </w:r>
            <w:r w:rsidR="001C6615" w:rsidRPr="002511BF">
              <w:rPr>
                <w:rFonts w:ascii="Arial" w:hAnsi="Arial" w:cs="Arial"/>
                <w:color w:val="000000"/>
                <w:sz w:val="20"/>
                <w:szCs w:val="20"/>
                <w:lang w:val="es-ES" w:eastAsia="es-ES"/>
              </w:rPr>
              <w:t>811</w:t>
            </w:r>
          </w:p>
        </w:tc>
        <w:tc>
          <w:tcPr>
            <w:tcW w:w="1662" w:type="dxa"/>
            <w:tcBorders>
              <w:top w:val="nil"/>
              <w:left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13,91</w:t>
            </w:r>
          </w:p>
        </w:tc>
        <w:tc>
          <w:tcPr>
            <w:tcW w:w="1662" w:type="dxa"/>
            <w:tcBorders>
              <w:top w:val="nil"/>
              <w:left w:val="nil"/>
              <w:right w:val="nil"/>
            </w:tcBorders>
            <w:shd w:val="clear" w:color="auto" w:fill="auto"/>
            <w:noWrap/>
            <w:vAlign w:val="bottom"/>
            <w:hideMark/>
          </w:tcPr>
          <w:p w:rsidR="001C6615" w:rsidRPr="002511BF" w:rsidRDefault="001C6615"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1,67</w:t>
            </w:r>
          </w:p>
        </w:tc>
      </w:tr>
      <w:tr w:rsidR="00BF5A83" w:rsidRPr="002511BF" w:rsidTr="00BF5A83">
        <w:trPr>
          <w:trHeight w:val="384"/>
        </w:trPr>
        <w:tc>
          <w:tcPr>
            <w:tcW w:w="1663" w:type="dxa"/>
            <w:tcBorders>
              <w:left w:val="nil"/>
              <w:bottom w:val="single" w:sz="4" w:space="0" w:color="auto"/>
              <w:right w:val="nil"/>
            </w:tcBorders>
            <w:shd w:val="clear" w:color="auto" w:fill="auto"/>
            <w:noWrap/>
            <w:vAlign w:val="bottom"/>
          </w:tcPr>
          <w:p w:rsidR="00BF5A83" w:rsidRPr="002511BF" w:rsidRDefault="00C6565F" w:rsidP="00475BBF">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2018</w:t>
            </w:r>
          </w:p>
        </w:tc>
        <w:tc>
          <w:tcPr>
            <w:tcW w:w="1663" w:type="dxa"/>
            <w:tcBorders>
              <w:left w:val="nil"/>
              <w:bottom w:val="single" w:sz="4" w:space="0" w:color="auto"/>
              <w:right w:val="nil"/>
            </w:tcBorders>
            <w:shd w:val="clear" w:color="auto" w:fill="auto"/>
            <w:noWrap/>
            <w:vAlign w:val="bottom"/>
          </w:tcPr>
          <w:p w:rsidR="00BF5A83"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5.003.393</w:t>
            </w:r>
          </w:p>
        </w:tc>
        <w:tc>
          <w:tcPr>
            <w:tcW w:w="1662" w:type="dxa"/>
            <w:tcBorders>
              <w:left w:val="nil"/>
              <w:bottom w:val="single" w:sz="4" w:space="0" w:color="auto"/>
              <w:right w:val="nil"/>
            </w:tcBorders>
            <w:shd w:val="clear" w:color="auto" w:fill="auto"/>
            <w:noWrap/>
            <w:vAlign w:val="bottom"/>
          </w:tcPr>
          <w:p w:rsidR="00BF5A83"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68.098</w:t>
            </w:r>
          </w:p>
        </w:tc>
        <w:tc>
          <w:tcPr>
            <w:tcW w:w="1662" w:type="dxa"/>
            <w:tcBorders>
              <w:left w:val="nil"/>
              <w:bottom w:val="single" w:sz="4" w:space="0" w:color="auto"/>
              <w:right w:val="nil"/>
            </w:tcBorders>
            <w:shd w:val="clear" w:color="auto" w:fill="auto"/>
            <w:noWrap/>
            <w:vAlign w:val="bottom"/>
          </w:tcPr>
          <w:p w:rsidR="00BF5A83" w:rsidRPr="002511BF" w:rsidRDefault="00B93ED1" w:rsidP="00B93ED1">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13,68</w:t>
            </w:r>
          </w:p>
        </w:tc>
        <w:tc>
          <w:tcPr>
            <w:tcW w:w="1662" w:type="dxa"/>
            <w:tcBorders>
              <w:left w:val="nil"/>
              <w:bottom w:val="single" w:sz="4" w:space="0" w:color="auto"/>
              <w:right w:val="nil"/>
            </w:tcBorders>
            <w:shd w:val="clear" w:color="auto" w:fill="auto"/>
            <w:noWrap/>
            <w:vAlign w:val="bottom"/>
          </w:tcPr>
          <w:p w:rsidR="00BF5A83" w:rsidRPr="002511BF" w:rsidRDefault="00B93ED1" w:rsidP="00475BB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1,66</w:t>
            </w:r>
          </w:p>
        </w:tc>
      </w:tr>
    </w:tbl>
    <w:p w:rsidR="001C6615" w:rsidRPr="008B57A1" w:rsidRDefault="008B57A1" w:rsidP="003B5ACE">
      <w:pPr>
        <w:spacing w:line="276" w:lineRule="auto"/>
        <w:jc w:val="right"/>
        <w:rPr>
          <w:rFonts w:ascii="Arial" w:hAnsi="Arial" w:cs="Arial"/>
          <w:lang w:val="es-CR"/>
        </w:rPr>
      </w:pPr>
      <w:r w:rsidRPr="003B5ACE">
        <w:rPr>
          <w:rFonts w:ascii="Arial" w:hAnsi="Arial" w:cs="Arial"/>
          <w:b/>
          <w:sz w:val="20"/>
          <w:lang w:val="es-CR"/>
        </w:rPr>
        <w:t>Fuente:</w:t>
      </w:r>
      <w:r w:rsidRPr="008B57A1">
        <w:rPr>
          <w:rFonts w:ascii="Arial" w:hAnsi="Arial" w:cs="Arial"/>
          <w:sz w:val="20"/>
          <w:lang w:val="es-CR"/>
        </w:rPr>
        <w:t xml:space="preserve"> INEC</w:t>
      </w:r>
      <w:r w:rsidR="00B90470">
        <w:rPr>
          <w:rFonts w:ascii="Arial" w:hAnsi="Arial" w:cs="Arial"/>
          <w:sz w:val="20"/>
          <w:lang w:val="es-CR"/>
        </w:rPr>
        <w:t xml:space="preserve">, </w:t>
      </w:r>
      <w:r w:rsidRPr="008B57A1">
        <w:rPr>
          <w:rFonts w:ascii="Arial" w:hAnsi="Arial" w:cs="Arial"/>
          <w:sz w:val="20"/>
          <w:lang w:val="es-CR"/>
        </w:rPr>
        <w:t>/Dirección de Vigilancia de la Salud</w:t>
      </w:r>
      <w:r w:rsidR="002511BF">
        <w:rPr>
          <w:rFonts w:ascii="Arial" w:hAnsi="Arial" w:cs="Arial"/>
          <w:sz w:val="20"/>
          <w:lang w:val="es-CR"/>
        </w:rPr>
        <w:t>.2019.</w:t>
      </w:r>
    </w:p>
    <w:p w:rsidR="00C6565F" w:rsidRPr="008B57A1" w:rsidRDefault="00C6565F" w:rsidP="008B57A1">
      <w:pPr>
        <w:spacing w:line="276" w:lineRule="auto"/>
        <w:jc w:val="both"/>
        <w:rPr>
          <w:rFonts w:ascii="Arial" w:hAnsi="Arial" w:cs="Arial"/>
          <w:color w:val="000000"/>
          <w:lang w:val="es-CR"/>
        </w:rPr>
      </w:pPr>
    </w:p>
    <w:p w:rsidR="001C6615" w:rsidRDefault="00B90470" w:rsidP="008B57A1">
      <w:pPr>
        <w:spacing w:line="276" w:lineRule="auto"/>
        <w:jc w:val="both"/>
        <w:rPr>
          <w:rFonts w:ascii="Arial" w:hAnsi="Arial" w:cs="Arial"/>
          <w:color w:val="000000"/>
          <w:lang w:val="es-CR"/>
        </w:rPr>
      </w:pPr>
      <w:r>
        <w:rPr>
          <w:rFonts w:ascii="Arial" w:hAnsi="Arial" w:cs="Arial"/>
          <w:color w:val="000000"/>
          <w:lang w:val="es-CR"/>
        </w:rPr>
        <w:t>L</w:t>
      </w:r>
      <w:r w:rsidRPr="008B57A1">
        <w:rPr>
          <w:rFonts w:ascii="Arial" w:hAnsi="Arial" w:cs="Arial"/>
          <w:color w:val="000000"/>
          <w:lang w:val="es-CR"/>
        </w:rPr>
        <w:t>a tasa global de fecundidad (TGF)</w:t>
      </w:r>
      <w:r>
        <w:rPr>
          <w:rFonts w:ascii="Arial" w:hAnsi="Arial" w:cs="Arial"/>
          <w:color w:val="000000"/>
          <w:lang w:val="es-CR"/>
        </w:rPr>
        <w:t xml:space="preserve"> </w:t>
      </w:r>
      <w:r w:rsidR="001C6615" w:rsidRPr="008B57A1">
        <w:rPr>
          <w:rFonts w:ascii="Arial" w:hAnsi="Arial" w:cs="Arial"/>
          <w:color w:val="000000"/>
          <w:lang w:val="es-CR"/>
        </w:rPr>
        <w:t xml:space="preserve">se asocia </w:t>
      </w:r>
      <w:r>
        <w:rPr>
          <w:rFonts w:ascii="Arial" w:hAnsi="Arial" w:cs="Arial"/>
          <w:color w:val="000000"/>
          <w:lang w:val="es-CR"/>
        </w:rPr>
        <w:t>con</w:t>
      </w:r>
      <w:r w:rsidR="001C6615" w:rsidRPr="008B57A1">
        <w:rPr>
          <w:rFonts w:ascii="Arial" w:hAnsi="Arial" w:cs="Arial"/>
          <w:color w:val="000000"/>
          <w:lang w:val="es-CR"/>
        </w:rPr>
        <w:t xml:space="preserve"> la cantidad de hijos e hijas que </w:t>
      </w:r>
      <w:r>
        <w:rPr>
          <w:rFonts w:ascii="Arial" w:hAnsi="Arial" w:cs="Arial"/>
          <w:color w:val="000000"/>
          <w:lang w:val="es-CR"/>
        </w:rPr>
        <w:t>tienen las mujeres en edad fértil.</w:t>
      </w:r>
      <w:r w:rsidR="001C6615" w:rsidRPr="008B57A1">
        <w:rPr>
          <w:rFonts w:ascii="Arial" w:hAnsi="Arial" w:cs="Arial"/>
          <w:color w:val="000000"/>
          <w:lang w:val="es-CR"/>
        </w:rPr>
        <w:t xml:space="preserve"> Desde el 2004, Costa Rica </w:t>
      </w:r>
      <w:r>
        <w:rPr>
          <w:rFonts w:ascii="Arial" w:hAnsi="Arial" w:cs="Arial"/>
          <w:color w:val="000000"/>
          <w:lang w:val="es-CR"/>
        </w:rPr>
        <w:t xml:space="preserve">presenta </w:t>
      </w:r>
      <w:r w:rsidR="001C6615" w:rsidRPr="008B57A1">
        <w:rPr>
          <w:rFonts w:ascii="Arial" w:hAnsi="Arial" w:cs="Arial"/>
          <w:color w:val="000000"/>
          <w:lang w:val="es-CR"/>
        </w:rPr>
        <w:t xml:space="preserve">tasas de fecundidad por debajo del nivel de reemplazo generacional, lo </w:t>
      </w:r>
      <w:r>
        <w:rPr>
          <w:rFonts w:ascii="Arial" w:hAnsi="Arial" w:cs="Arial"/>
          <w:color w:val="000000"/>
          <w:lang w:val="es-CR"/>
        </w:rPr>
        <w:t xml:space="preserve">cual indica </w:t>
      </w:r>
      <w:r w:rsidR="001C6615" w:rsidRPr="008B57A1">
        <w:rPr>
          <w:rFonts w:ascii="Arial" w:hAnsi="Arial" w:cs="Arial"/>
          <w:color w:val="000000"/>
          <w:lang w:val="es-CR"/>
        </w:rPr>
        <w:t>que no nacen suficientes niños para reemplazar, en la estructura poblacional, a su madre y a su padre. Esta constante reducción de la fecundidad</w:t>
      </w:r>
      <w:r w:rsidR="00B67801">
        <w:rPr>
          <w:rFonts w:ascii="Arial" w:hAnsi="Arial" w:cs="Arial"/>
          <w:color w:val="000000"/>
          <w:lang w:val="es-CR"/>
        </w:rPr>
        <w:t>,</w:t>
      </w:r>
      <w:r w:rsidR="001C6615" w:rsidRPr="008B57A1">
        <w:rPr>
          <w:rFonts w:ascii="Arial" w:hAnsi="Arial" w:cs="Arial"/>
          <w:color w:val="000000"/>
          <w:lang w:val="es-CR"/>
        </w:rPr>
        <w:t xml:space="preserve"> posiciona a Costa Rica en la última etapa de la transición demográfica. En el 2018</w:t>
      </w:r>
      <w:r w:rsidR="00B67801">
        <w:rPr>
          <w:rFonts w:ascii="Arial" w:hAnsi="Arial" w:cs="Arial"/>
          <w:color w:val="000000"/>
          <w:lang w:val="es-CR"/>
        </w:rPr>
        <w:t>,</w:t>
      </w:r>
      <w:r w:rsidR="001C6615" w:rsidRPr="008B57A1">
        <w:rPr>
          <w:rFonts w:ascii="Arial" w:hAnsi="Arial" w:cs="Arial"/>
          <w:color w:val="000000"/>
          <w:lang w:val="es-CR"/>
        </w:rPr>
        <w:t xml:space="preserve"> la población costarricense alcanzó los cinco millones de personas y aunque en términos absolutos la población sigue creciendo, cada vez lo hace a un menor ritmo.</w:t>
      </w:r>
    </w:p>
    <w:p w:rsidR="00B67801" w:rsidRDefault="00B67801">
      <w:pPr>
        <w:spacing w:after="160" w:line="259" w:lineRule="auto"/>
        <w:rPr>
          <w:rFonts w:ascii="Arial" w:hAnsi="Arial" w:cs="Arial"/>
          <w:color w:val="000000"/>
          <w:lang w:val="es-CR"/>
        </w:rPr>
      </w:pPr>
      <w:r>
        <w:rPr>
          <w:rFonts w:ascii="Arial" w:hAnsi="Arial" w:cs="Arial"/>
          <w:color w:val="000000"/>
          <w:lang w:val="es-CR"/>
        </w:rPr>
        <w:br w:type="page"/>
      </w:r>
    </w:p>
    <w:p w:rsidR="00B67801" w:rsidRPr="008B57A1" w:rsidRDefault="00B67801" w:rsidP="008B57A1">
      <w:pPr>
        <w:spacing w:line="276" w:lineRule="auto"/>
        <w:jc w:val="both"/>
        <w:rPr>
          <w:rFonts w:ascii="Arial" w:hAnsi="Arial" w:cs="Arial"/>
          <w:color w:val="000000"/>
          <w:lang w:val="es-CR"/>
        </w:rPr>
      </w:pPr>
    </w:p>
    <w:p w:rsidR="00CA5E14" w:rsidRPr="003B5ACE" w:rsidRDefault="00D04774" w:rsidP="0066355C">
      <w:pPr>
        <w:pStyle w:val="Default"/>
        <w:jc w:val="center"/>
        <w:rPr>
          <w:rFonts w:ascii="Arial" w:eastAsia="Cambria" w:hAnsi="Arial" w:cs="Arial"/>
          <w:b/>
          <w:lang w:val="es-CR"/>
        </w:rPr>
      </w:pPr>
      <w:r w:rsidRPr="003B5ACE">
        <w:rPr>
          <w:rFonts w:ascii="Arial" w:eastAsia="Cambria" w:hAnsi="Arial" w:cs="Arial"/>
          <w:b/>
          <w:lang w:val="es-CR"/>
        </w:rPr>
        <w:t>Gráfico</w:t>
      </w:r>
      <w:r w:rsidR="00CA5E14" w:rsidRPr="003B5ACE">
        <w:rPr>
          <w:rFonts w:ascii="Arial" w:eastAsia="Cambria" w:hAnsi="Arial" w:cs="Arial"/>
          <w:b/>
          <w:lang w:val="es-CR"/>
        </w:rPr>
        <w:t xml:space="preserve"> </w:t>
      </w:r>
      <w:r w:rsidR="00B67801">
        <w:rPr>
          <w:rFonts w:ascii="Arial" w:eastAsia="Cambria" w:hAnsi="Arial" w:cs="Arial"/>
          <w:b/>
          <w:lang w:val="es-CR"/>
        </w:rPr>
        <w:t>3</w:t>
      </w:r>
    </w:p>
    <w:p w:rsidR="001C6615" w:rsidRPr="003B5ACE" w:rsidRDefault="001C6615" w:rsidP="0066355C">
      <w:pPr>
        <w:pStyle w:val="Default"/>
        <w:jc w:val="center"/>
        <w:rPr>
          <w:rFonts w:ascii="Arial" w:hAnsi="Arial" w:cs="Arial"/>
          <w:b/>
          <w:bCs/>
          <w:lang w:val="es-CR"/>
        </w:rPr>
      </w:pPr>
      <w:r w:rsidRPr="003B5ACE">
        <w:rPr>
          <w:rFonts w:ascii="Arial" w:hAnsi="Arial" w:cs="Arial"/>
          <w:b/>
          <w:bCs/>
          <w:lang w:val="es-CR"/>
        </w:rPr>
        <w:t xml:space="preserve">Evolución de la tasa global de fecundidad, </w:t>
      </w:r>
      <w:r w:rsidR="003B5ACE">
        <w:rPr>
          <w:rFonts w:ascii="Arial" w:hAnsi="Arial" w:cs="Arial"/>
          <w:b/>
          <w:bCs/>
          <w:lang w:val="es-CR"/>
        </w:rPr>
        <w:t xml:space="preserve">Costa Rica, </w:t>
      </w:r>
      <w:r w:rsidR="00CA5E14" w:rsidRPr="003B5ACE">
        <w:rPr>
          <w:rFonts w:ascii="Arial" w:hAnsi="Arial" w:cs="Arial"/>
          <w:b/>
          <w:bCs/>
          <w:lang w:val="es-CR"/>
        </w:rPr>
        <w:t>2000</w:t>
      </w:r>
      <w:r w:rsidR="003B5ACE">
        <w:rPr>
          <w:rFonts w:ascii="Arial" w:hAnsi="Arial" w:cs="Arial"/>
          <w:b/>
          <w:bCs/>
          <w:lang w:val="es-CR"/>
        </w:rPr>
        <w:t>-</w:t>
      </w:r>
      <w:r w:rsidRPr="003B5ACE">
        <w:rPr>
          <w:rFonts w:ascii="Arial" w:hAnsi="Arial" w:cs="Arial"/>
          <w:b/>
          <w:bCs/>
          <w:lang w:val="es-CR"/>
        </w:rPr>
        <w:t>201</w:t>
      </w:r>
      <w:r w:rsidR="00CA5E14" w:rsidRPr="003B5ACE">
        <w:rPr>
          <w:rFonts w:ascii="Arial" w:hAnsi="Arial" w:cs="Arial"/>
          <w:b/>
          <w:bCs/>
          <w:lang w:val="es-CR"/>
        </w:rPr>
        <w:t>8</w:t>
      </w:r>
      <w:r w:rsidR="003B5ACE">
        <w:rPr>
          <w:rFonts w:ascii="Arial" w:hAnsi="Arial" w:cs="Arial"/>
          <w:b/>
          <w:bCs/>
          <w:lang w:val="es-CR"/>
        </w:rPr>
        <w:t xml:space="preserve">, </w:t>
      </w:r>
    </w:p>
    <w:p w:rsidR="00CA5E14" w:rsidRDefault="00CA5E14" w:rsidP="00CA5E14">
      <w:pPr>
        <w:pStyle w:val="Default"/>
        <w:spacing w:line="276" w:lineRule="auto"/>
        <w:jc w:val="center"/>
        <w:rPr>
          <w:rFonts w:ascii="Arial" w:hAnsi="Arial" w:cs="Arial"/>
          <w:noProof/>
          <w:lang w:val="es-PA" w:eastAsia="es-PA"/>
        </w:rPr>
      </w:pPr>
      <w:r>
        <w:rPr>
          <w:noProof/>
          <w:lang w:val="es-CR" w:eastAsia="es-CR"/>
        </w:rPr>
        <w:drawing>
          <wp:inline distT="0" distB="0" distL="0" distR="0" wp14:anchorId="69EF4505" wp14:editId="4D07F6D1">
            <wp:extent cx="4304581" cy="2208362"/>
            <wp:effectExtent l="0" t="0" r="1270" b="190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A5E14" w:rsidRDefault="00CA5E14" w:rsidP="00CA5E14">
      <w:pPr>
        <w:pStyle w:val="Default"/>
        <w:spacing w:line="276" w:lineRule="auto"/>
        <w:jc w:val="center"/>
        <w:rPr>
          <w:rFonts w:ascii="Arial" w:hAnsi="Arial" w:cs="Arial"/>
          <w:sz w:val="20"/>
          <w:lang w:val="es-CR"/>
        </w:rPr>
      </w:pPr>
      <w:r w:rsidRPr="003B5ACE">
        <w:rPr>
          <w:rFonts w:ascii="Arial" w:hAnsi="Arial" w:cs="Arial"/>
          <w:b/>
          <w:sz w:val="20"/>
          <w:lang w:val="es-CR"/>
        </w:rPr>
        <w:t>Fuente:</w:t>
      </w:r>
      <w:r w:rsidRPr="008B57A1">
        <w:rPr>
          <w:rFonts w:ascii="Arial" w:hAnsi="Arial" w:cs="Arial"/>
          <w:sz w:val="20"/>
          <w:lang w:val="es-CR"/>
        </w:rPr>
        <w:t xml:space="preserve"> INEC</w:t>
      </w:r>
      <w:r w:rsidR="00B67801">
        <w:rPr>
          <w:rFonts w:ascii="Arial" w:hAnsi="Arial" w:cs="Arial"/>
          <w:sz w:val="20"/>
          <w:lang w:val="es-CR"/>
        </w:rPr>
        <w:t xml:space="preserve">, </w:t>
      </w:r>
      <w:r w:rsidRPr="008B57A1">
        <w:rPr>
          <w:rFonts w:ascii="Arial" w:hAnsi="Arial" w:cs="Arial"/>
          <w:sz w:val="20"/>
          <w:lang w:val="es-CR"/>
        </w:rPr>
        <w:t>Dirección de Vigilancia de la Salud</w:t>
      </w:r>
      <w:r w:rsidR="00B67801">
        <w:rPr>
          <w:rFonts w:ascii="Arial" w:hAnsi="Arial" w:cs="Arial"/>
          <w:sz w:val="20"/>
          <w:lang w:val="es-CR"/>
        </w:rPr>
        <w:t>, Ministerio de Salud.</w:t>
      </w:r>
    </w:p>
    <w:p w:rsidR="00B67801" w:rsidRPr="00DF283A" w:rsidRDefault="00B67801" w:rsidP="00CA5E14">
      <w:pPr>
        <w:pStyle w:val="Default"/>
        <w:spacing w:line="276" w:lineRule="auto"/>
        <w:jc w:val="center"/>
        <w:rPr>
          <w:rFonts w:ascii="Arial" w:hAnsi="Arial" w:cs="Arial"/>
          <w:sz w:val="22"/>
          <w:szCs w:val="22"/>
        </w:rPr>
      </w:pPr>
    </w:p>
    <w:p w:rsidR="001C6615" w:rsidRPr="00B67801" w:rsidRDefault="00F43724" w:rsidP="00C02692">
      <w:pPr>
        <w:pStyle w:val="Ttulo2"/>
        <w:spacing w:after="240"/>
        <w:rPr>
          <w:rFonts w:ascii="Arial" w:hAnsi="Arial" w:cs="Arial"/>
          <w:b/>
          <w:color w:val="auto"/>
          <w:sz w:val="24"/>
          <w:szCs w:val="24"/>
        </w:rPr>
      </w:pPr>
      <w:bookmarkStart w:id="5" w:name="_Toc7439649"/>
      <w:r w:rsidRPr="00B67801">
        <w:rPr>
          <w:rFonts w:ascii="Arial" w:hAnsi="Arial" w:cs="Arial"/>
          <w:b/>
          <w:color w:val="auto"/>
          <w:sz w:val="24"/>
          <w:szCs w:val="24"/>
        </w:rPr>
        <w:t>E</w:t>
      </w:r>
      <w:r w:rsidR="00B67801" w:rsidRPr="00B67801">
        <w:rPr>
          <w:rFonts w:ascii="Arial" w:hAnsi="Arial" w:cs="Arial"/>
          <w:b/>
          <w:color w:val="auto"/>
          <w:sz w:val="24"/>
          <w:szCs w:val="24"/>
        </w:rPr>
        <w:t>speranza de vida</w:t>
      </w:r>
      <w:bookmarkEnd w:id="5"/>
    </w:p>
    <w:p w:rsidR="00882349" w:rsidRDefault="00882349" w:rsidP="00B67801">
      <w:pPr>
        <w:spacing w:after="240" w:line="276" w:lineRule="auto"/>
        <w:jc w:val="both"/>
        <w:rPr>
          <w:rFonts w:ascii="Arial" w:hAnsi="Arial" w:cs="Arial"/>
          <w:lang w:val="es-CR"/>
        </w:rPr>
      </w:pPr>
      <w:r w:rsidRPr="007B41AC">
        <w:rPr>
          <w:rFonts w:ascii="Arial" w:hAnsi="Arial" w:cs="Arial"/>
          <w:lang w:val="es-CR"/>
        </w:rPr>
        <w:t>La esperanza de vida al nacer</w:t>
      </w:r>
      <w:r>
        <w:rPr>
          <w:rFonts w:ascii="Arial" w:hAnsi="Arial" w:cs="Arial"/>
          <w:lang w:val="es-CR"/>
        </w:rPr>
        <w:t xml:space="preserve"> (EVN) es un indicador relevante que se utiliza para medir la calidad de vida. E</w:t>
      </w:r>
      <w:r w:rsidRPr="007B41AC">
        <w:rPr>
          <w:rFonts w:ascii="Arial" w:hAnsi="Arial" w:cs="Arial"/>
          <w:lang w:val="es-CR"/>
        </w:rPr>
        <w:t xml:space="preserve">s </w:t>
      </w:r>
      <w:r>
        <w:rPr>
          <w:rFonts w:ascii="Arial" w:hAnsi="Arial" w:cs="Arial"/>
          <w:lang w:val="es-CR"/>
        </w:rPr>
        <w:t xml:space="preserve">el </w:t>
      </w:r>
      <w:r w:rsidRPr="007B41AC">
        <w:rPr>
          <w:rFonts w:ascii="Arial" w:hAnsi="Arial" w:cs="Arial"/>
          <w:lang w:val="es-CR"/>
        </w:rPr>
        <w:t>promedio de años que vive una determinada población nacida en el mismo año</w:t>
      </w:r>
      <w:r>
        <w:rPr>
          <w:rFonts w:ascii="Arial" w:hAnsi="Arial" w:cs="Arial"/>
          <w:lang w:val="es-CR"/>
        </w:rPr>
        <w:t xml:space="preserve">.  </w:t>
      </w:r>
    </w:p>
    <w:p w:rsidR="00B67801" w:rsidRDefault="001C6615" w:rsidP="00B67801">
      <w:pPr>
        <w:spacing w:after="240" w:line="276" w:lineRule="auto"/>
        <w:jc w:val="both"/>
        <w:rPr>
          <w:rFonts w:ascii="Arial" w:hAnsi="Arial" w:cs="Arial"/>
          <w:color w:val="000000"/>
          <w:lang w:val="es-CR"/>
        </w:rPr>
      </w:pPr>
      <w:r w:rsidRPr="009B1095">
        <w:rPr>
          <w:rFonts w:ascii="Arial" w:hAnsi="Arial" w:cs="Arial"/>
          <w:color w:val="000000"/>
          <w:lang w:val="es-CR"/>
        </w:rPr>
        <w:t xml:space="preserve">En Costa Rica, la esperanza de vida se ha duplicado en las últimas ocho décadas, pasando de los 42,2 años en 1930 a 80,3 en </w:t>
      </w:r>
      <w:r w:rsidR="00B67801">
        <w:rPr>
          <w:rFonts w:ascii="Arial" w:hAnsi="Arial" w:cs="Arial"/>
          <w:color w:val="000000"/>
          <w:lang w:val="es-CR"/>
        </w:rPr>
        <w:t xml:space="preserve">el </w:t>
      </w:r>
      <w:r w:rsidRPr="009B1095">
        <w:rPr>
          <w:rFonts w:ascii="Arial" w:hAnsi="Arial" w:cs="Arial"/>
          <w:color w:val="000000"/>
          <w:lang w:val="es-CR"/>
        </w:rPr>
        <w:t xml:space="preserve">2018. </w:t>
      </w:r>
      <w:r w:rsidR="00B67801">
        <w:rPr>
          <w:rFonts w:ascii="Arial" w:hAnsi="Arial" w:cs="Arial"/>
          <w:color w:val="000000"/>
          <w:lang w:val="es-CR"/>
        </w:rPr>
        <w:t xml:space="preserve"> </w:t>
      </w:r>
      <w:r w:rsidRPr="009B1095">
        <w:rPr>
          <w:rFonts w:ascii="Arial" w:hAnsi="Arial" w:cs="Arial"/>
          <w:color w:val="000000"/>
          <w:lang w:val="es-CR"/>
        </w:rPr>
        <w:t>Los progresos en saneamiento básico, salud pública, atención hospitalaria, alimentación y educación han contribuido a este avance</w:t>
      </w:r>
      <w:r w:rsidRPr="009B1095">
        <w:rPr>
          <w:rFonts w:ascii="Arial" w:hAnsi="Arial" w:cs="Arial"/>
          <w:color w:val="000000"/>
          <w:vertAlign w:val="superscript"/>
          <w:lang w:val="es-CR"/>
        </w:rPr>
        <w:footnoteReference w:id="2"/>
      </w:r>
      <w:r w:rsidR="00B67801">
        <w:rPr>
          <w:rFonts w:ascii="Arial" w:hAnsi="Arial" w:cs="Arial"/>
          <w:color w:val="000000"/>
          <w:lang w:val="es-CR"/>
        </w:rPr>
        <w:t>.</w:t>
      </w:r>
    </w:p>
    <w:p w:rsidR="001C6615" w:rsidRPr="009B1095" w:rsidRDefault="001C6615" w:rsidP="00151623">
      <w:pPr>
        <w:spacing w:after="240" w:line="276" w:lineRule="auto"/>
        <w:jc w:val="both"/>
        <w:rPr>
          <w:rFonts w:ascii="Arial" w:hAnsi="Arial" w:cs="Arial"/>
          <w:color w:val="000000"/>
          <w:lang w:val="es-CR"/>
        </w:rPr>
      </w:pPr>
      <w:r w:rsidRPr="009B1095">
        <w:rPr>
          <w:rFonts w:ascii="Arial" w:hAnsi="Arial" w:cs="Arial"/>
          <w:color w:val="000000"/>
          <w:lang w:val="es-CR"/>
        </w:rPr>
        <w:t>La mortalidad en las edades mayores depende, en gran medida, de los efectos del envejecimiento, pero refleja también, los efectos acumulados del estilo de vida que han seguido las personas. En las edades jóvenes o intermedias los factores biológicos tienen poca influencia, y la mortalidad se explica en gran medida por factores no biológicos, como los accidentes y la violencia.</w:t>
      </w:r>
    </w:p>
    <w:p w:rsidR="001C6615" w:rsidRDefault="001C6615" w:rsidP="009B1095">
      <w:pPr>
        <w:spacing w:line="276" w:lineRule="auto"/>
        <w:jc w:val="both"/>
        <w:rPr>
          <w:rFonts w:ascii="Arial" w:hAnsi="Arial" w:cs="Arial"/>
          <w:color w:val="000000"/>
          <w:lang w:val="es-CR"/>
        </w:rPr>
      </w:pPr>
      <w:r w:rsidRPr="009B1095">
        <w:rPr>
          <w:rFonts w:ascii="Arial" w:hAnsi="Arial" w:cs="Arial"/>
          <w:color w:val="000000"/>
          <w:lang w:val="es-CR"/>
        </w:rPr>
        <w:t>La esperanza de vida al nacer es de 80,3 años, la mayor de Latinoamérica, y varía según sexo, de 77,8 años para hombres y 82,9 años para mujeres</w:t>
      </w:r>
      <w:r w:rsidRPr="009B1095">
        <w:rPr>
          <w:color w:val="000000"/>
          <w:vertAlign w:val="superscript"/>
          <w:lang w:val="es-CR"/>
        </w:rPr>
        <w:footnoteReference w:id="3"/>
      </w:r>
      <w:r w:rsidRPr="009B1095">
        <w:rPr>
          <w:rFonts w:ascii="Arial" w:hAnsi="Arial" w:cs="Arial"/>
          <w:color w:val="000000"/>
          <w:lang w:val="es-CR"/>
        </w:rPr>
        <w:t>.</w:t>
      </w:r>
    </w:p>
    <w:p w:rsidR="00151623" w:rsidRDefault="00151623">
      <w:pPr>
        <w:spacing w:after="160" w:line="259" w:lineRule="auto"/>
        <w:rPr>
          <w:rFonts w:ascii="Arial" w:hAnsi="Arial" w:cs="Arial"/>
          <w:color w:val="000000"/>
          <w:lang w:val="es-CR"/>
        </w:rPr>
      </w:pPr>
      <w:r>
        <w:rPr>
          <w:rFonts w:ascii="Arial" w:hAnsi="Arial" w:cs="Arial"/>
          <w:color w:val="000000"/>
          <w:lang w:val="es-CR"/>
        </w:rPr>
        <w:br w:type="page"/>
      </w:r>
    </w:p>
    <w:p w:rsidR="009B1095" w:rsidRPr="009B1095" w:rsidRDefault="009B1095" w:rsidP="009B1095">
      <w:pPr>
        <w:spacing w:line="276" w:lineRule="auto"/>
        <w:jc w:val="both"/>
        <w:rPr>
          <w:rFonts w:ascii="Arial" w:hAnsi="Arial" w:cs="Arial"/>
          <w:color w:val="000000"/>
          <w:lang w:val="es-CR"/>
        </w:rPr>
      </w:pPr>
    </w:p>
    <w:p w:rsidR="009B1095" w:rsidRPr="0084491D" w:rsidRDefault="003B5ACE" w:rsidP="0066355C">
      <w:pPr>
        <w:jc w:val="center"/>
        <w:rPr>
          <w:rFonts w:ascii="Arial" w:hAnsi="Arial" w:cs="Arial"/>
          <w:b/>
          <w:color w:val="000000"/>
          <w:lang w:val="es-CR"/>
        </w:rPr>
      </w:pPr>
      <w:r>
        <w:rPr>
          <w:rFonts w:ascii="Arial" w:hAnsi="Arial" w:cs="Arial"/>
          <w:b/>
          <w:color w:val="000000"/>
          <w:lang w:val="es-CR"/>
        </w:rPr>
        <w:t>Cuadro</w:t>
      </w:r>
      <w:r w:rsidR="009B1095" w:rsidRPr="0084491D">
        <w:rPr>
          <w:rFonts w:ascii="Arial" w:hAnsi="Arial" w:cs="Arial"/>
          <w:b/>
          <w:color w:val="000000"/>
          <w:lang w:val="es-CR"/>
        </w:rPr>
        <w:t xml:space="preserve"> 3</w:t>
      </w:r>
    </w:p>
    <w:p w:rsidR="00151623" w:rsidRDefault="009B1095" w:rsidP="0066355C">
      <w:pPr>
        <w:jc w:val="center"/>
        <w:rPr>
          <w:rFonts w:ascii="Arial" w:hAnsi="Arial" w:cs="Arial"/>
          <w:b/>
          <w:color w:val="000000"/>
          <w:lang w:val="es-CR"/>
        </w:rPr>
      </w:pPr>
      <w:r w:rsidRPr="0084491D">
        <w:rPr>
          <w:rFonts w:ascii="Arial" w:hAnsi="Arial" w:cs="Arial"/>
          <w:b/>
          <w:color w:val="000000"/>
          <w:lang w:val="es-CR"/>
        </w:rPr>
        <w:t xml:space="preserve">Costa Rica: Esperanza de vida al nacer </w:t>
      </w:r>
      <w:r w:rsidR="00151623">
        <w:rPr>
          <w:rFonts w:ascii="Arial" w:hAnsi="Arial" w:cs="Arial"/>
          <w:b/>
          <w:color w:val="000000"/>
          <w:lang w:val="es-CR"/>
        </w:rPr>
        <w:t xml:space="preserve">según </w:t>
      </w:r>
      <w:r w:rsidRPr="0084491D">
        <w:rPr>
          <w:rFonts w:ascii="Arial" w:hAnsi="Arial" w:cs="Arial"/>
          <w:b/>
          <w:color w:val="000000"/>
          <w:lang w:val="es-CR"/>
        </w:rPr>
        <w:t xml:space="preserve">sexo, </w:t>
      </w:r>
    </w:p>
    <w:p w:rsidR="009B1095" w:rsidRDefault="009B1095" w:rsidP="0066355C">
      <w:pPr>
        <w:jc w:val="center"/>
        <w:rPr>
          <w:rFonts w:ascii="Arial" w:hAnsi="Arial" w:cs="Arial"/>
          <w:b/>
          <w:color w:val="000000"/>
          <w:lang w:val="es-CR"/>
        </w:rPr>
      </w:pPr>
      <w:r w:rsidRPr="0084491D">
        <w:rPr>
          <w:rFonts w:ascii="Arial" w:hAnsi="Arial" w:cs="Arial"/>
          <w:b/>
          <w:color w:val="000000"/>
          <w:lang w:val="es-CR"/>
        </w:rPr>
        <w:t>2011-2018.</w:t>
      </w:r>
    </w:p>
    <w:p w:rsidR="0084491D" w:rsidRPr="003B5ACE" w:rsidRDefault="0084491D" w:rsidP="009B1095">
      <w:pPr>
        <w:spacing w:line="276" w:lineRule="auto"/>
        <w:jc w:val="center"/>
        <w:rPr>
          <w:rFonts w:ascii="Arial" w:hAnsi="Arial" w:cs="Arial"/>
          <w:color w:val="000000"/>
          <w:lang w:val="es-CR"/>
        </w:rPr>
      </w:pPr>
    </w:p>
    <w:tbl>
      <w:tblPr>
        <w:tblW w:w="4800" w:type="dxa"/>
        <w:jc w:val="center"/>
        <w:tblCellMar>
          <w:left w:w="70" w:type="dxa"/>
          <w:right w:w="70" w:type="dxa"/>
        </w:tblCellMar>
        <w:tblLook w:val="04A0" w:firstRow="1" w:lastRow="0" w:firstColumn="1" w:lastColumn="0" w:noHBand="0" w:noVBand="1"/>
      </w:tblPr>
      <w:tblGrid>
        <w:gridCol w:w="1200"/>
        <w:gridCol w:w="1200"/>
        <w:gridCol w:w="1200"/>
        <w:gridCol w:w="1200"/>
      </w:tblGrid>
      <w:tr w:rsidR="00E94E54" w:rsidRPr="00E94E54" w:rsidTr="00EF3FBA">
        <w:trPr>
          <w:trHeight w:val="300"/>
          <w:jc w:val="center"/>
        </w:trPr>
        <w:tc>
          <w:tcPr>
            <w:tcW w:w="1200" w:type="dxa"/>
            <w:tcBorders>
              <w:top w:val="single" w:sz="4" w:space="0" w:color="auto"/>
              <w:left w:val="nil"/>
              <w:bottom w:val="single" w:sz="4" w:space="0" w:color="auto"/>
              <w:right w:val="nil"/>
            </w:tcBorders>
            <w:shd w:val="clear" w:color="auto" w:fill="D5DCE4" w:themeFill="text2" w:themeFillTint="33"/>
            <w:noWrap/>
            <w:vAlign w:val="center"/>
            <w:hideMark/>
          </w:tcPr>
          <w:p w:rsidR="00E94E54" w:rsidRPr="00E94E54" w:rsidRDefault="00E94E54" w:rsidP="00E94E54">
            <w:pPr>
              <w:jc w:val="center"/>
              <w:rPr>
                <w:rFonts w:ascii="Arial" w:eastAsia="Times New Roman" w:hAnsi="Arial" w:cs="Arial"/>
                <w:color w:val="000000"/>
                <w:lang w:val="es-PA" w:eastAsia="es-PA"/>
              </w:rPr>
            </w:pPr>
            <w:r w:rsidRPr="00E94E54">
              <w:rPr>
                <w:rFonts w:ascii="Arial" w:eastAsia="Times New Roman" w:hAnsi="Arial" w:cs="Arial"/>
                <w:color w:val="000000"/>
                <w:lang w:eastAsia="es-PA"/>
              </w:rPr>
              <w:t>Año</w:t>
            </w:r>
          </w:p>
        </w:tc>
        <w:tc>
          <w:tcPr>
            <w:tcW w:w="1200" w:type="dxa"/>
            <w:tcBorders>
              <w:top w:val="single" w:sz="4" w:space="0" w:color="auto"/>
              <w:left w:val="nil"/>
              <w:bottom w:val="single" w:sz="4" w:space="0" w:color="auto"/>
              <w:right w:val="nil"/>
            </w:tcBorders>
            <w:shd w:val="clear" w:color="auto" w:fill="D5DCE4" w:themeFill="text2" w:themeFillTint="33"/>
            <w:noWrap/>
            <w:vAlign w:val="center"/>
            <w:hideMark/>
          </w:tcPr>
          <w:p w:rsidR="00E94E54" w:rsidRPr="00E94E54" w:rsidRDefault="00E94E54" w:rsidP="00E94E54">
            <w:pPr>
              <w:jc w:val="center"/>
              <w:rPr>
                <w:rFonts w:ascii="Arial" w:eastAsia="Times New Roman" w:hAnsi="Arial" w:cs="Arial"/>
                <w:color w:val="000000"/>
                <w:lang w:val="es-PA" w:eastAsia="es-PA"/>
              </w:rPr>
            </w:pPr>
            <w:r w:rsidRPr="00E94E54">
              <w:rPr>
                <w:rFonts w:ascii="Arial" w:eastAsia="Times New Roman" w:hAnsi="Arial" w:cs="Arial"/>
                <w:color w:val="000000"/>
                <w:lang w:eastAsia="es-PA"/>
              </w:rPr>
              <w:t>Total</w:t>
            </w:r>
          </w:p>
        </w:tc>
        <w:tc>
          <w:tcPr>
            <w:tcW w:w="1200" w:type="dxa"/>
            <w:tcBorders>
              <w:top w:val="single" w:sz="4" w:space="0" w:color="auto"/>
              <w:left w:val="nil"/>
              <w:bottom w:val="single" w:sz="4" w:space="0" w:color="auto"/>
              <w:right w:val="nil"/>
            </w:tcBorders>
            <w:shd w:val="clear" w:color="auto" w:fill="D5DCE4" w:themeFill="text2" w:themeFillTint="33"/>
            <w:noWrap/>
            <w:vAlign w:val="center"/>
            <w:hideMark/>
          </w:tcPr>
          <w:p w:rsidR="00E94E54" w:rsidRPr="00E94E54" w:rsidRDefault="00E94E54" w:rsidP="00E94E54">
            <w:pPr>
              <w:jc w:val="center"/>
              <w:rPr>
                <w:rFonts w:ascii="Arial" w:eastAsia="Times New Roman" w:hAnsi="Arial" w:cs="Arial"/>
                <w:color w:val="000000"/>
                <w:lang w:val="es-PA" w:eastAsia="es-PA"/>
              </w:rPr>
            </w:pPr>
            <w:r w:rsidRPr="00E94E54">
              <w:rPr>
                <w:rFonts w:ascii="Arial" w:eastAsia="Times New Roman" w:hAnsi="Arial" w:cs="Arial"/>
                <w:color w:val="000000"/>
                <w:lang w:eastAsia="es-PA"/>
              </w:rPr>
              <w:t>Hombres</w:t>
            </w:r>
          </w:p>
        </w:tc>
        <w:tc>
          <w:tcPr>
            <w:tcW w:w="1200" w:type="dxa"/>
            <w:tcBorders>
              <w:top w:val="single" w:sz="4" w:space="0" w:color="auto"/>
              <w:left w:val="nil"/>
              <w:bottom w:val="single" w:sz="4" w:space="0" w:color="auto"/>
              <w:right w:val="nil"/>
            </w:tcBorders>
            <w:shd w:val="clear" w:color="auto" w:fill="D5DCE4" w:themeFill="text2" w:themeFillTint="33"/>
            <w:noWrap/>
            <w:vAlign w:val="center"/>
            <w:hideMark/>
          </w:tcPr>
          <w:p w:rsidR="00E94E54" w:rsidRPr="00E94E54" w:rsidRDefault="00E94E54" w:rsidP="00E94E54">
            <w:pPr>
              <w:jc w:val="center"/>
              <w:rPr>
                <w:rFonts w:ascii="Arial" w:eastAsia="Times New Roman" w:hAnsi="Arial" w:cs="Arial"/>
                <w:color w:val="000000"/>
                <w:lang w:val="es-PA" w:eastAsia="es-PA"/>
              </w:rPr>
            </w:pPr>
            <w:r w:rsidRPr="00E94E54">
              <w:rPr>
                <w:rFonts w:ascii="Arial" w:eastAsia="Times New Roman" w:hAnsi="Arial" w:cs="Arial"/>
                <w:color w:val="000000"/>
                <w:lang w:eastAsia="es-PA"/>
              </w:rPr>
              <w:t>Mujeres</w:t>
            </w:r>
          </w:p>
        </w:tc>
      </w:tr>
      <w:tr w:rsidR="00E94E54" w:rsidRPr="00E94E54" w:rsidTr="00E94E54">
        <w:trPr>
          <w:trHeight w:val="300"/>
          <w:jc w:val="center"/>
        </w:trPr>
        <w:tc>
          <w:tcPr>
            <w:tcW w:w="1200" w:type="dxa"/>
            <w:tcBorders>
              <w:top w:val="nil"/>
              <w:left w:val="nil"/>
              <w:bottom w:val="nil"/>
              <w:right w:val="nil"/>
            </w:tcBorders>
            <w:shd w:val="clear" w:color="000000" w:fill="FFFFFF"/>
            <w:noWrap/>
            <w:vAlign w:val="center"/>
            <w:hideMark/>
          </w:tcPr>
          <w:p w:rsidR="00E94E54" w:rsidRPr="002511BF" w:rsidRDefault="00E94E54" w:rsidP="00E94E54">
            <w:pPr>
              <w:jc w:val="center"/>
              <w:rPr>
                <w:rFonts w:ascii="Arial" w:eastAsia="Times New Roman" w:hAnsi="Arial" w:cs="Arial"/>
                <w:b/>
                <w:sz w:val="20"/>
                <w:szCs w:val="20"/>
                <w:lang w:val="es-PA" w:eastAsia="es-PA"/>
              </w:rPr>
            </w:pPr>
            <w:r w:rsidRPr="002511BF">
              <w:rPr>
                <w:rFonts w:ascii="Arial" w:eastAsia="Times New Roman" w:hAnsi="Arial" w:cs="Arial"/>
                <w:b/>
                <w:sz w:val="20"/>
                <w:szCs w:val="20"/>
                <w:lang w:eastAsia="es-PA"/>
              </w:rPr>
              <w:t>2011</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79,1</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76,6</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81,6</w:t>
            </w:r>
          </w:p>
        </w:tc>
      </w:tr>
      <w:tr w:rsidR="00E94E54" w:rsidRPr="00E94E54" w:rsidTr="00E94E54">
        <w:trPr>
          <w:trHeight w:val="300"/>
          <w:jc w:val="center"/>
        </w:trPr>
        <w:tc>
          <w:tcPr>
            <w:tcW w:w="1200" w:type="dxa"/>
            <w:tcBorders>
              <w:top w:val="nil"/>
              <w:left w:val="nil"/>
              <w:bottom w:val="nil"/>
              <w:right w:val="nil"/>
            </w:tcBorders>
            <w:shd w:val="clear" w:color="000000" w:fill="FFFFFF"/>
            <w:noWrap/>
            <w:vAlign w:val="center"/>
            <w:hideMark/>
          </w:tcPr>
          <w:p w:rsidR="00E94E54" w:rsidRPr="002511BF" w:rsidRDefault="00E94E54" w:rsidP="00E94E54">
            <w:pPr>
              <w:jc w:val="center"/>
              <w:rPr>
                <w:rFonts w:ascii="Arial" w:eastAsia="Times New Roman" w:hAnsi="Arial" w:cs="Arial"/>
                <w:b/>
                <w:sz w:val="20"/>
                <w:szCs w:val="20"/>
                <w:lang w:val="es-PA" w:eastAsia="es-PA"/>
              </w:rPr>
            </w:pPr>
            <w:r w:rsidRPr="002511BF">
              <w:rPr>
                <w:rFonts w:ascii="Arial" w:eastAsia="Times New Roman" w:hAnsi="Arial" w:cs="Arial"/>
                <w:b/>
                <w:sz w:val="20"/>
                <w:szCs w:val="20"/>
                <w:lang w:eastAsia="es-PA"/>
              </w:rPr>
              <w:t>2012</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79,4</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76,9</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81,9</w:t>
            </w:r>
          </w:p>
        </w:tc>
      </w:tr>
      <w:tr w:rsidR="00E94E54" w:rsidRPr="00E94E54" w:rsidTr="00E94E54">
        <w:trPr>
          <w:trHeight w:val="300"/>
          <w:jc w:val="center"/>
        </w:trPr>
        <w:tc>
          <w:tcPr>
            <w:tcW w:w="1200" w:type="dxa"/>
            <w:tcBorders>
              <w:top w:val="nil"/>
              <w:left w:val="nil"/>
              <w:bottom w:val="nil"/>
              <w:right w:val="nil"/>
            </w:tcBorders>
            <w:shd w:val="clear" w:color="000000" w:fill="FFFFFF"/>
            <w:noWrap/>
            <w:vAlign w:val="center"/>
            <w:hideMark/>
          </w:tcPr>
          <w:p w:rsidR="00E94E54" w:rsidRPr="002511BF" w:rsidRDefault="00E94E54" w:rsidP="00E94E54">
            <w:pPr>
              <w:jc w:val="center"/>
              <w:rPr>
                <w:rFonts w:ascii="Arial" w:eastAsia="Times New Roman" w:hAnsi="Arial" w:cs="Arial"/>
                <w:b/>
                <w:sz w:val="20"/>
                <w:szCs w:val="20"/>
                <w:lang w:val="es-PA" w:eastAsia="es-PA"/>
              </w:rPr>
            </w:pPr>
            <w:r w:rsidRPr="002511BF">
              <w:rPr>
                <w:rFonts w:ascii="Arial" w:eastAsia="Times New Roman" w:hAnsi="Arial" w:cs="Arial"/>
                <w:b/>
                <w:sz w:val="20"/>
                <w:szCs w:val="20"/>
                <w:lang w:eastAsia="es-PA"/>
              </w:rPr>
              <w:t>2013</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79,6</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77,1</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82,1</w:t>
            </w:r>
          </w:p>
        </w:tc>
      </w:tr>
      <w:tr w:rsidR="00E94E54" w:rsidRPr="00E94E54" w:rsidTr="00E94E54">
        <w:trPr>
          <w:trHeight w:val="300"/>
          <w:jc w:val="center"/>
        </w:trPr>
        <w:tc>
          <w:tcPr>
            <w:tcW w:w="1200" w:type="dxa"/>
            <w:tcBorders>
              <w:top w:val="nil"/>
              <w:left w:val="nil"/>
              <w:bottom w:val="nil"/>
              <w:right w:val="nil"/>
            </w:tcBorders>
            <w:shd w:val="clear" w:color="000000" w:fill="FFFFFF"/>
            <w:noWrap/>
            <w:vAlign w:val="center"/>
            <w:hideMark/>
          </w:tcPr>
          <w:p w:rsidR="00E94E54" w:rsidRPr="002511BF" w:rsidRDefault="00E94E54" w:rsidP="00E94E54">
            <w:pPr>
              <w:jc w:val="center"/>
              <w:rPr>
                <w:rFonts w:ascii="Arial" w:eastAsia="Times New Roman" w:hAnsi="Arial" w:cs="Arial"/>
                <w:b/>
                <w:sz w:val="20"/>
                <w:szCs w:val="20"/>
                <w:lang w:val="es-PA" w:eastAsia="es-PA"/>
              </w:rPr>
            </w:pPr>
            <w:r w:rsidRPr="002511BF">
              <w:rPr>
                <w:rFonts w:ascii="Arial" w:eastAsia="Times New Roman" w:hAnsi="Arial" w:cs="Arial"/>
                <w:b/>
                <w:sz w:val="20"/>
                <w:szCs w:val="20"/>
                <w:lang w:eastAsia="es-PA"/>
              </w:rPr>
              <w:t>2014</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79,7</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77,2</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82,3</w:t>
            </w:r>
          </w:p>
        </w:tc>
      </w:tr>
      <w:tr w:rsidR="00E94E54" w:rsidRPr="00E94E54" w:rsidTr="00E94E54">
        <w:trPr>
          <w:trHeight w:val="300"/>
          <w:jc w:val="center"/>
        </w:trPr>
        <w:tc>
          <w:tcPr>
            <w:tcW w:w="1200" w:type="dxa"/>
            <w:tcBorders>
              <w:top w:val="nil"/>
              <w:left w:val="nil"/>
              <w:bottom w:val="nil"/>
              <w:right w:val="nil"/>
            </w:tcBorders>
            <w:shd w:val="clear" w:color="000000" w:fill="FFFFFF"/>
            <w:noWrap/>
            <w:vAlign w:val="center"/>
            <w:hideMark/>
          </w:tcPr>
          <w:p w:rsidR="00E94E54" w:rsidRPr="002511BF" w:rsidRDefault="00E94E54" w:rsidP="00E94E54">
            <w:pPr>
              <w:jc w:val="center"/>
              <w:rPr>
                <w:rFonts w:ascii="Arial" w:eastAsia="Times New Roman" w:hAnsi="Arial" w:cs="Arial"/>
                <w:b/>
                <w:sz w:val="20"/>
                <w:szCs w:val="20"/>
                <w:lang w:val="es-PA" w:eastAsia="es-PA"/>
              </w:rPr>
            </w:pPr>
            <w:r w:rsidRPr="002511BF">
              <w:rPr>
                <w:rFonts w:ascii="Arial" w:eastAsia="Times New Roman" w:hAnsi="Arial" w:cs="Arial"/>
                <w:b/>
                <w:sz w:val="20"/>
                <w:szCs w:val="20"/>
                <w:lang w:eastAsia="es-PA"/>
              </w:rPr>
              <w:t>2015</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79,9</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77,4</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82,4</w:t>
            </w:r>
          </w:p>
        </w:tc>
      </w:tr>
      <w:tr w:rsidR="00E94E54" w:rsidRPr="00E94E54" w:rsidTr="00E94E54">
        <w:trPr>
          <w:trHeight w:val="300"/>
          <w:jc w:val="center"/>
        </w:trPr>
        <w:tc>
          <w:tcPr>
            <w:tcW w:w="1200" w:type="dxa"/>
            <w:tcBorders>
              <w:top w:val="nil"/>
              <w:left w:val="nil"/>
              <w:bottom w:val="nil"/>
              <w:right w:val="nil"/>
            </w:tcBorders>
            <w:shd w:val="clear" w:color="000000" w:fill="FFFFFF"/>
            <w:noWrap/>
            <w:vAlign w:val="center"/>
            <w:hideMark/>
          </w:tcPr>
          <w:p w:rsidR="00E94E54" w:rsidRPr="002511BF" w:rsidRDefault="00E94E54" w:rsidP="00E94E54">
            <w:pPr>
              <w:jc w:val="center"/>
              <w:rPr>
                <w:rFonts w:ascii="Arial" w:eastAsia="Times New Roman" w:hAnsi="Arial" w:cs="Arial"/>
                <w:b/>
                <w:sz w:val="20"/>
                <w:szCs w:val="20"/>
                <w:lang w:val="es-PA" w:eastAsia="es-PA"/>
              </w:rPr>
            </w:pPr>
            <w:r w:rsidRPr="002511BF">
              <w:rPr>
                <w:rFonts w:ascii="Arial" w:eastAsia="Times New Roman" w:hAnsi="Arial" w:cs="Arial"/>
                <w:b/>
                <w:sz w:val="20"/>
                <w:szCs w:val="20"/>
                <w:lang w:eastAsia="es-PA"/>
              </w:rPr>
              <w:t>2016</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80,0</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77,5</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82,6</w:t>
            </w:r>
          </w:p>
        </w:tc>
      </w:tr>
      <w:tr w:rsidR="00E94E54" w:rsidRPr="00E94E54" w:rsidTr="00E94E54">
        <w:trPr>
          <w:trHeight w:val="300"/>
          <w:jc w:val="center"/>
        </w:trPr>
        <w:tc>
          <w:tcPr>
            <w:tcW w:w="1200" w:type="dxa"/>
            <w:tcBorders>
              <w:top w:val="nil"/>
              <w:left w:val="nil"/>
              <w:bottom w:val="nil"/>
              <w:right w:val="nil"/>
            </w:tcBorders>
            <w:shd w:val="clear" w:color="000000" w:fill="FFFFFF"/>
            <w:noWrap/>
            <w:vAlign w:val="center"/>
            <w:hideMark/>
          </w:tcPr>
          <w:p w:rsidR="00E94E54" w:rsidRPr="002511BF" w:rsidRDefault="00E94E54" w:rsidP="00E94E54">
            <w:pPr>
              <w:jc w:val="center"/>
              <w:rPr>
                <w:rFonts w:ascii="Arial" w:eastAsia="Times New Roman" w:hAnsi="Arial" w:cs="Arial"/>
                <w:b/>
                <w:sz w:val="20"/>
                <w:szCs w:val="20"/>
                <w:lang w:val="es-PA" w:eastAsia="es-PA"/>
              </w:rPr>
            </w:pPr>
            <w:r w:rsidRPr="002511BF">
              <w:rPr>
                <w:rFonts w:ascii="Arial" w:eastAsia="Times New Roman" w:hAnsi="Arial" w:cs="Arial"/>
                <w:b/>
                <w:sz w:val="20"/>
                <w:szCs w:val="20"/>
                <w:lang w:eastAsia="es-PA"/>
              </w:rPr>
              <w:t>2017</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80,2</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77,6</w:t>
            </w:r>
          </w:p>
        </w:tc>
        <w:tc>
          <w:tcPr>
            <w:tcW w:w="1200" w:type="dxa"/>
            <w:tcBorders>
              <w:top w:val="nil"/>
              <w:left w:val="nil"/>
              <w:bottom w:val="nil"/>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82,7</w:t>
            </w:r>
          </w:p>
        </w:tc>
      </w:tr>
      <w:tr w:rsidR="00E94E54" w:rsidRPr="00E94E54" w:rsidTr="00E94E54">
        <w:trPr>
          <w:trHeight w:val="300"/>
          <w:jc w:val="center"/>
        </w:trPr>
        <w:tc>
          <w:tcPr>
            <w:tcW w:w="1200" w:type="dxa"/>
            <w:tcBorders>
              <w:top w:val="nil"/>
              <w:left w:val="nil"/>
              <w:bottom w:val="single" w:sz="4" w:space="0" w:color="auto"/>
              <w:right w:val="nil"/>
            </w:tcBorders>
            <w:shd w:val="clear" w:color="000000" w:fill="FFFFFF"/>
            <w:noWrap/>
            <w:vAlign w:val="center"/>
            <w:hideMark/>
          </w:tcPr>
          <w:p w:rsidR="00E94E54" w:rsidRPr="002511BF" w:rsidRDefault="00E94E54" w:rsidP="00E94E54">
            <w:pPr>
              <w:jc w:val="center"/>
              <w:rPr>
                <w:rFonts w:ascii="Arial" w:eastAsia="Times New Roman" w:hAnsi="Arial" w:cs="Arial"/>
                <w:b/>
                <w:sz w:val="20"/>
                <w:szCs w:val="20"/>
                <w:lang w:val="es-PA" w:eastAsia="es-PA"/>
              </w:rPr>
            </w:pPr>
            <w:r w:rsidRPr="002511BF">
              <w:rPr>
                <w:rFonts w:ascii="Arial" w:eastAsia="Times New Roman" w:hAnsi="Arial" w:cs="Arial"/>
                <w:b/>
                <w:sz w:val="20"/>
                <w:szCs w:val="20"/>
                <w:lang w:eastAsia="es-PA"/>
              </w:rPr>
              <w:t>2018</w:t>
            </w:r>
          </w:p>
        </w:tc>
        <w:tc>
          <w:tcPr>
            <w:tcW w:w="1200" w:type="dxa"/>
            <w:tcBorders>
              <w:top w:val="nil"/>
              <w:left w:val="nil"/>
              <w:bottom w:val="single" w:sz="4" w:space="0" w:color="auto"/>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80,3</w:t>
            </w:r>
          </w:p>
        </w:tc>
        <w:tc>
          <w:tcPr>
            <w:tcW w:w="1200" w:type="dxa"/>
            <w:tcBorders>
              <w:top w:val="nil"/>
              <w:left w:val="nil"/>
              <w:bottom w:val="single" w:sz="4" w:space="0" w:color="auto"/>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77,8</w:t>
            </w:r>
          </w:p>
        </w:tc>
        <w:tc>
          <w:tcPr>
            <w:tcW w:w="1200" w:type="dxa"/>
            <w:tcBorders>
              <w:top w:val="nil"/>
              <w:left w:val="nil"/>
              <w:bottom w:val="single" w:sz="4" w:space="0" w:color="auto"/>
              <w:right w:val="nil"/>
            </w:tcBorders>
            <w:shd w:val="clear" w:color="000000" w:fill="FFFFFF"/>
            <w:noWrap/>
            <w:vAlign w:val="center"/>
            <w:hideMark/>
          </w:tcPr>
          <w:p w:rsidR="00E94E54" w:rsidRPr="00E94E54" w:rsidRDefault="00E94E54" w:rsidP="00E94E54">
            <w:pPr>
              <w:jc w:val="center"/>
              <w:rPr>
                <w:rFonts w:ascii="Arial" w:eastAsia="Times New Roman" w:hAnsi="Arial" w:cs="Arial"/>
                <w:sz w:val="20"/>
                <w:szCs w:val="20"/>
                <w:lang w:val="es-PA" w:eastAsia="es-PA"/>
              </w:rPr>
            </w:pPr>
            <w:r w:rsidRPr="00E94E54">
              <w:rPr>
                <w:rFonts w:ascii="Arial" w:eastAsia="Times New Roman" w:hAnsi="Arial" w:cs="Arial"/>
                <w:sz w:val="20"/>
                <w:szCs w:val="20"/>
                <w:lang w:eastAsia="es-PA"/>
              </w:rPr>
              <w:t>82,9</w:t>
            </w:r>
          </w:p>
        </w:tc>
      </w:tr>
    </w:tbl>
    <w:p w:rsidR="009B1095" w:rsidRDefault="00E94E54" w:rsidP="00E94E54">
      <w:pPr>
        <w:spacing w:line="360" w:lineRule="auto"/>
        <w:ind w:firstLine="142"/>
        <w:jc w:val="center"/>
        <w:rPr>
          <w:rFonts w:ascii="Arial" w:hAnsi="Arial" w:cs="Arial"/>
        </w:rPr>
      </w:pPr>
      <w:r w:rsidRPr="003B5ACE">
        <w:rPr>
          <w:rFonts w:ascii="Arial" w:hAnsi="Arial" w:cs="Arial"/>
          <w:b/>
          <w:sz w:val="20"/>
          <w:lang w:val="es-CR"/>
        </w:rPr>
        <w:t>Fuente:</w:t>
      </w:r>
      <w:r w:rsidRPr="008B57A1">
        <w:rPr>
          <w:rFonts w:ascii="Arial" w:hAnsi="Arial" w:cs="Arial"/>
          <w:sz w:val="20"/>
          <w:lang w:val="es-CR"/>
        </w:rPr>
        <w:t xml:space="preserve"> INEC</w:t>
      </w:r>
      <w:r w:rsidR="00151623">
        <w:rPr>
          <w:rFonts w:ascii="Arial" w:hAnsi="Arial" w:cs="Arial"/>
          <w:sz w:val="20"/>
          <w:lang w:val="es-CR"/>
        </w:rPr>
        <w:t xml:space="preserve">, </w:t>
      </w:r>
      <w:r w:rsidRPr="008B57A1">
        <w:rPr>
          <w:rFonts w:ascii="Arial" w:hAnsi="Arial" w:cs="Arial"/>
          <w:sz w:val="20"/>
          <w:lang w:val="es-CR"/>
        </w:rPr>
        <w:t>Dirección de Vigilancia de la Salud</w:t>
      </w:r>
      <w:r w:rsidR="00151623">
        <w:rPr>
          <w:rFonts w:ascii="Arial" w:hAnsi="Arial" w:cs="Arial"/>
          <w:sz w:val="20"/>
          <w:lang w:val="es-CR"/>
        </w:rPr>
        <w:t>, Ministerio de Salud, 2018.</w:t>
      </w:r>
    </w:p>
    <w:p w:rsidR="009B1095" w:rsidRDefault="009B1095" w:rsidP="009B1095">
      <w:pPr>
        <w:spacing w:line="360" w:lineRule="auto"/>
        <w:ind w:firstLine="142"/>
        <w:jc w:val="both"/>
        <w:rPr>
          <w:rFonts w:ascii="Arial" w:hAnsi="Arial" w:cs="Arial"/>
        </w:rPr>
      </w:pPr>
    </w:p>
    <w:p w:rsidR="001C6615" w:rsidRPr="00151623" w:rsidRDefault="009B1095" w:rsidP="00C02692">
      <w:pPr>
        <w:pStyle w:val="Ttulo2"/>
        <w:spacing w:after="240"/>
        <w:rPr>
          <w:rFonts w:ascii="Arial" w:hAnsi="Arial" w:cs="Arial"/>
          <w:b/>
          <w:color w:val="auto"/>
          <w:sz w:val="24"/>
          <w:szCs w:val="24"/>
        </w:rPr>
      </w:pPr>
      <w:bookmarkStart w:id="6" w:name="_Toc7439650"/>
      <w:r w:rsidRPr="00151623">
        <w:rPr>
          <w:rFonts w:ascii="Arial" w:hAnsi="Arial" w:cs="Arial"/>
          <w:b/>
          <w:color w:val="auto"/>
          <w:sz w:val="24"/>
          <w:szCs w:val="24"/>
        </w:rPr>
        <w:t>E</w:t>
      </w:r>
      <w:r w:rsidR="00151623">
        <w:rPr>
          <w:rFonts w:ascii="Arial" w:hAnsi="Arial" w:cs="Arial"/>
          <w:b/>
          <w:color w:val="auto"/>
          <w:sz w:val="24"/>
          <w:szCs w:val="24"/>
        </w:rPr>
        <w:t>mbarazo adolescente</w:t>
      </w:r>
      <w:bookmarkEnd w:id="6"/>
    </w:p>
    <w:p w:rsidR="001C6615" w:rsidRDefault="00EC203F" w:rsidP="00EC203F">
      <w:pPr>
        <w:spacing w:after="240" w:line="276" w:lineRule="auto"/>
        <w:jc w:val="both"/>
        <w:rPr>
          <w:rFonts w:ascii="Arial" w:hAnsi="Arial" w:cs="Arial"/>
          <w:color w:val="000000"/>
        </w:rPr>
      </w:pPr>
      <w:r>
        <w:rPr>
          <w:rFonts w:ascii="Arial" w:hAnsi="Arial" w:cs="Arial"/>
          <w:color w:val="000000"/>
          <w:lang w:val="es-CR"/>
        </w:rPr>
        <w:t>L</w:t>
      </w:r>
      <w:r w:rsidR="001C6615" w:rsidRPr="002E4D35">
        <w:rPr>
          <w:rFonts w:ascii="Arial" w:hAnsi="Arial" w:cs="Arial"/>
          <w:color w:val="000000"/>
          <w:lang w:val="es-CR"/>
        </w:rPr>
        <w:t xml:space="preserve">a distribución relativa de los nacimientos por edad de la madre muestra </w:t>
      </w:r>
      <w:r>
        <w:rPr>
          <w:rFonts w:ascii="Arial" w:hAnsi="Arial" w:cs="Arial"/>
          <w:color w:val="000000"/>
          <w:lang w:val="es-CR"/>
        </w:rPr>
        <w:t>un</w:t>
      </w:r>
      <w:r w:rsidR="001C6615" w:rsidRPr="002E4D35">
        <w:rPr>
          <w:rFonts w:ascii="Arial" w:hAnsi="Arial" w:cs="Arial"/>
          <w:color w:val="000000"/>
          <w:lang w:val="es-CR"/>
        </w:rPr>
        <w:t xml:space="preserve"> aumento de nacimientos en madres en</w:t>
      </w:r>
      <w:r>
        <w:rPr>
          <w:rFonts w:ascii="Arial" w:hAnsi="Arial" w:cs="Arial"/>
          <w:color w:val="000000"/>
          <w:lang w:val="es-CR"/>
        </w:rPr>
        <w:t xml:space="preserve">tre </w:t>
      </w:r>
      <w:r w:rsidR="001C6615" w:rsidRPr="002E4D35">
        <w:rPr>
          <w:rFonts w:ascii="Arial" w:hAnsi="Arial" w:cs="Arial"/>
          <w:color w:val="000000"/>
          <w:lang w:val="es-CR"/>
        </w:rPr>
        <w:t>los 25 y los 39 años</w:t>
      </w:r>
      <w:r>
        <w:rPr>
          <w:rFonts w:ascii="Arial" w:hAnsi="Arial" w:cs="Arial"/>
          <w:color w:val="000000"/>
          <w:lang w:val="es-CR"/>
        </w:rPr>
        <w:t>;</w:t>
      </w:r>
      <w:r w:rsidR="001C6615" w:rsidRPr="002E4D35">
        <w:rPr>
          <w:rFonts w:ascii="Arial" w:hAnsi="Arial" w:cs="Arial"/>
          <w:color w:val="000000"/>
          <w:lang w:val="es-CR"/>
        </w:rPr>
        <w:t xml:space="preserve"> como se observa en el cuadro 4, </w:t>
      </w:r>
      <w:r>
        <w:rPr>
          <w:rFonts w:ascii="Arial" w:hAnsi="Arial" w:cs="Arial"/>
          <w:color w:val="000000"/>
          <w:lang w:val="es-CR"/>
        </w:rPr>
        <w:t xml:space="preserve">el cual presenta </w:t>
      </w:r>
      <w:r w:rsidR="001C6615" w:rsidRPr="002E4D35">
        <w:rPr>
          <w:rFonts w:ascii="Arial" w:hAnsi="Arial" w:cs="Arial"/>
          <w:color w:val="000000"/>
          <w:lang w:val="es-CR"/>
        </w:rPr>
        <w:t>20 años de evolución del embarazo según grupos de edad</w:t>
      </w:r>
      <w:r w:rsidR="001C6615">
        <w:rPr>
          <w:rFonts w:ascii="Arial" w:hAnsi="Arial" w:cs="Arial"/>
          <w:color w:val="000000"/>
        </w:rPr>
        <w:t>.</w:t>
      </w:r>
    </w:p>
    <w:p w:rsidR="001C6615" w:rsidRPr="002E4D35" w:rsidRDefault="001C6615" w:rsidP="002E4D35">
      <w:pPr>
        <w:spacing w:line="276" w:lineRule="auto"/>
        <w:jc w:val="both"/>
        <w:rPr>
          <w:rFonts w:ascii="Arial" w:hAnsi="Arial" w:cs="Arial"/>
          <w:color w:val="000000"/>
          <w:lang w:val="es-CR"/>
        </w:rPr>
      </w:pPr>
      <w:r w:rsidRPr="002E4D35">
        <w:rPr>
          <w:rFonts w:ascii="Arial" w:hAnsi="Arial" w:cs="Arial"/>
          <w:color w:val="000000"/>
          <w:lang w:val="es-CR"/>
        </w:rPr>
        <w:t xml:space="preserve">Entre 1997 y 2017 los nacimientos de madres menores de 20 años disminuyeron en un 33,0 %, mientras que el grupo </w:t>
      </w:r>
      <w:r w:rsidR="00EC203F" w:rsidRPr="002E4D35">
        <w:rPr>
          <w:rFonts w:ascii="Arial" w:hAnsi="Arial" w:cs="Arial"/>
          <w:color w:val="000000"/>
          <w:lang w:val="es-CR"/>
        </w:rPr>
        <w:t xml:space="preserve">de 35 a 39 años </w:t>
      </w:r>
      <w:r w:rsidR="00EC203F">
        <w:rPr>
          <w:rFonts w:ascii="Arial" w:hAnsi="Arial" w:cs="Arial"/>
          <w:color w:val="000000"/>
          <w:lang w:val="es-CR"/>
        </w:rPr>
        <w:t>fue el que presentó el mayor porcentaje de nacimientos.</w:t>
      </w:r>
    </w:p>
    <w:p w:rsidR="0036299F" w:rsidRDefault="0036299F">
      <w:pPr>
        <w:spacing w:after="160" w:line="259" w:lineRule="auto"/>
        <w:rPr>
          <w:rFonts w:ascii="Arial" w:hAnsi="Arial" w:cs="Arial"/>
          <w:color w:val="000000"/>
          <w:lang w:val="es-CR"/>
        </w:rPr>
      </w:pPr>
      <w:r>
        <w:rPr>
          <w:rFonts w:ascii="Arial" w:hAnsi="Arial" w:cs="Arial"/>
          <w:color w:val="000000"/>
          <w:lang w:val="es-CR"/>
        </w:rPr>
        <w:br w:type="page"/>
      </w:r>
    </w:p>
    <w:p w:rsidR="001C6615" w:rsidRPr="002E4D35" w:rsidRDefault="001C6615" w:rsidP="002E4D35">
      <w:pPr>
        <w:spacing w:line="276" w:lineRule="auto"/>
        <w:jc w:val="both"/>
        <w:rPr>
          <w:rFonts w:ascii="Arial" w:hAnsi="Arial" w:cs="Arial"/>
          <w:color w:val="000000"/>
          <w:lang w:val="es-CR"/>
        </w:rPr>
      </w:pPr>
    </w:p>
    <w:p w:rsidR="00E63B5B" w:rsidRPr="00E726C4" w:rsidRDefault="003B5ACE" w:rsidP="0066355C">
      <w:pPr>
        <w:pStyle w:val="Encabezado"/>
        <w:jc w:val="center"/>
        <w:rPr>
          <w:rFonts w:ascii="Arial" w:hAnsi="Arial" w:cs="Arial"/>
          <w:b/>
          <w:lang w:val="es-CR"/>
        </w:rPr>
      </w:pPr>
      <w:r>
        <w:rPr>
          <w:rFonts w:ascii="Arial" w:hAnsi="Arial" w:cs="Arial"/>
          <w:b/>
          <w:lang w:val="es-CR"/>
        </w:rPr>
        <w:t xml:space="preserve">Cuadro </w:t>
      </w:r>
      <w:r w:rsidR="002E4D35" w:rsidRPr="002E4D35">
        <w:rPr>
          <w:rFonts w:ascii="Arial" w:hAnsi="Arial" w:cs="Arial"/>
          <w:b/>
          <w:lang w:val="es-CR"/>
        </w:rPr>
        <w:t>4</w:t>
      </w:r>
    </w:p>
    <w:p w:rsidR="00BF5FBE" w:rsidRDefault="002E4D35" w:rsidP="0066355C">
      <w:pPr>
        <w:jc w:val="center"/>
        <w:rPr>
          <w:rFonts w:ascii="Arial" w:hAnsi="Arial" w:cs="Arial"/>
          <w:b/>
          <w:lang w:val="es-CR" w:eastAsia="x-none"/>
        </w:rPr>
      </w:pPr>
      <w:r w:rsidRPr="002E4D35">
        <w:rPr>
          <w:rFonts w:ascii="Arial" w:hAnsi="Arial" w:cs="Arial"/>
          <w:b/>
          <w:lang w:val="es-CR" w:eastAsia="x-none"/>
        </w:rPr>
        <w:t>Costa Rica: Total de nacimientos según grupo de edad</w:t>
      </w:r>
      <w:r w:rsidR="0036299F">
        <w:rPr>
          <w:rStyle w:val="Refdenotaalpie"/>
          <w:rFonts w:ascii="Arial" w:hAnsi="Arial" w:cs="Arial"/>
          <w:b/>
          <w:lang w:val="es-CR" w:eastAsia="x-none"/>
        </w:rPr>
        <w:footnoteReference w:id="4"/>
      </w:r>
      <w:r w:rsidRPr="002E4D35">
        <w:rPr>
          <w:rFonts w:ascii="Arial" w:hAnsi="Arial" w:cs="Arial"/>
          <w:b/>
          <w:lang w:val="es-CR" w:eastAsia="x-none"/>
        </w:rPr>
        <w:t xml:space="preserve"> </w:t>
      </w:r>
    </w:p>
    <w:p w:rsidR="002E4D35" w:rsidRPr="002E4D35" w:rsidRDefault="002E4D35" w:rsidP="0066355C">
      <w:pPr>
        <w:jc w:val="center"/>
        <w:rPr>
          <w:rFonts w:ascii="Arial" w:hAnsi="Arial" w:cs="Arial"/>
          <w:b/>
          <w:lang w:val="es-CR" w:eastAsia="x-none"/>
        </w:rPr>
      </w:pPr>
      <w:r w:rsidRPr="002E4D35">
        <w:rPr>
          <w:rFonts w:ascii="Arial" w:hAnsi="Arial" w:cs="Arial"/>
          <w:b/>
          <w:lang w:val="es-CR" w:eastAsia="x-none"/>
        </w:rPr>
        <w:t>de la madre, 1997 y 2017</w:t>
      </w:r>
    </w:p>
    <w:tbl>
      <w:tblPr>
        <w:tblW w:w="6836" w:type="dxa"/>
        <w:jc w:val="center"/>
        <w:shd w:val="clear" w:color="auto" w:fill="FFFFFF" w:themeFill="background1"/>
        <w:tblCellMar>
          <w:left w:w="70" w:type="dxa"/>
          <w:right w:w="70" w:type="dxa"/>
        </w:tblCellMar>
        <w:tblLook w:val="04A0" w:firstRow="1" w:lastRow="0" w:firstColumn="1" w:lastColumn="0" w:noHBand="0" w:noVBand="1"/>
      </w:tblPr>
      <w:tblGrid>
        <w:gridCol w:w="1540"/>
        <w:gridCol w:w="1408"/>
        <w:gridCol w:w="1240"/>
        <w:gridCol w:w="1408"/>
        <w:gridCol w:w="1240"/>
      </w:tblGrid>
      <w:tr w:rsidR="002E4D35" w:rsidRPr="002511BF" w:rsidTr="00BF5FBE">
        <w:trPr>
          <w:trHeight w:val="384"/>
          <w:jc w:val="center"/>
        </w:trPr>
        <w:tc>
          <w:tcPr>
            <w:tcW w:w="1540" w:type="dxa"/>
            <w:vMerge w:val="restart"/>
            <w:tcBorders>
              <w:top w:val="single" w:sz="4" w:space="0" w:color="auto"/>
              <w:left w:val="nil"/>
              <w:bottom w:val="single" w:sz="8" w:space="0" w:color="000000"/>
              <w:right w:val="nil"/>
            </w:tcBorders>
            <w:shd w:val="clear" w:color="auto" w:fill="D5DCE4" w:themeFill="text2" w:themeFillTint="33"/>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Grupos de</w:t>
            </w:r>
            <w:r w:rsidRPr="002511BF">
              <w:rPr>
                <w:rFonts w:ascii="Arial" w:hAnsi="Arial" w:cs="Arial"/>
                <w:b/>
                <w:color w:val="000000"/>
                <w:sz w:val="20"/>
                <w:szCs w:val="20"/>
                <w:lang w:val="es-ES" w:eastAsia="es-ES"/>
              </w:rPr>
              <w:br/>
              <w:t>edades de la madre</w:t>
            </w:r>
          </w:p>
        </w:tc>
        <w:tc>
          <w:tcPr>
            <w:tcW w:w="5296" w:type="dxa"/>
            <w:gridSpan w:val="4"/>
            <w:tcBorders>
              <w:top w:val="single" w:sz="4" w:space="0" w:color="auto"/>
              <w:left w:val="nil"/>
              <w:bottom w:val="single" w:sz="4" w:space="0" w:color="auto"/>
              <w:right w:val="nil"/>
            </w:tcBorders>
            <w:shd w:val="clear" w:color="auto" w:fill="D5DCE4" w:themeFill="text2" w:themeFillTint="33"/>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Nacimientos</w:t>
            </w:r>
          </w:p>
        </w:tc>
      </w:tr>
      <w:tr w:rsidR="002E4D35" w:rsidRPr="002511BF" w:rsidTr="00BF5FBE">
        <w:trPr>
          <w:trHeight w:val="384"/>
          <w:jc w:val="center"/>
        </w:trPr>
        <w:tc>
          <w:tcPr>
            <w:tcW w:w="1540" w:type="dxa"/>
            <w:vMerge/>
            <w:tcBorders>
              <w:top w:val="nil"/>
              <w:left w:val="nil"/>
              <w:bottom w:val="single" w:sz="8" w:space="0" w:color="000000"/>
              <w:right w:val="nil"/>
            </w:tcBorders>
            <w:shd w:val="clear" w:color="auto" w:fill="D5DCE4" w:themeFill="text2" w:themeFillTint="33"/>
            <w:vAlign w:val="center"/>
            <w:hideMark/>
          </w:tcPr>
          <w:p w:rsidR="002E4D35" w:rsidRPr="002511BF" w:rsidRDefault="002E4D35" w:rsidP="00DF79F2">
            <w:pPr>
              <w:rPr>
                <w:rFonts w:ascii="Arial" w:hAnsi="Arial" w:cs="Arial"/>
                <w:b/>
                <w:color w:val="000000"/>
                <w:sz w:val="20"/>
                <w:szCs w:val="20"/>
                <w:lang w:val="es-ES" w:eastAsia="es-ES"/>
              </w:rPr>
            </w:pPr>
          </w:p>
        </w:tc>
        <w:tc>
          <w:tcPr>
            <w:tcW w:w="2648" w:type="dxa"/>
            <w:gridSpan w:val="2"/>
            <w:tcBorders>
              <w:top w:val="nil"/>
              <w:left w:val="nil"/>
              <w:bottom w:val="nil"/>
              <w:right w:val="nil"/>
            </w:tcBorders>
            <w:shd w:val="clear" w:color="auto" w:fill="D5DCE4" w:themeFill="text2" w:themeFillTint="33"/>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1997</w:t>
            </w:r>
          </w:p>
        </w:tc>
        <w:tc>
          <w:tcPr>
            <w:tcW w:w="2648" w:type="dxa"/>
            <w:gridSpan w:val="2"/>
            <w:tcBorders>
              <w:top w:val="nil"/>
              <w:left w:val="nil"/>
              <w:bottom w:val="nil"/>
              <w:right w:val="nil"/>
            </w:tcBorders>
            <w:shd w:val="clear" w:color="auto" w:fill="D5DCE4" w:themeFill="text2" w:themeFillTint="33"/>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2017</w:t>
            </w:r>
          </w:p>
        </w:tc>
      </w:tr>
      <w:tr w:rsidR="002E4D35" w:rsidRPr="002511BF" w:rsidTr="00BF5FBE">
        <w:trPr>
          <w:trHeight w:val="384"/>
          <w:jc w:val="center"/>
        </w:trPr>
        <w:tc>
          <w:tcPr>
            <w:tcW w:w="1540" w:type="dxa"/>
            <w:vMerge/>
            <w:tcBorders>
              <w:top w:val="nil"/>
              <w:left w:val="nil"/>
              <w:bottom w:val="single" w:sz="8" w:space="0" w:color="000000"/>
              <w:right w:val="nil"/>
            </w:tcBorders>
            <w:shd w:val="clear" w:color="auto" w:fill="D5DCE4" w:themeFill="text2" w:themeFillTint="33"/>
            <w:vAlign w:val="center"/>
            <w:hideMark/>
          </w:tcPr>
          <w:p w:rsidR="002E4D35" w:rsidRPr="002511BF" w:rsidRDefault="002E4D35" w:rsidP="00DF79F2">
            <w:pPr>
              <w:rPr>
                <w:rFonts w:ascii="Arial" w:hAnsi="Arial" w:cs="Arial"/>
                <w:b/>
                <w:color w:val="000000"/>
                <w:sz w:val="20"/>
                <w:szCs w:val="20"/>
                <w:lang w:val="es-ES" w:eastAsia="es-ES"/>
              </w:rPr>
            </w:pPr>
          </w:p>
        </w:tc>
        <w:tc>
          <w:tcPr>
            <w:tcW w:w="1408" w:type="dxa"/>
            <w:tcBorders>
              <w:top w:val="nil"/>
              <w:left w:val="nil"/>
              <w:bottom w:val="single" w:sz="8" w:space="0" w:color="000000"/>
              <w:right w:val="nil"/>
            </w:tcBorders>
            <w:shd w:val="clear" w:color="auto" w:fill="D5DCE4" w:themeFill="text2" w:themeFillTint="33"/>
            <w:noWrap/>
            <w:vAlign w:val="center"/>
            <w:hideMark/>
          </w:tcPr>
          <w:p w:rsidR="002E4D35" w:rsidRPr="002511BF" w:rsidRDefault="002E4D35" w:rsidP="00DF79F2">
            <w:pPr>
              <w:rPr>
                <w:rFonts w:ascii="Arial" w:hAnsi="Arial" w:cs="Arial"/>
                <w:b/>
                <w:color w:val="000000"/>
                <w:sz w:val="20"/>
                <w:szCs w:val="20"/>
                <w:lang w:val="es-ES" w:eastAsia="es-ES"/>
              </w:rPr>
            </w:pPr>
            <w:r w:rsidRPr="002511BF">
              <w:rPr>
                <w:rFonts w:ascii="Arial" w:hAnsi="Arial" w:cs="Arial"/>
                <w:b/>
                <w:color w:val="000000"/>
                <w:sz w:val="20"/>
                <w:szCs w:val="20"/>
                <w:lang w:val="es-ES" w:eastAsia="es-ES"/>
              </w:rPr>
              <w:t>Frecuencia</w:t>
            </w:r>
          </w:p>
        </w:tc>
        <w:tc>
          <w:tcPr>
            <w:tcW w:w="1240" w:type="dxa"/>
            <w:tcBorders>
              <w:top w:val="nil"/>
              <w:left w:val="nil"/>
              <w:bottom w:val="single" w:sz="8" w:space="0" w:color="000000"/>
              <w:right w:val="nil"/>
            </w:tcBorders>
            <w:shd w:val="clear" w:color="auto" w:fill="D5DCE4" w:themeFill="text2" w:themeFillTint="33"/>
            <w:noWrap/>
            <w:vAlign w:val="center"/>
            <w:hideMark/>
          </w:tcPr>
          <w:p w:rsidR="002E4D35" w:rsidRPr="002511BF" w:rsidRDefault="002E4D35" w:rsidP="00DF79F2">
            <w:pPr>
              <w:rPr>
                <w:rFonts w:ascii="Arial" w:hAnsi="Arial" w:cs="Arial"/>
                <w:b/>
                <w:color w:val="000000"/>
                <w:sz w:val="20"/>
                <w:szCs w:val="20"/>
                <w:lang w:val="es-ES" w:eastAsia="es-ES"/>
              </w:rPr>
            </w:pPr>
            <w:r w:rsidRPr="002511BF">
              <w:rPr>
                <w:rFonts w:ascii="Arial" w:hAnsi="Arial" w:cs="Arial"/>
                <w:b/>
                <w:color w:val="000000"/>
                <w:sz w:val="20"/>
                <w:szCs w:val="20"/>
                <w:lang w:val="es-ES" w:eastAsia="es-ES"/>
              </w:rPr>
              <w:t>Relativo</w:t>
            </w:r>
          </w:p>
        </w:tc>
        <w:tc>
          <w:tcPr>
            <w:tcW w:w="1408" w:type="dxa"/>
            <w:tcBorders>
              <w:top w:val="nil"/>
              <w:left w:val="nil"/>
              <w:bottom w:val="single" w:sz="8" w:space="0" w:color="auto"/>
              <w:right w:val="nil"/>
            </w:tcBorders>
            <w:shd w:val="clear" w:color="auto" w:fill="D5DCE4" w:themeFill="text2" w:themeFillTint="33"/>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Frecuencia</w:t>
            </w:r>
          </w:p>
        </w:tc>
        <w:tc>
          <w:tcPr>
            <w:tcW w:w="1240" w:type="dxa"/>
            <w:tcBorders>
              <w:top w:val="nil"/>
              <w:left w:val="nil"/>
              <w:bottom w:val="single" w:sz="8" w:space="0" w:color="auto"/>
              <w:right w:val="nil"/>
            </w:tcBorders>
            <w:shd w:val="clear" w:color="auto" w:fill="D5DCE4" w:themeFill="text2" w:themeFillTint="33"/>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Relativo</w:t>
            </w:r>
          </w:p>
        </w:tc>
      </w:tr>
      <w:tr w:rsidR="002E4D35" w:rsidRPr="002511BF" w:rsidTr="002E4D35">
        <w:trPr>
          <w:trHeight w:val="384"/>
          <w:jc w:val="center"/>
        </w:trPr>
        <w:tc>
          <w:tcPr>
            <w:tcW w:w="15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b/>
                <w:bCs/>
                <w:color w:val="000000"/>
                <w:sz w:val="20"/>
                <w:szCs w:val="20"/>
                <w:lang w:val="es-ES" w:eastAsia="es-ES"/>
              </w:rPr>
            </w:pPr>
            <w:r w:rsidRPr="002511BF">
              <w:rPr>
                <w:rFonts w:ascii="Arial" w:hAnsi="Arial" w:cs="Arial"/>
                <w:b/>
                <w:bCs/>
                <w:color w:val="000000"/>
                <w:sz w:val="20"/>
                <w:szCs w:val="20"/>
                <w:lang w:val="es-ES" w:eastAsia="es-ES"/>
              </w:rPr>
              <w:t>Total</w:t>
            </w:r>
          </w:p>
        </w:tc>
        <w:tc>
          <w:tcPr>
            <w:tcW w:w="1408"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b/>
                <w:bCs/>
                <w:color w:val="000000"/>
                <w:sz w:val="20"/>
                <w:szCs w:val="20"/>
                <w:lang w:val="es-ES" w:eastAsia="es-ES"/>
              </w:rPr>
            </w:pPr>
            <w:r w:rsidRPr="002511BF">
              <w:rPr>
                <w:rFonts w:ascii="Arial" w:hAnsi="Arial" w:cs="Arial"/>
                <w:b/>
                <w:bCs/>
                <w:color w:val="000000"/>
                <w:sz w:val="20"/>
                <w:szCs w:val="20"/>
                <w:lang w:val="es-ES" w:eastAsia="es-ES"/>
              </w:rPr>
              <w:t>78 018</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rPr>
                <w:rFonts w:ascii="Arial" w:hAnsi="Arial" w:cs="Arial"/>
                <w:b/>
                <w:bCs/>
                <w:color w:val="000000"/>
                <w:sz w:val="20"/>
                <w:szCs w:val="20"/>
                <w:lang w:val="es-ES" w:eastAsia="es-ES"/>
              </w:rPr>
            </w:pPr>
            <w:r w:rsidRPr="002511BF">
              <w:rPr>
                <w:rFonts w:ascii="Arial" w:hAnsi="Arial" w:cs="Arial"/>
                <w:b/>
                <w:bCs/>
                <w:color w:val="000000"/>
                <w:sz w:val="20"/>
                <w:szCs w:val="20"/>
                <w:lang w:val="es-ES" w:eastAsia="es-ES"/>
              </w:rPr>
              <w:t xml:space="preserve">    100,0   </w:t>
            </w:r>
          </w:p>
        </w:tc>
        <w:tc>
          <w:tcPr>
            <w:tcW w:w="1408"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b/>
                <w:bCs/>
                <w:color w:val="000000"/>
                <w:sz w:val="20"/>
                <w:szCs w:val="20"/>
                <w:lang w:val="es-ES" w:eastAsia="es-ES"/>
              </w:rPr>
            </w:pPr>
            <w:r w:rsidRPr="002511BF">
              <w:rPr>
                <w:rFonts w:ascii="Arial" w:hAnsi="Arial" w:cs="Arial"/>
                <w:b/>
                <w:bCs/>
                <w:color w:val="000000"/>
                <w:sz w:val="20"/>
                <w:szCs w:val="20"/>
                <w:lang w:val="es-ES" w:eastAsia="es-ES"/>
              </w:rPr>
              <w:t>68 811</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rPr>
                <w:rFonts w:ascii="Arial" w:hAnsi="Arial" w:cs="Arial"/>
                <w:b/>
                <w:bCs/>
                <w:color w:val="000000"/>
                <w:sz w:val="20"/>
                <w:szCs w:val="20"/>
                <w:lang w:val="es-ES" w:eastAsia="es-ES"/>
              </w:rPr>
            </w:pPr>
            <w:r w:rsidRPr="002511BF">
              <w:rPr>
                <w:rFonts w:ascii="Arial" w:hAnsi="Arial" w:cs="Arial"/>
                <w:b/>
                <w:bCs/>
                <w:color w:val="000000"/>
                <w:sz w:val="20"/>
                <w:szCs w:val="20"/>
                <w:lang w:val="es-ES" w:eastAsia="es-ES"/>
              </w:rPr>
              <w:t xml:space="preserve">    100,0   </w:t>
            </w:r>
          </w:p>
        </w:tc>
      </w:tr>
      <w:tr w:rsidR="002E4D35" w:rsidRPr="002511BF" w:rsidTr="002E4D35">
        <w:trPr>
          <w:trHeight w:val="384"/>
          <w:jc w:val="center"/>
        </w:trPr>
        <w:tc>
          <w:tcPr>
            <w:tcW w:w="15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Menos de 20</w:t>
            </w:r>
          </w:p>
        </w:tc>
        <w:tc>
          <w:tcPr>
            <w:tcW w:w="1408" w:type="dxa"/>
            <w:tcBorders>
              <w:top w:val="nil"/>
              <w:left w:val="nil"/>
              <w:bottom w:val="nil"/>
              <w:right w:val="nil"/>
            </w:tcBorders>
            <w:shd w:val="clear" w:color="auto" w:fill="auto"/>
            <w:noWrap/>
            <w:vAlign w:val="center"/>
            <w:hideMark/>
          </w:tcPr>
          <w:p w:rsidR="002E4D35" w:rsidRPr="002511BF" w:rsidRDefault="002E4D35" w:rsidP="00EC203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15</w:t>
            </w:r>
            <w:r w:rsidR="00EC203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311</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19,6</w:t>
            </w:r>
          </w:p>
        </w:tc>
        <w:tc>
          <w:tcPr>
            <w:tcW w:w="1408" w:type="dxa"/>
            <w:tcBorders>
              <w:top w:val="nil"/>
              <w:left w:val="nil"/>
              <w:bottom w:val="nil"/>
              <w:right w:val="nil"/>
            </w:tcBorders>
            <w:shd w:val="clear" w:color="auto" w:fill="auto"/>
            <w:noWrap/>
            <w:vAlign w:val="center"/>
            <w:hideMark/>
          </w:tcPr>
          <w:p w:rsidR="002E4D35" w:rsidRPr="002511BF" w:rsidRDefault="002E4D35" w:rsidP="0036299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10</w:t>
            </w:r>
            <w:r w:rsidR="0036299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155</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14,8</w:t>
            </w:r>
          </w:p>
        </w:tc>
      </w:tr>
      <w:tr w:rsidR="002E4D35" w:rsidRPr="002511BF" w:rsidTr="002E4D35">
        <w:trPr>
          <w:trHeight w:val="384"/>
          <w:jc w:val="center"/>
        </w:trPr>
        <w:tc>
          <w:tcPr>
            <w:tcW w:w="15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20 a 24</w:t>
            </w:r>
          </w:p>
        </w:tc>
        <w:tc>
          <w:tcPr>
            <w:tcW w:w="1408" w:type="dxa"/>
            <w:tcBorders>
              <w:top w:val="nil"/>
              <w:left w:val="nil"/>
              <w:bottom w:val="nil"/>
              <w:right w:val="nil"/>
            </w:tcBorders>
            <w:shd w:val="clear" w:color="auto" w:fill="auto"/>
            <w:noWrap/>
            <w:vAlign w:val="center"/>
            <w:hideMark/>
          </w:tcPr>
          <w:p w:rsidR="002E4D35" w:rsidRPr="002511BF" w:rsidRDefault="002E4D35" w:rsidP="00EC203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21</w:t>
            </w:r>
            <w:r w:rsidR="00EC203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567</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27,6</w:t>
            </w:r>
          </w:p>
        </w:tc>
        <w:tc>
          <w:tcPr>
            <w:tcW w:w="1408" w:type="dxa"/>
            <w:tcBorders>
              <w:top w:val="nil"/>
              <w:left w:val="nil"/>
              <w:bottom w:val="nil"/>
              <w:right w:val="nil"/>
            </w:tcBorders>
            <w:shd w:val="clear" w:color="auto" w:fill="auto"/>
            <w:noWrap/>
            <w:vAlign w:val="center"/>
            <w:hideMark/>
          </w:tcPr>
          <w:p w:rsidR="002E4D35" w:rsidRPr="002511BF" w:rsidRDefault="002E4D35" w:rsidP="0036299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18</w:t>
            </w:r>
            <w:r w:rsidR="0036299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393</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26,7</w:t>
            </w:r>
          </w:p>
        </w:tc>
      </w:tr>
      <w:tr w:rsidR="002E4D35" w:rsidRPr="002511BF" w:rsidTr="002E4D35">
        <w:trPr>
          <w:trHeight w:val="384"/>
          <w:jc w:val="center"/>
        </w:trPr>
        <w:tc>
          <w:tcPr>
            <w:tcW w:w="15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25 a 29</w:t>
            </w:r>
          </w:p>
        </w:tc>
        <w:tc>
          <w:tcPr>
            <w:tcW w:w="1408" w:type="dxa"/>
            <w:tcBorders>
              <w:top w:val="nil"/>
              <w:left w:val="nil"/>
              <w:bottom w:val="nil"/>
              <w:right w:val="nil"/>
            </w:tcBorders>
            <w:shd w:val="clear" w:color="auto" w:fill="auto"/>
            <w:noWrap/>
            <w:vAlign w:val="center"/>
            <w:hideMark/>
          </w:tcPr>
          <w:p w:rsidR="002E4D35" w:rsidRPr="002511BF" w:rsidRDefault="002E4D35" w:rsidP="00EC203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18</w:t>
            </w:r>
            <w:r w:rsidR="00EC203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815</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24,1</w:t>
            </w:r>
          </w:p>
        </w:tc>
        <w:tc>
          <w:tcPr>
            <w:tcW w:w="1408" w:type="dxa"/>
            <w:tcBorders>
              <w:top w:val="nil"/>
              <w:left w:val="nil"/>
              <w:bottom w:val="nil"/>
              <w:right w:val="nil"/>
            </w:tcBorders>
            <w:shd w:val="clear" w:color="auto" w:fill="auto"/>
            <w:noWrap/>
            <w:vAlign w:val="center"/>
            <w:hideMark/>
          </w:tcPr>
          <w:p w:rsidR="002E4D35" w:rsidRPr="002511BF" w:rsidRDefault="002E4D35" w:rsidP="0036299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17</w:t>
            </w:r>
            <w:r w:rsidR="0036299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953</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26,1</w:t>
            </w:r>
          </w:p>
        </w:tc>
      </w:tr>
      <w:tr w:rsidR="002E4D35" w:rsidRPr="002511BF" w:rsidTr="002E4D35">
        <w:trPr>
          <w:trHeight w:val="384"/>
          <w:jc w:val="center"/>
        </w:trPr>
        <w:tc>
          <w:tcPr>
            <w:tcW w:w="15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30 a 34</w:t>
            </w:r>
          </w:p>
        </w:tc>
        <w:tc>
          <w:tcPr>
            <w:tcW w:w="1408" w:type="dxa"/>
            <w:tcBorders>
              <w:top w:val="nil"/>
              <w:left w:val="nil"/>
              <w:bottom w:val="nil"/>
              <w:right w:val="nil"/>
            </w:tcBorders>
            <w:shd w:val="clear" w:color="auto" w:fill="auto"/>
            <w:noWrap/>
            <w:vAlign w:val="center"/>
            <w:hideMark/>
          </w:tcPr>
          <w:p w:rsidR="002E4D35" w:rsidRPr="002511BF" w:rsidRDefault="002E4D35" w:rsidP="00EC203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13</w:t>
            </w:r>
            <w:r w:rsidR="00EC203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740</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17,6</w:t>
            </w:r>
          </w:p>
        </w:tc>
        <w:tc>
          <w:tcPr>
            <w:tcW w:w="1408" w:type="dxa"/>
            <w:tcBorders>
              <w:top w:val="nil"/>
              <w:left w:val="nil"/>
              <w:bottom w:val="nil"/>
              <w:right w:val="nil"/>
            </w:tcBorders>
            <w:shd w:val="clear" w:color="auto" w:fill="auto"/>
            <w:noWrap/>
            <w:vAlign w:val="center"/>
            <w:hideMark/>
          </w:tcPr>
          <w:p w:rsidR="002E4D35" w:rsidRPr="002511BF" w:rsidRDefault="002E4D35" w:rsidP="0036299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13</w:t>
            </w:r>
            <w:r w:rsidR="0036299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971</w:t>
            </w:r>
          </w:p>
        </w:tc>
        <w:tc>
          <w:tcPr>
            <w:tcW w:w="12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20,3</w:t>
            </w:r>
          </w:p>
        </w:tc>
      </w:tr>
      <w:tr w:rsidR="002E4D35" w:rsidRPr="002511BF" w:rsidTr="002E4D35">
        <w:trPr>
          <w:trHeight w:val="384"/>
          <w:jc w:val="center"/>
        </w:trPr>
        <w:tc>
          <w:tcPr>
            <w:tcW w:w="1540" w:type="dxa"/>
            <w:tcBorders>
              <w:top w:val="nil"/>
              <w:left w:val="nil"/>
              <w:bottom w:val="nil"/>
              <w:right w:val="nil"/>
            </w:tcBorders>
            <w:shd w:val="clear" w:color="auto" w:fill="auto"/>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35 a 39</w:t>
            </w:r>
          </w:p>
        </w:tc>
        <w:tc>
          <w:tcPr>
            <w:tcW w:w="1408" w:type="dxa"/>
            <w:tcBorders>
              <w:top w:val="nil"/>
              <w:left w:val="nil"/>
              <w:bottom w:val="nil"/>
              <w:right w:val="nil"/>
            </w:tcBorders>
            <w:shd w:val="clear" w:color="auto" w:fill="auto"/>
            <w:noWrap/>
            <w:vAlign w:val="center"/>
            <w:hideMark/>
          </w:tcPr>
          <w:p w:rsidR="002E4D35" w:rsidRPr="002511BF" w:rsidRDefault="002E4D35" w:rsidP="00EC203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6</w:t>
            </w:r>
            <w:r w:rsidR="0036299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649</w:t>
            </w:r>
          </w:p>
        </w:tc>
        <w:tc>
          <w:tcPr>
            <w:tcW w:w="1240" w:type="dxa"/>
            <w:tcBorders>
              <w:top w:val="nil"/>
              <w:left w:val="nil"/>
              <w:bottom w:val="nil"/>
              <w:right w:val="nil"/>
            </w:tcBorders>
            <w:shd w:val="clear" w:color="auto" w:fill="auto"/>
            <w:noWrap/>
            <w:vAlign w:val="center"/>
            <w:hideMark/>
          </w:tcPr>
          <w:p w:rsidR="002E4D35" w:rsidRPr="002511BF" w:rsidRDefault="0036299F"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w:t>
            </w:r>
            <w:r w:rsidR="002E4D35" w:rsidRPr="002511BF">
              <w:rPr>
                <w:rFonts w:ascii="Arial" w:hAnsi="Arial" w:cs="Arial"/>
                <w:color w:val="000000"/>
                <w:sz w:val="20"/>
                <w:szCs w:val="20"/>
                <w:lang w:val="es-ES" w:eastAsia="es-ES"/>
              </w:rPr>
              <w:t>8,5</w:t>
            </w:r>
          </w:p>
        </w:tc>
        <w:tc>
          <w:tcPr>
            <w:tcW w:w="1408" w:type="dxa"/>
            <w:tcBorders>
              <w:top w:val="nil"/>
              <w:left w:val="nil"/>
              <w:bottom w:val="nil"/>
              <w:right w:val="nil"/>
            </w:tcBorders>
            <w:shd w:val="clear" w:color="auto" w:fill="auto"/>
            <w:noWrap/>
            <w:vAlign w:val="center"/>
            <w:hideMark/>
          </w:tcPr>
          <w:p w:rsidR="002E4D35" w:rsidRPr="002511BF" w:rsidRDefault="002E4D35" w:rsidP="0036299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6</w:t>
            </w:r>
            <w:r w:rsidR="0036299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791</w:t>
            </w:r>
          </w:p>
        </w:tc>
        <w:tc>
          <w:tcPr>
            <w:tcW w:w="1240" w:type="dxa"/>
            <w:tcBorders>
              <w:top w:val="nil"/>
              <w:left w:val="nil"/>
              <w:bottom w:val="nil"/>
              <w:right w:val="nil"/>
            </w:tcBorders>
            <w:shd w:val="clear" w:color="auto" w:fill="auto"/>
            <w:noWrap/>
            <w:vAlign w:val="center"/>
            <w:hideMark/>
          </w:tcPr>
          <w:p w:rsidR="002E4D35" w:rsidRPr="002511BF" w:rsidRDefault="0036299F"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w:t>
            </w:r>
            <w:r w:rsidR="002E4D35" w:rsidRPr="002511BF">
              <w:rPr>
                <w:rFonts w:ascii="Arial" w:hAnsi="Arial" w:cs="Arial"/>
                <w:color w:val="000000"/>
                <w:sz w:val="20"/>
                <w:szCs w:val="20"/>
                <w:lang w:val="es-ES" w:eastAsia="es-ES"/>
              </w:rPr>
              <w:t>9,9</w:t>
            </w:r>
          </w:p>
        </w:tc>
      </w:tr>
      <w:tr w:rsidR="002E4D35" w:rsidRPr="002511BF" w:rsidTr="002E4D35">
        <w:trPr>
          <w:trHeight w:val="384"/>
          <w:jc w:val="center"/>
        </w:trPr>
        <w:tc>
          <w:tcPr>
            <w:tcW w:w="1540" w:type="dxa"/>
            <w:tcBorders>
              <w:top w:val="nil"/>
              <w:left w:val="nil"/>
              <w:right w:val="nil"/>
            </w:tcBorders>
            <w:shd w:val="clear" w:color="auto" w:fill="auto"/>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40 a 44</w:t>
            </w:r>
          </w:p>
        </w:tc>
        <w:tc>
          <w:tcPr>
            <w:tcW w:w="1408" w:type="dxa"/>
            <w:tcBorders>
              <w:top w:val="nil"/>
              <w:left w:val="nil"/>
              <w:right w:val="nil"/>
            </w:tcBorders>
            <w:shd w:val="clear" w:color="auto" w:fill="auto"/>
            <w:noWrap/>
            <w:vAlign w:val="center"/>
            <w:hideMark/>
          </w:tcPr>
          <w:p w:rsidR="002E4D35" w:rsidRPr="002511BF" w:rsidRDefault="002E4D35" w:rsidP="0036299F">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1</w:t>
            </w:r>
            <w:r w:rsidR="0036299F" w:rsidRPr="002511BF">
              <w:rPr>
                <w:rFonts w:ascii="Arial" w:hAnsi="Arial" w:cs="Arial"/>
                <w:color w:val="000000"/>
                <w:sz w:val="20"/>
                <w:szCs w:val="20"/>
                <w:lang w:val="es-ES" w:eastAsia="es-ES"/>
              </w:rPr>
              <w:t>.</w:t>
            </w:r>
            <w:r w:rsidRPr="002511BF">
              <w:rPr>
                <w:rFonts w:ascii="Arial" w:hAnsi="Arial" w:cs="Arial"/>
                <w:color w:val="000000"/>
                <w:sz w:val="20"/>
                <w:szCs w:val="20"/>
                <w:lang w:val="es-ES" w:eastAsia="es-ES"/>
              </w:rPr>
              <w:t>830</w:t>
            </w:r>
          </w:p>
        </w:tc>
        <w:tc>
          <w:tcPr>
            <w:tcW w:w="1240" w:type="dxa"/>
            <w:tcBorders>
              <w:top w:val="nil"/>
              <w:left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2,3</w:t>
            </w:r>
          </w:p>
        </w:tc>
        <w:tc>
          <w:tcPr>
            <w:tcW w:w="1408" w:type="dxa"/>
            <w:tcBorders>
              <w:top w:val="nil"/>
              <w:left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1 470</w:t>
            </w:r>
          </w:p>
        </w:tc>
        <w:tc>
          <w:tcPr>
            <w:tcW w:w="1240" w:type="dxa"/>
            <w:tcBorders>
              <w:top w:val="nil"/>
              <w:left w:val="nil"/>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2,1</w:t>
            </w:r>
          </w:p>
        </w:tc>
      </w:tr>
      <w:tr w:rsidR="002E4D35" w:rsidRPr="002511BF" w:rsidTr="002E4D35">
        <w:trPr>
          <w:trHeight w:val="384"/>
          <w:jc w:val="center"/>
        </w:trPr>
        <w:tc>
          <w:tcPr>
            <w:tcW w:w="1540" w:type="dxa"/>
            <w:tcBorders>
              <w:top w:val="nil"/>
              <w:left w:val="nil"/>
              <w:bottom w:val="single" w:sz="4" w:space="0" w:color="auto"/>
              <w:right w:val="nil"/>
            </w:tcBorders>
            <w:shd w:val="clear" w:color="auto" w:fill="auto"/>
            <w:noWrap/>
            <w:vAlign w:val="center"/>
            <w:hideMark/>
          </w:tcPr>
          <w:p w:rsidR="002E4D35" w:rsidRPr="002511BF" w:rsidRDefault="002E4D35" w:rsidP="00DF79F2">
            <w:pPr>
              <w:jc w:val="center"/>
              <w:rPr>
                <w:rFonts w:ascii="Arial" w:hAnsi="Arial" w:cs="Arial"/>
                <w:b/>
                <w:color w:val="000000"/>
                <w:sz w:val="20"/>
                <w:szCs w:val="20"/>
                <w:lang w:val="es-ES" w:eastAsia="es-ES"/>
              </w:rPr>
            </w:pPr>
            <w:r w:rsidRPr="002511BF">
              <w:rPr>
                <w:rFonts w:ascii="Arial" w:hAnsi="Arial" w:cs="Arial"/>
                <w:b/>
                <w:color w:val="000000"/>
                <w:sz w:val="20"/>
                <w:szCs w:val="20"/>
                <w:lang w:val="es-ES" w:eastAsia="es-ES"/>
              </w:rPr>
              <w:t>45 y más</w:t>
            </w:r>
          </w:p>
        </w:tc>
        <w:tc>
          <w:tcPr>
            <w:tcW w:w="1408" w:type="dxa"/>
            <w:tcBorders>
              <w:top w:val="nil"/>
              <w:left w:val="nil"/>
              <w:bottom w:val="single" w:sz="4" w:space="0" w:color="auto"/>
              <w:right w:val="nil"/>
            </w:tcBorders>
            <w:shd w:val="clear" w:color="auto" w:fill="auto"/>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106</w:t>
            </w:r>
          </w:p>
        </w:tc>
        <w:tc>
          <w:tcPr>
            <w:tcW w:w="1240" w:type="dxa"/>
            <w:tcBorders>
              <w:top w:val="nil"/>
              <w:left w:val="nil"/>
              <w:bottom w:val="single" w:sz="4" w:space="0" w:color="auto"/>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0,1</w:t>
            </w:r>
          </w:p>
        </w:tc>
        <w:tc>
          <w:tcPr>
            <w:tcW w:w="1408" w:type="dxa"/>
            <w:tcBorders>
              <w:top w:val="nil"/>
              <w:left w:val="nil"/>
              <w:bottom w:val="single" w:sz="4" w:space="0" w:color="auto"/>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 xml:space="preserve">    78</w:t>
            </w:r>
          </w:p>
        </w:tc>
        <w:tc>
          <w:tcPr>
            <w:tcW w:w="1240" w:type="dxa"/>
            <w:tcBorders>
              <w:top w:val="nil"/>
              <w:left w:val="nil"/>
              <w:bottom w:val="single" w:sz="4" w:space="0" w:color="auto"/>
              <w:right w:val="nil"/>
            </w:tcBorders>
            <w:shd w:val="clear" w:color="auto" w:fill="auto"/>
            <w:noWrap/>
            <w:vAlign w:val="center"/>
            <w:hideMark/>
          </w:tcPr>
          <w:p w:rsidR="002E4D35" w:rsidRPr="002511BF" w:rsidRDefault="002E4D35" w:rsidP="00DF79F2">
            <w:pPr>
              <w:jc w:val="center"/>
              <w:rPr>
                <w:rFonts w:ascii="Arial" w:hAnsi="Arial" w:cs="Arial"/>
                <w:color w:val="000000"/>
                <w:sz w:val="20"/>
                <w:szCs w:val="20"/>
                <w:lang w:val="es-ES" w:eastAsia="es-ES"/>
              </w:rPr>
            </w:pPr>
            <w:r w:rsidRPr="002511BF">
              <w:rPr>
                <w:rFonts w:ascii="Arial" w:hAnsi="Arial" w:cs="Arial"/>
                <w:color w:val="000000"/>
                <w:sz w:val="20"/>
                <w:szCs w:val="20"/>
                <w:lang w:val="es-ES" w:eastAsia="es-ES"/>
              </w:rPr>
              <w:t>0,1</w:t>
            </w:r>
          </w:p>
        </w:tc>
      </w:tr>
    </w:tbl>
    <w:p w:rsidR="003B5ACE" w:rsidRPr="002E4D35" w:rsidRDefault="003B5ACE" w:rsidP="00B12787">
      <w:pPr>
        <w:spacing w:line="276" w:lineRule="auto"/>
        <w:jc w:val="center"/>
        <w:rPr>
          <w:rFonts w:ascii="Arial" w:hAnsi="Arial" w:cs="Arial"/>
          <w:sz w:val="20"/>
          <w:lang w:val="es-CR" w:eastAsia="x-none"/>
        </w:rPr>
      </w:pPr>
      <w:r w:rsidRPr="003B5ACE">
        <w:rPr>
          <w:rFonts w:ascii="Arial" w:hAnsi="Arial" w:cs="Arial"/>
          <w:b/>
          <w:sz w:val="20"/>
          <w:lang w:val="es-CR" w:eastAsia="x-none"/>
        </w:rPr>
        <w:t>Fuente:</w:t>
      </w:r>
      <w:r>
        <w:rPr>
          <w:rFonts w:ascii="Arial" w:hAnsi="Arial" w:cs="Arial"/>
          <w:sz w:val="20"/>
          <w:lang w:val="es-CR" w:eastAsia="x-none"/>
        </w:rPr>
        <w:t xml:space="preserve"> INEC</w:t>
      </w:r>
      <w:r w:rsidR="00B12787">
        <w:rPr>
          <w:rFonts w:ascii="Arial" w:hAnsi="Arial" w:cs="Arial"/>
          <w:sz w:val="20"/>
          <w:lang w:val="es-CR" w:eastAsia="x-none"/>
        </w:rPr>
        <w:t>,</w:t>
      </w:r>
      <w:r>
        <w:rPr>
          <w:rFonts w:ascii="Arial" w:hAnsi="Arial" w:cs="Arial"/>
          <w:sz w:val="20"/>
          <w:lang w:val="es-CR" w:eastAsia="x-none"/>
        </w:rPr>
        <w:t xml:space="preserve"> Ministerio de Salud</w:t>
      </w:r>
      <w:r w:rsidR="00B12787">
        <w:rPr>
          <w:rFonts w:ascii="Arial" w:hAnsi="Arial" w:cs="Arial"/>
          <w:sz w:val="20"/>
          <w:lang w:val="es-CR" w:eastAsia="x-none"/>
        </w:rPr>
        <w:t>, 2019</w:t>
      </w:r>
      <w:r w:rsidRPr="002E4D35">
        <w:rPr>
          <w:rFonts w:ascii="Arial" w:hAnsi="Arial" w:cs="Arial"/>
          <w:sz w:val="20"/>
          <w:lang w:val="es-CR" w:eastAsia="x-none"/>
        </w:rPr>
        <w:t>.</w:t>
      </w:r>
    </w:p>
    <w:p w:rsidR="002E4D35" w:rsidRPr="002E4D35" w:rsidRDefault="002E4D35" w:rsidP="002E4D35">
      <w:pPr>
        <w:spacing w:line="276" w:lineRule="auto"/>
        <w:jc w:val="center"/>
        <w:rPr>
          <w:rFonts w:ascii="Arial" w:hAnsi="Arial" w:cs="Arial"/>
          <w:sz w:val="20"/>
          <w:lang w:val="es-CR" w:eastAsia="x-none"/>
        </w:rPr>
      </w:pPr>
    </w:p>
    <w:p w:rsidR="00882349" w:rsidRDefault="00882349" w:rsidP="003B5ACE">
      <w:pPr>
        <w:spacing w:after="240" w:line="276" w:lineRule="auto"/>
        <w:jc w:val="both"/>
        <w:rPr>
          <w:rFonts w:ascii="Arial" w:hAnsi="Arial" w:cs="Arial"/>
          <w:b/>
          <w:lang w:val="es-CR" w:eastAsia="x-none"/>
        </w:rPr>
      </w:pPr>
    </w:p>
    <w:p w:rsidR="0036299F" w:rsidRPr="00F92A47" w:rsidRDefault="00882349" w:rsidP="00F92A47">
      <w:pPr>
        <w:pStyle w:val="Ttulo2"/>
        <w:spacing w:after="240"/>
        <w:rPr>
          <w:rFonts w:ascii="Arial" w:hAnsi="Arial" w:cs="Arial"/>
          <w:b/>
          <w:color w:val="auto"/>
          <w:lang w:val="es-CR"/>
        </w:rPr>
      </w:pPr>
      <w:bookmarkStart w:id="7" w:name="_Toc7439651"/>
      <w:r w:rsidRPr="00F92A47">
        <w:rPr>
          <w:rFonts w:ascii="Arial" w:hAnsi="Arial" w:cs="Arial"/>
          <w:b/>
          <w:color w:val="auto"/>
          <w:lang w:val="es-CR"/>
        </w:rPr>
        <w:t>Mortalidad</w:t>
      </w:r>
      <w:bookmarkEnd w:id="7"/>
    </w:p>
    <w:p w:rsidR="00E63B5B" w:rsidRDefault="00E63B5B" w:rsidP="003B5ACE">
      <w:pPr>
        <w:spacing w:after="240" w:line="276" w:lineRule="auto"/>
        <w:jc w:val="both"/>
        <w:rPr>
          <w:rFonts w:ascii="Arial" w:hAnsi="Arial" w:cs="Arial"/>
          <w:lang w:val="es-CR" w:eastAsia="x-none"/>
        </w:rPr>
      </w:pPr>
      <w:r w:rsidRPr="00834DA9">
        <w:rPr>
          <w:rFonts w:ascii="Arial" w:hAnsi="Arial" w:cs="Arial"/>
          <w:lang w:val="es-CR" w:eastAsia="x-none"/>
        </w:rPr>
        <w:t xml:space="preserve">En </w:t>
      </w:r>
      <w:r>
        <w:rPr>
          <w:rFonts w:ascii="Arial" w:hAnsi="Arial" w:cs="Arial"/>
          <w:lang w:val="es-CR" w:eastAsia="x-none"/>
        </w:rPr>
        <w:t xml:space="preserve">la </w:t>
      </w:r>
      <w:r w:rsidR="0036299F">
        <w:rPr>
          <w:rFonts w:ascii="Arial" w:hAnsi="Arial" w:cs="Arial"/>
          <w:lang w:val="es-CR" w:eastAsia="x-none"/>
        </w:rPr>
        <w:t>cuadro 5</w:t>
      </w:r>
      <w:r w:rsidRPr="00834DA9">
        <w:rPr>
          <w:rFonts w:ascii="Arial" w:hAnsi="Arial" w:cs="Arial"/>
          <w:lang w:val="es-CR" w:eastAsia="x-none"/>
        </w:rPr>
        <w:t>, se presentan los principales indicadores demográficos del país durante el período 20</w:t>
      </w:r>
      <w:r>
        <w:rPr>
          <w:rFonts w:ascii="Arial" w:hAnsi="Arial" w:cs="Arial"/>
          <w:lang w:val="es-CR" w:eastAsia="x-none"/>
        </w:rPr>
        <w:t>14</w:t>
      </w:r>
      <w:r w:rsidRPr="00834DA9">
        <w:rPr>
          <w:rFonts w:ascii="Arial" w:hAnsi="Arial" w:cs="Arial"/>
          <w:lang w:val="es-CR" w:eastAsia="x-none"/>
        </w:rPr>
        <w:t>-201</w:t>
      </w:r>
      <w:r w:rsidR="00A67F20">
        <w:rPr>
          <w:rFonts w:ascii="Arial" w:hAnsi="Arial" w:cs="Arial"/>
          <w:lang w:val="es-CR" w:eastAsia="x-none"/>
        </w:rPr>
        <w:t>7</w:t>
      </w:r>
      <w:r w:rsidRPr="00834DA9">
        <w:rPr>
          <w:rFonts w:ascii="Arial" w:hAnsi="Arial" w:cs="Arial"/>
          <w:lang w:val="es-CR" w:eastAsia="x-none"/>
        </w:rPr>
        <w:t xml:space="preserve">. </w:t>
      </w:r>
      <w:r>
        <w:rPr>
          <w:rFonts w:ascii="Arial" w:hAnsi="Arial" w:cs="Arial"/>
          <w:lang w:val="es-CR" w:eastAsia="x-none"/>
        </w:rPr>
        <w:t>En</w:t>
      </w:r>
      <w:r w:rsidRPr="00834DA9">
        <w:rPr>
          <w:rFonts w:ascii="Arial" w:hAnsi="Arial" w:cs="Arial"/>
          <w:lang w:val="es-CR" w:eastAsia="x-none"/>
        </w:rPr>
        <w:t xml:space="preserve"> l</w:t>
      </w:r>
      <w:r>
        <w:rPr>
          <w:rFonts w:ascii="Arial" w:hAnsi="Arial" w:cs="Arial"/>
          <w:lang w:val="es-CR" w:eastAsia="x-none"/>
        </w:rPr>
        <w:t xml:space="preserve">os años de estudio se observa además del aumento de la población, la disminución </w:t>
      </w:r>
      <w:r w:rsidR="0036299F">
        <w:rPr>
          <w:rFonts w:ascii="Arial" w:hAnsi="Arial" w:cs="Arial"/>
          <w:lang w:val="es-CR" w:eastAsia="x-none"/>
        </w:rPr>
        <w:t xml:space="preserve">de un </w:t>
      </w:r>
      <w:r>
        <w:rPr>
          <w:rFonts w:ascii="Arial" w:hAnsi="Arial" w:cs="Arial"/>
          <w:lang w:val="es-CR" w:eastAsia="x-none"/>
        </w:rPr>
        <w:t xml:space="preserve">punto </w:t>
      </w:r>
      <w:r w:rsidR="0036299F">
        <w:rPr>
          <w:rFonts w:ascii="Arial" w:hAnsi="Arial" w:cs="Arial"/>
          <w:lang w:val="es-CR" w:eastAsia="x-none"/>
        </w:rPr>
        <w:t xml:space="preserve">en </w:t>
      </w:r>
      <w:r>
        <w:rPr>
          <w:rFonts w:ascii="Arial" w:hAnsi="Arial" w:cs="Arial"/>
          <w:lang w:val="es-CR" w:eastAsia="x-none"/>
        </w:rPr>
        <w:t xml:space="preserve">la tasa de crecimiento natural, en menor cantidad la disminución de la tasa de natalidad y </w:t>
      </w:r>
      <w:r w:rsidR="0036299F">
        <w:rPr>
          <w:rFonts w:ascii="Arial" w:hAnsi="Arial" w:cs="Arial"/>
          <w:lang w:val="es-CR" w:eastAsia="x-none"/>
        </w:rPr>
        <w:t xml:space="preserve">de la </w:t>
      </w:r>
      <w:r>
        <w:rPr>
          <w:rFonts w:ascii="Arial" w:hAnsi="Arial" w:cs="Arial"/>
          <w:lang w:val="es-CR" w:eastAsia="x-none"/>
        </w:rPr>
        <w:t xml:space="preserve">tasa global de fecundidad, la cual en el 2014 </w:t>
      </w:r>
      <w:r w:rsidR="0036299F">
        <w:rPr>
          <w:rFonts w:ascii="Arial" w:hAnsi="Arial" w:cs="Arial"/>
          <w:lang w:val="es-CR" w:eastAsia="x-none"/>
        </w:rPr>
        <w:t xml:space="preserve">era de </w:t>
      </w:r>
      <w:r w:rsidRPr="00834DA9">
        <w:rPr>
          <w:rFonts w:ascii="Arial" w:hAnsi="Arial" w:cs="Arial"/>
          <w:lang w:val="es-CR"/>
        </w:rPr>
        <w:t>1,</w:t>
      </w:r>
      <w:r>
        <w:rPr>
          <w:rFonts w:ascii="Arial" w:hAnsi="Arial" w:cs="Arial"/>
          <w:lang w:val="es-CR"/>
        </w:rPr>
        <w:t>8</w:t>
      </w:r>
      <w:r w:rsidRPr="00834DA9">
        <w:rPr>
          <w:rFonts w:ascii="Arial" w:hAnsi="Arial" w:cs="Arial"/>
          <w:lang w:val="es-CR"/>
        </w:rPr>
        <w:t xml:space="preserve"> hijos al final de</w:t>
      </w:r>
      <w:r w:rsidR="0036299F">
        <w:rPr>
          <w:rFonts w:ascii="Arial" w:hAnsi="Arial" w:cs="Arial"/>
          <w:lang w:val="es-CR"/>
        </w:rPr>
        <w:t>l</w:t>
      </w:r>
      <w:r w:rsidRPr="00834DA9">
        <w:rPr>
          <w:rFonts w:ascii="Arial" w:hAnsi="Arial" w:cs="Arial"/>
          <w:lang w:val="es-CR"/>
        </w:rPr>
        <w:t xml:space="preserve"> período fértil</w:t>
      </w:r>
      <w:r w:rsidR="0036299F">
        <w:rPr>
          <w:rFonts w:ascii="Arial" w:hAnsi="Arial" w:cs="Arial"/>
          <w:lang w:val="es-CR"/>
        </w:rPr>
        <w:t xml:space="preserve"> de las mujeres;</w:t>
      </w:r>
      <w:r w:rsidRPr="00834DA9">
        <w:rPr>
          <w:rFonts w:ascii="Arial" w:hAnsi="Arial" w:cs="Arial"/>
          <w:lang w:val="es-CR"/>
        </w:rPr>
        <w:t xml:space="preserve"> para el año 201</w:t>
      </w:r>
      <w:r>
        <w:rPr>
          <w:rFonts w:ascii="Arial" w:hAnsi="Arial" w:cs="Arial"/>
          <w:lang w:val="es-CR"/>
        </w:rPr>
        <w:t>6</w:t>
      </w:r>
      <w:r w:rsidR="0036299F">
        <w:rPr>
          <w:rFonts w:ascii="Arial" w:hAnsi="Arial" w:cs="Arial"/>
          <w:lang w:val="es-CR"/>
        </w:rPr>
        <w:t>,</w:t>
      </w:r>
      <w:r w:rsidRPr="00834DA9">
        <w:rPr>
          <w:rFonts w:ascii="Arial" w:hAnsi="Arial" w:cs="Arial"/>
          <w:lang w:val="es-CR"/>
        </w:rPr>
        <w:t xml:space="preserve"> </w:t>
      </w:r>
      <w:r w:rsidR="0036299F">
        <w:rPr>
          <w:rFonts w:ascii="Arial" w:hAnsi="Arial" w:cs="Arial"/>
          <w:lang w:val="es-CR"/>
        </w:rPr>
        <w:t xml:space="preserve">la tasa se </w:t>
      </w:r>
      <w:r w:rsidRPr="00834DA9">
        <w:rPr>
          <w:rFonts w:ascii="Arial" w:hAnsi="Arial" w:cs="Arial"/>
          <w:lang w:val="es-CR"/>
        </w:rPr>
        <w:t>reduce a 1,7</w:t>
      </w:r>
      <w:r>
        <w:rPr>
          <w:rFonts w:ascii="Arial" w:hAnsi="Arial" w:cs="Arial"/>
          <w:lang w:val="es-CR"/>
        </w:rPr>
        <w:t>0</w:t>
      </w:r>
      <w:r w:rsidRPr="00834DA9">
        <w:rPr>
          <w:rFonts w:ascii="Arial" w:hAnsi="Arial" w:cs="Arial"/>
          <w:lang w:val="es-CR"/>
        </w:rPr>
        <w:t xml:space="preserve"> hijos/mujer</w:t>
      </w:r>
      <w:r>
        <w:rPr>
          <w:rFonts w:ascii="Arial" w:hAnsi="Arial" w:cs="Arial"/>
          <w:lang w:val="es-CR"/>
        </w:rPr>
        <w:t>.</w:t>
      </w:r>
    </w:p>
    <w:p w:rsidR="00E63B5B" w:rsidRDefault="005C54F2" w:rsidP="003B5ACE">
      <w:pPr>
        <w:spacing w:after="240" w:line="276" w:lineRule="auto"/>
        <w:jc w:val="both"/>
        <w:rPr>
          <w:rFonts w:ascii="Arial" w:hAnsi="Arial" w:cs="Arial"/>
          <w:lang w:val="es-CR" w:eastAsia="x-none"/>
        </w:rPr>
      </w:pPr>
      <w:r>
        <w:rPr>
          <w:rFonts w:ascii="Arial" w:hAnsi="Arial" w:cs="Arial"/>
          <w:lang w:val="es-CR" w:eastAsia="x-none"/>
        </w:rPr>
        <w:t xml:space="preserve">La </w:t>
      </w:r>
      <w:r w:rsidR="00E63B5B">
        <w:rPr>
          <w:rFonts w:ascii="Arial" w:hAnsi="Arial" w:cs="Arial"/>
          <w:lang w:val="es-CR" w:eastAsia="x-none"/>
        </w:rPr>
        <w:t>mortalidad general pas</w:t>
      </w:r>
      <w:r>
        <w:rPr>
          <w:rFonts w:ascii="Arial" w:hAnsi="Arial" w:cs="Arial"/>
          <w:lang w:val="es-CR" w:eastAsia="x-none"/>
        </w:rPr>
        <w:t>ó</w:t>
      </w:r>
      <w:r w:rsidR="00E63B5B">
        <w:rPr>
          <w:rFonts w:ascii="Arial" w:hAnsi="Arial" w:cs="Arial"/>
          <w:lang w:val="es-CR" w:eastAsia="x-none"/>
        </w:rPr>
        <w:t xml:space="preserve"> de 4,3 muertes por 100.000 habitantes en 2012 a 4,6 muertes</w:t>
      </w:r>
      <w:r>
        <w:rPr>
          <w:rFonts w:ascii="Arial" w:hAnsi="Arial" w:cs="Arial"/>
          <w:lang w:val="es-CR" w:eastAsia="x-none"/>
        </w:rPr>
        <w:t xml:space="preserve"> por 100.000 habitantes en 2017. Sin embargo, </w:t>
      </w:r>
      <w:r w:rsidR="00E63B5B">
        <w:rPr>
          <w:rFonts w:ascii="Arial" w:hAnsi="Arial" w:cs="Arial"/>
          <w:lang w:val="es-CR" w:eastAsia="x-none"/>
        </w:rPr>
        <w:t>las tasas de mortalidad infantil (7,9 muertes/1000 nacimientos), mortalidad en la niñez (9,3 muertes/1000 nacimientos), mortalidad neonatal (6,2 muertes/1000 nacimientos), postnatal (1,8 muertes/ 1</w:t>
      </w:r>
      <w:r w:rsidR="00B12787">
        <w:rPr>
          <w:rFonts w:ascii="Arial" w:hAnsi="Arial" w:cs="Arial"/>
          <w:lang w:val="es-CR" w:eastAsia="x-none"/>
        </w:rPr>
        <w:t>.</w:t>
      </w:r>
      <w:r w:rsidR="00E63B5B">
        <w:rPr>
          <w:rFonts w:ascii="Arial" w:hAnsi="Arial" w:cs="Arial"/>
          <w:lang w:val="es-CR" w:eastAsia="x-none"/>
        </w:rPr>
        <w:t>000 nacimientos) y materna (2,7 muertes/10</w:t>
      </w:r>
      <w:r w:rsidR="00B12787">
        <w:rPr>
          <w:rFonts w:ascii="Arial" w:hAnsi="Arial" w:cs="Arial"/>
          <w:lang w:val="es-CR" w:eastAsia="x-none"/>
        </w:rPr>
        <w:t>.</w:t>
      </w:r>
      <w:r w:rsidR="00E63B5B">
        <w:rPr>
          <w:rFonts w:ascii="Arial" w:hAnsi="Arial" w:cs="Arial"/>
          <w:lang w:val="es-CR" w:eastAsia="x-none"/>
        </w:rPr>
        <w:t>000</w:t>
      </w:r>
      <w:r w:rsidR="00B12787">
        <w:rPr>
          <w:rFonts w:ascii="Arial" w:hAnsi="Arial" w:cs="Arial"/>
          <w:lang w:val="es-CR" w:eastAsia="x-none"/>
        </w:rPr>
        <w:t xml:space="preserve"> </w:t>
      </w:r>
      <w:r w:rsidR="00E63B5B">
        <w:rPr>
          <w:rFonts w:ascii="Arial" w:hAnsi="Arial" w:cs="Arial"/>
          <w:lang w:val="es-CR" w:eastAsia="x-none"/>
        </w:rPr>
        <w:t>nacimientos) disminuyeron.</w:t>
      </w:r>
    </w:p>
    <w:p w:rsidR="00E63B5B" w:rsidRPr="007B41AC" w:rsidRDefault="00E63B5B" w:rsidP="003B5ACE">
      <w:pPr>
        <w:pStyle w:val="Encabezado"/>
        <w:spacing w:after="240" w:line="276" w:lineRule="auto"/>
        <w:jc w:val="both"/>
        <w:rPr>
          <w:rFonts w:ascii="Arial" w:hAnsi="Arial" w:cs="Arial"/>
          <w:lang w:val="es-CR"/>
        </w:rPr>
      </w:pPr>
    </w:p>
    <w:p w:rsidR="00E63B5B" w:rsidRDefault="003B5ACE" w:rsidP="00E63B5B">
      <w:pPr>
        <w:pStyle w:val="Encabezado"/>
        <w:jc w:val="center"/>
        <w:rPr>
          <w:rFonts w:ascii="Arial" w:hAnsi="Arial" w:cs="Arial"/>
          <w:b/>
          <w:lang w:val="es-CR"/>
        </w:rPr>
      </w:pPr>
      <w:r w:rsidRPr="0066355C">
        <w:rPr>
          <w:rFonts w:ascii="Arial" w:hAnsi="Arial" w:cs="Arial"/>
          <w:b/>
          <w:lang w:val="es-CR"/>
        </w:rPr>
        <w:lastRenderedPageBreak/>
        <w:t>Cuadro 5</w:t>
      </w:r>
    </w:p>
    <w:p w:rsidR="0066355C" w:rsidRPr="00882349" w:rsidRDefault="00882349" w:rsidP="00B12787">
      <w:pPr>
        <w:pStyle w:val="Encabezado"/>
        <w:spacing w:after="240"/>
        <w:jc w:val="center"/>
        <w:rPr>
          <w:rFonts w:ascii="Arial" w:hAnsi="Arial" w:cs="Arial"/>
          <w:b/>
          <w:lang w:val="es-CR"/>
        </w:rPr>
      </w:pPr>
      <w:r>
        <w:rPr>
          <w:rFonts w:ascii="Arial" w:hAnsi="Arial" w:cs="Arial"/>
          <w:b/>
          <w:lang w:val="es-CR"/>
        </w:rPr>
        <w:t xml:space="preserve">Costa Rica: </w:t>
      </w:r>
      <w:r w:rsidRPr="00882349">
        <w:rPr>
          <w:rFonts w:ascii="Arial" w:hAnsi="Arial" w:cs="Arial"/>
          <w:b/>
          <w:lang w:val="es-CR"/>
        </w:rPr>
        <w:t>Princ</w:t>
      </w:r>
      <w:r w:rsidR="00B12787">
        <w:rPr>
          <w:rFonts w:ascii="Arial" w:hAnsi="Arial" w:cs="Arial"/>
          <w:b/>
          <w:lang w:val="es-CR"/>
        </w:rPr>
        <w:t>ipales indicadores demográficos,</w:t>
      </w:r>
      <w:r w:rsidRPr="00882349">
        <w:rPr>
          <w:rFonts w:ascii="Arial" w:hAnsi="Arial" w:cs="Arial"/>
          <w:b/>
          <w:lang w:val="es-CR"/>
        </w:rPr>
        <w:t xml:space="preserve"> 2014-2017.</w:t>
      </w:r>
    </w:p>
    <w:tbl>
      <w:tblPr>
        <w:tblW w:w="9397" w:type="dxa"/>
        <w:tblCellMar>
          <w:left w:w="70" w:type="dxa"/>
          <w:right w:w="70" w:type="dxa"/>
        </w:tblCellMar>
        <w:tblLook w:val="04A0" w:firstRow="1" w:lastRow="0" w:firstColumn="1" w:lastColumn="0" w:noHBand="0" w:noVBand="1"/>
      </w:tblPr>
      <w:tblGrid>
        <w:gridCol w:w="2604"/>
        <w:gridCol w:w="723"/>
        <w:gridCol w:w="722"/>
        <w:gridCol w:w="723"/>
        <w:gridCol w:w="867"/>
        <w:gridCol w:w="868"/>
        <w:gridCol w:w="722"/>
        <w:gridCol w:w="724"/>
        <w:gridCol w:w="722"/>
        <w:gridCol w:w="722"/>
      </w:tblGrid>
      <w:tr w:rsidR="00A67F20" w:rsidRPr="00032691" w:rsidTr="00B12787">
        <w:trPr>
          <w:trHeight w:val="287"/>
        </w:trPr>
        <w:tc>
          <w:tcPr>
            <w:tcW w:w="2604"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Indicador / Año</w:t>
            </w:r>
          </w:p>
        </w:tc>
        <w:tc>
          <w:tcPr>
            <w:tcW w:w="723"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2010</w:t>
            </w:r>
          </w:p>
        </w:tc>
        <w:tc>
          <w:tcPr>
            <w:tcW w:w="722"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2011</w:t>
            </w:r>
          </w:p>
        </w:tc>
        <w:tc>
          <w:tcPr>
            <w:tcW w:w="723"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2012</w:t>
            </w:r>
          </w:p>
        </w:tc>
        <w:tc>
          <w:tcPr>
            <w:tcW w:w="867"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2013</w:t>
            </w:r>
          </w:p>
        </w:tc>
        <w:tc>
          <w:tcPr>
            <w:tcW w:w="868"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2014</w:t>
            </w:r>
          </w:p>
        </w:tc>
        <w:tc>
          <w:tcPr>
            <w:tcW w:w="722"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2015</w:t>
            </w:r>
          </w:p>
        </w:tc>
        <w:tc>
          <w:tcPr>
            <w:tcW w:w="724"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2016</w:t>
            </w:r>
          </w:p>
        </w:tc>
        <w:tc>
          <w:tcPr>
            <w:tcW w:w="722"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2017</w:t>
            </w:r>
          </w:p>
        </w:tc>
        <w:tc>
          <w:tcPr>
            <w:tcW w:w="722" w:type="dxa"/>
            <w:tcBorders>
              <w:top w:val="single" w:sz="4" w:space="0" w:color="auto"/>
              <w:left w:val="nil"/>
              <w:bottom w:val="single" w:sz="4" w:space="0" w:color="auto"/>
              <w:right w:val="nil"/>
            </w:tcBorders>
            <w:shd w:val="clear" w:color="auto" w:fill="D5DCE4" w:themeFill="text2" w:themeFillTint="33"/>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2018</w:t>
            </w:r>
          </w:p>
        </w:tc>
      </w:tr>
      <w:tr w:rsidR="00A67F20" w:rsidRPr="00032691" w:rsidTr="001B1242">
        <w:trPr>
          <w:trHeight w:val="256"/>
        </w:trPr>
        <w:tc>
          <w:tcPr>
            <w:tcW w:w="2604"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16"/>
                <w:lang w:val="es-PA" w:eastAsia="es-PA"/>
              </w:rPr>
            </w:pPr>
            <w:r w:rsidRPr="00032691">
              <w:rPr>
                <w:rFonts w:ascii="Arial" w:eastAsia="Times New Roman" w:hAnsi="Arial" w:cs="Arial"/>
                <w:b/>
                <w:bCs/>
                <w:color w:val="5F5F5F"/>
                <w:sz w:val="16"/>
                <w:szCs w:val="16"/>
                <w:lang w:val="es-PA" w:eastAsia="es-PA"/>
              </w:rPr>
              <w:t>Población al 30 de junio (en miles)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 </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 </w:t>
            </w:r>
          </w:p>
        </w:tc>
        <w:tc>
          <w:tcPr>
            <w:tcW w:w="724"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 </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 </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b/>
                <w:bCs/>
                <w:sz w:val="16"/>
                <w:szCs w:val="22"/>
                <w:lang w:val="es-PA" w:eastAsia="es-PA"/>
              </w:rPr>
            </w:pPr>
            <w:r w:rsidRPr="00032691">
              <w:rPr>
                <w:rFonts w:ascii="Arial" w:eastAsia="Times New Roman" w:hAnsi="Arial" w:cs="Arial"/>
                <w:b/>
                <w:bCs/>
                <w:sz w:val="16"/>
                <w:szCs w:val="22"/>
                <w:lang w:val="es-PA" w:eastAsia="es-PA"/>
              </w:rPr>
              <w:t> </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100" w:firstLine="16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Total</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4533</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4592</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4652</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4713</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4773</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4832</w:t>
            </w:r>
          </w:p>
        </w:tc>
        <w:tc>
          <w:tcPr>
            <w:tcW w:w="724"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4890</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4947</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5003</w:t>
            </w:r>
          </w:p>
        </w:tc>
      </w:tr>
      <w:tr w:rsidR="00A67F20" w:rsidRPr="00032691" w:rsidTr="001B1242">
        <w:trPr>
          <w:trHeight w:val="243"/>
        </w:trPr>
        <w:tc>
          <w:tcPr>
            <w:tcW w:w="2604" w:type="dxa"/>
            <w:tcBorders>
              <w:top w:val="nil"/>
              <w:left w:val="nil"/>
              <w:right w:val="nil"/>
            </w:tcBorders>
            <w:shd w:val="clear" w:color="000000" w:fill="FFFFFF"/>
            <w:noWrap/>
            <w:vAlign w:val="bottom"/>
            <w:hideMark/>
          </w:tcPr>
          <w:p w:rsidR="00A67F20" w:rsidRPr="00032691" w:rsidRDefault="00A67F20" w:rsidP="00A67F20">
            <w:pPr>
              <w:ind w:firstLineChars="100" w:firstLine="16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Hombres</w:t>
            </w:r>
          </w:p>
        </w:tc>
        <w:tc>
          <w:tcPr>
            <w:tcW w:w="723"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2292</w:t>
            </w:r>
          </w:p>
        </w:tc>
        <w:tc>
          <w:tcPr>
            <w:tcW w:w="722"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2321</w:t>
            </w:r>
          </w:p>
        </w:tc>
        <w:tc>
          <w:tcPr>
            <w:tcW w:w="723"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2351</w:t>
            </w:r>
          </w:p>
        </w:tc>
        <w:tc>
          <w:tcPr>
            <w:tcW w:w="867"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2380</w:t>
            </w:r>
          </w:p>
        </w:tc>
        <w:tc>
          <w:tcPr>
            <w:tcW w:w="868" w:type="dxa"/>
            <w:tcBorders>
              <w:top w:val="nil"/>
              <w:left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2410</w:t>
            </w:r>
          </w:p>
        </w:tc>
        <w:tc>
          <w:tcPr>
            <w:tcW w:w="722" w:type="dxa"/>
            <w:tcBorders>
              <w:top w:val="nil"/>
              <w:left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2439</w:t>
            </w:r>
          </w:p>
        </w:tc>
        <w:tc>
          <w:tcPr>
            <w:tcW w:w="724"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2467</w:t>
            </w:r>
          </w:p>
        </w:tc>
        <w:tc>
          <w:tcPr>
            <w:tcW w:w="722"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2495</w:t>
            </w:r>
          </w:p>
        </w:tc>
        <w:tc>
          <w:tcPr>
            <w:tcW w:w="722"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2523</w:t>
            </w:r>
          </w:p>
        </w:tc>
      </w:tr>
      <w:tr w:rsidR="00A67F20" w:rsidRPr="00032691" w:rsidTr="001B1242">
        <w:trPr>
          <w:trHeight w:val="243"/>
        </w:trPr>
        <w:tc>
          <w:tcPr>
            <w:tcW w:w="2604" w:type="dxa"/>
            <w:tcBorders>
              <w:top w:val="nil"/>
              <w:left w:val="nil"/>
              <w:bottom w:val="single" w:sz="4" w:space="0" w:color="auto"/>
              <w:right w:val="nil"/>
            </w:tcBorders>
            <w:shd w:val="clear" w:color="000000" w:fill="FFFFFF"/>
            <w:noWrap/>
            <w:vAlign w:val="bottom"/>
            <w:hideMark/>
          </w:tcPr>
          <w:p w:rsidR="00A67F20" w:rsidRPr="00032691" w:rsidRDefault="00A67F20" w:rsidP="00A67F20">
            <w:pPr>
              <w:ind w:firstLineChars="100" w:firstLine="16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Mujeres</w:t>
            </w:r>
          </w:p>
        </w:tc>
        <w:tc>
          <w:tcPr>
            <w:tcW w:w="723"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2241</w:t>
            </w:r>
          </w:p>
        </w:tc>
        <w:tc>
          <w:tcPr>
            <w:tcW w:w="722"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2270</w:t>
            </w:r>
          </w:p>
        </w:tc>
        <w:tc>
          <w:tcPr>
            <w:tcW w:w="723"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2301</w:t>
            </w:r>
          </w:p>
        </w:tc>
        <w:tc>
          <w:tcPr>
            <w:tcW w:w="867"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2332</w:t>
            </w:r>
          </w:p>
        </w:tc>
        <w:tc>
          <w:tcPr>
            <w:tcW w:w="868"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2362</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2392</w:t>
            </w:r>
          </w:p>
        </w:tc>
        <w:tc>
          <w:tcPr>
            <w:tcW w:w="724"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2422</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2451</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2480</w:t>
            </w:r>
          </w:p>
        </w:tc>
      </w:tr>
      <w:tr w:rsidR="00A67F20" w:rsidRPr="00032691" w:rsidTr="001B1242">
        <w:trPr>
          <w:trHeight w:val="512"/>
        </w:trPr>
        <w:tc>
          <w:tcPr>
            <w:tcW w:w="2604" w:type="dxa"/>
            <w:tcBorders>
              <w:top w:val="single" w:sz="4" w:space="0" w:color="auto"/>
              <w:left w:val="nil"/>
              <w:bottom w:val="single" w:sz="4" w:space="0" w:color="auto"/>
              <w:right w:val="nil"/>
            </w:tcBorders>
            <w:shd w:val="clear" w:color="000000" w:fill="FFFFFF"/>
            <w:vAlign w:val="center"/>
            <w:hideMark/>
          </w:tcPr>
          <w:p w:rsidR="00A67F20" w:rsidRPr="00032691" w:rsidRDefault="00A67F20" w:rsidP="00A67F20">
            <w:pPr>
              <w:rPr>
                <w:rFonts w:ascii="Arial" w:eastAsia="Times New Roman" w:hAnsi="Arial" w:cs="Arial"/>
                <w:b/>
                <w:bCs/>
                <w:color w:val="5F5F5F"/>
                <w:sz w:val="16"/>
                <w:szCs w:val="16"/>
                <w:lang w:val="es-PA" w:eastAsia="es-PA"/>
              </w:rPr>
            </w:pPr>
            <w:r w:rsidRPr="00032691">
              <w:rPr>
                <w:rFonts w:ascii="Arial" w:eastAsia="Times New Roman" w:hAnsi="Arial" w:cs="Arial"/>
                <w:b/>
                <w:bCs/>
                <w:color w:val="5F5F5F"/>
                <w:sz w:val="16"/>
                <w:szCs w:val="16"/>
                <w:lang w:val="es-PA" w:eastAsia="es-PA"/>
              </w:rPr>
              <w:t xml:space="preserve">Tasa de crecimiento natural </w:t>
            </w:r>
            <w:r w:rsidRPr="00032691">
              <w:rPr>
                <w:rFonts w:ascii="Arial" w:eastAsia="Times New Roman" w:hAnsi="Arial" w:cs="Arial"/>
                <w:b/>
                <w:bCs/>
                <w:color w:val="5F5F5F"/>
                <w:sz w:val="16"/>
                <w:szCs w:val="16"/>
                <w:lang w:val="es-PA" w:eastAsia="es-PA"/>
              </w:rPr>
              <w:br/>
              <w:t>(por cien habitantes)</w:t>
            </w:r>
          </w:p>
        </w:tc>
        <w:tc>
          <w:tcPr>
            <w:tcW w:w="723"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11.4</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11.9</w:t>
            </w:r>
          </w:p>
        </w:tc>
        <w:tc>
          <w:tcPr>
            <w:tcW w:w="723"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11.6</w:t>
            </w:r>
          </w:p>
        </w:tc>
        <w:tc>
          <w:tcPr>
            <w:tcW w:w="867"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10.8</w:t>
            </w:r>
          </w:p>
        </w:tc>
        <w:tc>
          <w:tcPr>
            <w:tcW w:w="868"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10.7</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10.5</w:t>
            </w:r>
          </w:p>
        </w:tc>
        <w:tc>
          <w:tcPr>
            <w:tcW w:w="724"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9.7</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9.2</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8.9</w:t>
            </w:r>
          </w:p>
        </w:tc>
      </w:tr>
      <w:tr w:rsidR="00A67F20" w:rsidRPr="00032691" w:rsidTr="001B1242">
        <w:trPr>
          <w:trHeight w:val="512"/>
        </w:trPr>
        <w:tc>
          <w:tcPr>
            <w:tcW w:w="2604" w:type="dxa"/>
            <w:tcBorders>
              <w:top w:val="single" w:sz="4" w:space="0" w:color="auto"/>
              <w:left w:val="nil"/>
              <w:bottom w:val="single" w:sz="4" w:space="0" w:color="auto"/>
              <w:right w:val="nil"/>
            </w:tcBorders>
            <w:shd w:val="clear" w:color="000000" w:fill="FFFFFF"/>
            <w:vAlign w:val="center"/>
            <w:hideMark/>
          </w:tcPr>
          <w:p w:rsidR="00A67F20" w:rsidRPr="00032691" w:rsidRDefault="00A67F20" w:rsidP="00A67F20">
            <w:pPr>
              <w:rPr>
                <w:rFonts w:ascii="Arial" w:eastAsia="Times New Roman" w:hAnsi="Arial" w:cs="Arial"/>
                <w:b/>
                <w:bCs/>
                <w:color w:val="5F5F5F"/>
                <w:sz w:val="16"/>
                <w:szCs w:val="16"/>
                <w:lang w:val="es-PA" w:eastAsia="es-PA"/>
              </w:rPr>
            </w:pPr>
            <w:r w:rsidRPr="00032691">
              <w:rPr>
                <w:rFonts w:ascii="Arial" w:eastAsia="Times New Roman" w:hAnsi="Arial" w:cs="Arial"/>
                <w:b/>
                <w:bCs/>
                <w:color w:val="5F5F5F"/>
                <w:sz w:val="16"/>
                <w:szCs w:val="16"/>
                <w:lang w:val="es-PA" w:eastAsia="es-PA"/>
              </w:rPr>
              <w:t xml:space="preserve">Tasa bruta de natalidad </w:t>
            </w:r>
            <w:r w:rsidRPr="00032691">
              <w:rPr>
                <w:rFonts w:ascii="Arial" w:eastAsia="Times New Roman" w:hAnsi="Arial" w:cs="Arial"/>
                <w:b/>
                <w:bCs/>
                <w:color w:val="5F5F5F"/>
                <w:sz w:val="16"/>
                <w:szCs w:val="16"/>
                <w:lang w:val="es-PA" w:eastAsia="es-PA"/>
              </w:rPr>
              <w:br/>
              <w:t>(por mil habitantes)</w:t>
            </w:r>
          </w:p>
        </w:tc>
        <w:tc>
          <w:tcPr>
            <w:tcW w:w="723"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15.6</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16.0</w:t>
            </w:r>
          </w:p>
        </w:tc>
        <w:tc>
          <w:tcPr>
            <w:tcW w:w="723"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15.8</w:t>
            </w:r>
          </w:p>
        </w:tc>
        <w:tc>
          <w:tcPr>
            <w:tcW w:w="867"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15.0</w:t>
            </w:r>
          </w:p>
        </w:tc>
        <w:tc>
          <w:tcPr>
            <w:tcW w:w="868"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15.0</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14.9</w:t>
            </w:r>
          </w:p>
        </w:tc>
        <w:tc>
          <w:tcPr>
            <w:tcW w:w="724"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14.3</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13.9</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13.7</w:t>
            </w:r>
          </w:p>
        </w:tc>
      </w:tr>
      <w:tr w:rsidR="00A67F20" w:rsidRPr="00032691" w:rsidTr="001B1242">
        <w:trPr>
          <w:trHeight w:val="256"/>
        </w:trPr>
        <w:tc>
          <w:tcPr>
            <w:tcW w:w="2604" w:type="dxa"/>
            <w:tcBorders>
              <w:top w:val="nil"/>
              <w:left w:val="nil"/>
              <w:bottom w:val="single" w:sz="4" w:space="0" w:color="auto"/>
              <w:right w:val="nil"/>
            </w:tcBorders>
            <w:shd w:val="clear" w:color="000000" w:fill="FFFFFF"/>
            <w:noWrap/>
            <w:vAlign w:val="center"/>
            <w:hideMark/>
          </w:tcPr>
          <w:p w:rsidR="00A67F20" w:rsidRPr="00032691" w:rsidRDefault="00A67F20" w:rsidP="00A67F20">
            <w:pPr>
              <w:rPr>
                <w:rFonts w:ascii="Arial" w:eastAsia="Times New Roman" w:hAnsi="Arial" w:cs="Arial"/>
                <w:b/>
                <w:bCs/>
                <w:color w:val="5F5F5F"/>
                <w:sz w:val="16"/>
                <w:szCs w:val="16"/>
                <w:lang w:val="es-PA" w:eastAsia="es-PA"/>
              </w:rPr>
            </w:pPr>
            <w:r w:rsidRPr="00032691">
              <w:rPr>
                <w:rFonts w:ascii="Arial" w:eastAsia="Times New Roman" w:hAnsi="Arial" w:cs="Arial"/>
                <w:b/>
                <w:bCs/>
                <w:color w:val="5F5F5F"/>
                <w:sz w:val="16"/>
                <w:szCs w:val="16"/>
                <w:lang w:val="es-PA" w:eastAsia="es-PA"/>
              </w:rPr>
              <w:t>Tasa global de fecundidad (por mujer)</w:t>
            </w:r>
          </w:p>
        </w:tc>
        <w:tc>
          <w:tcPr>
            <w:tcW w:w="723"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1.8</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1.9</w:t>
            </w:r>
          </w:p>
        </w:tc>
        <w:tc>
          <w:tcPr>
            <w:tcW w:w="723"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1.8</w:t>
            </w:r>
          </w:p>
        </w:tc>
        <w:tc>
          <w:tcPr>
            <w:tcW w:w="867"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1.8</w:t>
            </w:r>
          </w:p>
        </w:tc>
        <w:tc>
          <w:tcPr>
            <w:tcW w:w="868"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1.8</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1.8</w:t>
            </w:r>
          </w:p>
        </w:tc>
        <w:tc>
          <w:tcPr>
            <w:tcW w:w="724"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1.7</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1.7</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1.7</w:t>
            </w:r>
          </w:p>
        </w:tc>
      </w:tr>
      <w:tr w:rsidR="00A67F20" w:rsidRPr="00032691" w:rsidTr="001B1242">
        <w:trPr>
          <w:trHeight w:val="256"/>
        </w:trPr>
        <w:tc>
          <w:tcPr>
            <w:tcW w:w="2604" w:type="dxa"/>
            <w:tcBorders>
              <w:top w:val="single" w:sz="4" w:space="0" w:color="auto"/>
              <w:left w:val="nil"/>
              <w:bottom w:val="nil"/>
              <w:right w:val="nil"/>
            </w:tcBorders>
            <w:shd w:val="clear" w:color="000000" w:fill="FFFFFF"/>
            <w:noWrap/>
            <w:vAlign w:val="center"/>
            <w:hideMark/>
          </w:tcPr>
          <w:p w:rsidR="00A67F20" w:rsidRPr="00032691" w:rsidRDefault="00A67F20" w:rsidP="00A67F20">
            <w:pPr>
              <w:rPr>
                <w:rFonts w:ascii="Arial" w:eastAsia="Times New Roman" w:hAnsi="Arial" w:cs="Arial"/>
                <w:b/>
                <w:bCs/>
                <w:color w:val="5F5F5F"/>
                <w:sz w:val="16"/>
                <w:szCs w:val="16"/>
                <w:lang w:val="es-PA" w:eastAsia="es-PA"/>
              </w:rPr>
            </w:pPr>
            <w:r w:rsidRPr="00032691">
              <w:rPr>
                <w:rFonts w:ascii="Arial" w:eastAsia="Times New Roman" w:hAnsi="Arial" w:cs="Arial"/>
                <w:b/>
                <w:bCs/>
                <w:color w:val="5F5F5F"/>
                <w:sz w:val="16"/>
                <w:szCs w:val="16"/>
                <w:lang w:val="es-PA" w:eastAsia="es-PA"/>
              </w:rPr>
              <w:t>Tasa de reproducción (por mujer)</w:t>
            </w:r>
          </w:p>
        </w:tc>
        <w:tc>
          <w:tcPr>
            <w:tcW w:w="723"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722"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723"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867"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868"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c>
          <w:tcPr>
            <w:tcW w:w="722"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c>
          <w:tcPr>
            <w:tcW w:w="724"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c>
          <w:tcPr>
            <w:tcW w:w="722"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c>
          <w:tcPr>
            <w:tcW w:w="722"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r>
      <w:tr w:rsidR="00A67F20" w:rsidRPr="00032691" w:rsidTr="001B1242">
        <w:trPr>
          <w:trHeight w:val="243"/>
        </w:trPr>
        <w:tc>
          <w:tcPr>
            <w:tcW w:w="2604" w:type="dxa"/>
            <w:tcBorders>
              <w:top w:val="nil"/>
              <w:left w:val="nil"/>
              <w:bottom w:val="nil"/>
              <w:right w:val="nil"/>
            </w:tcBorders>
            <w:shd w:val="clear" w:color="000000" w:fill="FFFFFF"/>
            <w:noWrap/>
            <w:vAlign w:val="center"/>
            <w:hideMark/>
          </w:tcPr>
          <w:p w:rsidR="00A67F20" w:rsidRPr="00032691" w:rsidRDefault="00A67F20" w:rsidP="00A67F20">
            <w:pPr>
              <w:ind w:firstLineChars="100" w:firstLine="16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Bruta</w:t>
            </w:r>
          </w:p>
        </w:tc>
        <w:tc>
          <w:tcPr>
            <w:tcW w:w="723"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0.884</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0.907</w:t>
            </w:r>
          </w:p>
        </w:tc>
        <w:tc>
          <w:tcPr>
            <w:tcW w:w="723"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0.898</w:t>
            </w:r>
          </w:p>
        </w:tc>
        <w:tc>
          <w:tcPr>
            <w:tcW w:w="867"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0.857</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0.865</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0.860</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0.832</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0.815</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0.811</w:t>
            </w:r>
          </w:p>
        </w:tc>
      </w:tr>
      <w:tr w:rsidR="00A67F20" w:rsidRPr="00032691" w:rsidTr="001B1242">
        <w:trPr>
          <w:trHeight w:val="243"/>
        </w:trPr>
        <w:tc>
          <w:tcPr>
            <w:tcW w:w="2604" w:type="dxa"/>
            <w:tcBorders>
              <w:top w:val="nil"/>
              <w:left w:val="nil"/>
              <w:bottom w:val="single" w:sz="4" w:space="0" w:color="auto"/>
              <w:right w:val="nil"/>
            </w:tcBorders>
            <w:shd w:val="clear" w:color="000000" w:fill="FFFFFF"/>
            <w:noWrap/>
            <w:vAlign w:val="center"/>
            <w:hideMark/>
          </w:tcPr>
          <w:p w:rsidR="00A67F20" w:rsidRPr="00032691" w:rsidRDefault="00A67F20" w:rsidP="00A67F20">
            <w:pPr>
              <w:ind w:firstLineChars="100" w:firstLine="16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Neta</w:t>
            </w:r>
          </w:p>
        </w:tc>
        <w:tc>
          <w:tcPr>
            <w:tcW w:w="723"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0.881</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0.906</w:t>
            </w:r>
          </w:p>
        </w:tc>
        <w:tc>
          <w:tcPr>
            <w:tcW w:w="723"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0.897</w:t>
            </w:r>
          </w:p>
        </w:tc>
        <w:tc>
          <w:tcPr>
            <w:tcW w:w="867"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0.856</w:t>
            </w:r>
          </w:p>
        </w:tc>
        <w:tc>
          <w:tcPr>
            <w:tcW w:w="868"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0.865</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0.860</w:t>
            </w:r>
          </w:p>
        </w:tc>
        <w:tc>
          <w:tcPr>
            <w:tcW w:w="724"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0.832</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0.815</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0.810</w:t>
            </w:r>
          </w:p>
        </w:tc>
      </w:tr>
      <w:tr w:rsidR="00A67F20" w:rsidRPr="00032691" w:rsidTr="001B1242">
        <w:trPr>
          <w:trHeight w:val="256"/>
        </w:trPr>
        <w:tc>
          <w:tcPr>
            <w:tcW w:w="2604" w:type="dxa"/>
            <w:tcBorders>
              <w:top w:val="single" w:sz="4" w:space="0" w:color="auto"/>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16"/>
                <w:lang w:val="es-PA" w:eastAsia="es-PA"/>
              </w:rPr>
            </w:pPr>
            <w:r w:rsidRPr="00032691">
              <w:rPr>
                <w:rFonts w:ascii="Arial" w:eastAsia="Times New Roman" w:hAnsi="Arial" w:cs="Arial"/>
                <w:b/>
                <w:bCs/>
                <w:color w:val="5F5F5F"/>
                <w:sz w:val="16"/>
                <w:szCs w:val="16"/>
                <w:lang w:val="es-PA" w:eastAsia="es-PA"/>
              </w:rPr>
              <w:t>Esperanza de vida al nacimiento</w:t>
            </w:r>
          </w:p>
        </w:tc>
        <w:tc>
          <w:tcPr>
            <w:tcW w:w="723" w:type="dxa"/>
            <w:tcBorders>
              <w:top w:val="single" w:sz="4" w:space="0" w:color="auto"/>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79.1</w:t>
            </w:r>
          </w:p>
        </w:tc>
        <w:tc>
          <w:tcPr>
            <w:tcW w:w="722" w:type="dxa"/>
            <w:tcBorders>
              <w:top w:val="single" w:sz="4" w:space="0" w:color="auto"/>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79.1</w:t>
            </w:r>
          </w:p>
        </w:tc>
        <w:tc>
          <w:tcPr>
            <w:tcW w:w="723" w:type="dxa"/>
            <w:tcBorders>
              <w:top w:val="single" w:sz="4" w:space="0" w:color="auto"/>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79.4</w:t>
            </w:r>
          </w:p>
        </w:tc>
        <w:tc>
          <w:tcPr>
            <w:tcW w:w="867" w:type="dxa"/>
            <w:tcBorders>
              <w:top w:val="single" w:sz="4" w:space="0" w:color="auto"/>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79.6</w:t>
            </w:r>
          </w:p>
        </w:tc>
        <w:tc>
          <w:tcPr>
            <w:tcW w:w="868"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79.7</w:t>
            </w:r>
          </w:p>
        </w:tc>
        <w:tc>
          <w:tcPr>
            <w:tcW w:w="722"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79.9</w:t>
            </w:r>
          </w:p>
        </w:tc>
        <w:tc>
          <w:tcPr>
            <w:tcW w:w="724"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80.0</w:t>
            </w:r>
          </w:p>
        </w:tc>
        <w:tc>
          <w:tcPr>
            <w:tcW w:w="722"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80.2</w:t>
            </w:r>
          </w:p>
        </w:tc>
        <w:tc>
          <w:tcPr>
            <w:tcW w:w="722" w:type="dxa"/>
            <w:tcBorders>
              <w:top w:val="single" w:sz="4" w:space="0" w:color="auto"/>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80.3</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Hombres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76.6</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76.6</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76.9</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77.1</w:t>
            </w:r>
          </w:p>
        </w:tc>
        <w:tc>
          <w:tcPr>
            <w:tcW w:w="868"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77.2</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77.4</w:t>
            </w:r>
          </w:p>
        </w:tc>
        <w:tc>
          <w:tcPr>
            <w:tcW w:w="724"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77.5</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77.6</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77.8</w:t>
            </w:r>
          </w:p>
        </w:tc>
      </w:tr>
      <w:tr w:rsidR="00A67F20" w:rsidRPr="00032691" w:rsidTr="001B1242">
        <w:trPr>
          <w:trHeight w:val="307"/>
        </w:trPr>
        <w:tc>
          <w:tcPr>
            <w:tcW w:w="2604" w:type="dxa"/>
            <w:tcBorders>
              <w:top w:val="nil"/>
              <w:left w:val="nil"/>
              <w:bottom w:val="single" w:sz="4" w:space="0" w:color="auto"/>
              <w:right w:val="nil"/>
            </w:tcBorders>
            <w:shd w:val="clear" w:color="000000" w:fill="FFFFFF"/>
            <w:noWrap/>
            <w:vAlign w:val="center"/>
            <w:hideMark/>
          </w:tcPr>
          <w:p w:rsidR="00A67F20" w:rsidRPr="00032691" w:rsidRDefault="00A67F20" w:rsidP="00A67F20">
            <w:pPr>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Mujeres</w:t>
            </w:r>
          </w:p>
        </w:tc>
        <w:tc>
          <w:tcPr>
            <w:tcW w:w="723"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81.6</w:t>
            </w:r>
          </w:p>
        </w:tc>
        <w:tc>
          <w:tcPr>
            <w:tcW w:w="722"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81.6</w:t>
            </w:r>
          </w:p>
        </w:tc>
        <w:tc>
          <w:tcPr>
            <w:tcW w:w="723"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81.9</w:t>
            </w:r>
          </w:p>
        </w:tc>
        <w:tc>
          <w:tcPr>
            <w:tcW w:w="867" w:type="dxa"/>
            <w:tcBorders>
              <w:top w:val="nil"/>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82.1</w:t>
            </w:r>
          </w:p>
        </w:tc>
        <w:tc>
          <w:tcPr>
            <w:tcW w:w="868"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82.3</w:t>
            </w:r>
          </w:p>
        </w:tc>
        <w:tc>
          <w:tcPr>
            <w:tcW w:w="722"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82.4</w:t>
            </w:r>
          </w:p>
        </w:tc>
        <w:tc>
          <w:tcPr>
            <w:tcW w:w="724"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82.6</w:t>
            </w:r>
          </w:p>
        </w:tc>
        <w:tc>
          <w:tcPr>
            <w:tcW w:w="722"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82.7</w:t>
            </w:r>
          </w:p>
        </w:tc>
        <w:tc>
          <w:tcPr>
            <w:tcW w:w="722"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82.9</w:t>
            </w:r>
          </w:p>
        </w:tc>
      </w:tr>
      <w:tr w:rsidR="00A67F20" w:rsidRPr="00032691" w:rsidTr="001B1242">
        <w:trPr>
          <w:trHeight w:val="256"/>
        </w:trPr>
        <w:tc>
          <w:tcPr>
            <w:tcW w:w="2604"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16"/>
                <w:lang w:val="es-PA" w:eastAsia="es-PA"/>
              </w:rPr>
            </w:pPr>
            <w:r w:rsidRPr="00032691">
              <w:rPr>
                <w:rFonts w:ascii="Arial" w:eastAsia="Times New Roman" w:hAnsi="Arial" w:cs="Arial"/>
                <w:b/>
                <w:bCs/>
                <w:color w:val="5F5F5F"/>
                <w:sz w:val="16"/>
                <w:szCs w:val="16"/>
                <w:lang w:val="es-PA" w:eastAsia="es-PA"/>
              </w:rPr>
              <w:t>Tasas de mortalidad</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 </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 </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100" w:firstLine="160"/>
              <w:rPr>
                <w:rFonts w:ascii="Arial" w:eastAsia="Times New Roman" w:hAnsi="Arial" w:cs="Arial"/>
                <w:sz w:val="16"/>
                <w:szCs w:val="16"/>
                <w:u w:val="single"/>
                <w:lang w:val="es-PA" w:eastAsia="es-PA"/>
              </w:rPr>
            </w:pPr>
            <w:r w:rsidRPr="00032691">
              <w:rPr>
                <w:rFonts w:ascii="Arial" w:eastAsia="Times New Roman" w:hAnsi="Arial" w:cs="Arial"/>
                <w:sz w:val="16"/>
                <w:szCs w:val="16"/>
                <w:u w:val="single"/>
                <w:lang w:val="es-PA" w:eastAsia="es-PA"/>
              </w:rPr>
              <w:t>General (por mil habitantes)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4.2</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4.1</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4.1</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4.2</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4.3</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4.4</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4.6</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4.7</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4.8</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Hombres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4.8</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4.6</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4.6</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4.6</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4.8</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5.0</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5.2</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5.2</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5.4</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Mujeres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3.6</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3.6</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3.6</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3.7</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3.8</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3.7</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4.0</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4.1</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4.1</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100" w:firstLine="160"/>
              <w:rPr>
                <w:rFonts w:ascii="Arial" w:eastAsia="Times New Roman" w:hAnsi="Arial" w:cs="Arial"/>
                <w:sz w:val="16"/>
                <w:szCs w:val="16"/>
                <w:u w:val="single"/>
                <w:lang w:val="es-PA" w:eastAsia="es-PA"/>
              </w:rPr>
            </w:pPr>
            <w:r w:rsidRPr="00032691">
              <w:rPr>
                <w:rFonts w:ascii="Arial" w:eastAsia="Times New Roman" w:hAnsi="Arial" w:cs="Arial"/>
                <w:sz w:val="16"/>
                <w:szCs w:val="16"/>
                <w:u w:val="single"/>
                <w:lang w:val="es-PA" w:eastAsia="es-PA"/>
              </w:rPr>
              <w:t>Niñez (0 - 4 años) (por mil nacimientos)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11.2</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10.4</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9.9</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9.9</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9.5</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8.9</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9.3</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9.6</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9.4</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Hombres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12.7</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11.4</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10.7</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10.7</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9.7</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9.7</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10.5</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10.0</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10.3</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Mujeres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9.5</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9.4</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9.1</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9.0</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9.2</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8.0</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8.2</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9.2</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8.5</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100" w:firstLine="160"/>
              <w:rPr>
                <w:rFonts w:ascii="Arial" w:eastAsia="Times New Roman" w:hAnsi="Arial" w:cs="Arial"/>
                <w:sz w:val="16"/>
                <w:szCs w:val="16"/>
                <w:u w:val="single"/>
                <w:lang w:val="es-PA" w:eastAsia="es-PA"/>
              </w:rPr>
            </w:pPr>
            <w:r w:rsidRPr="00032691">
              <w:rPr>
                <w:rFonts w:ascii="Arial" w:eastAsia="Times New Roman" w:hAnsi="Arial" w:cs="Arial"/>
                <w:sz w:val="16"/>
                <w:szCs w:val="16"/>
                <w:u w:val="single"/>
                <w:lang w:val="es-PA" w:eastAsia="es-PA"/>
              </w:rPr>
              <w:t>Infantil (por mil nacimientos)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9.5</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9.1</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8.5</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8.7</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8.1</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7.7</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7.9</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8.0</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8.4</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Hombres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10.6</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10.0</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9.0</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9.4</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8.3</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8.4</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8.7</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8.1</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8.9</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Mujeres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8.2</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8.1</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8.0</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7.9</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7.9</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7.0</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7.2</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7.8</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7.9</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100" w:firstLine="160"/>
              <w:rPr>
                <w:rFonts w:ascii="Arial" w:eastAsia="Times New Roman" w:hAnsi="Arial" w:cs="Arial"/>
                <w:sz w:val="16"/>
                <w:szCs w:val="16"/>
                <w:u w:val="single"/>
                <w:lang w:val="es-PA" w:eastAsia="es-PA"/>
              </w:rPr>
            </w:pPr>
            <w:r w:rsidRPr="00032691">
              <w:rPr>
                <w:rFonts w:ascii="Arial" w:eastAsia="Times New Roman" w:hAnsi="Arial" w:cs="Arial"/>
                <w:sz w:val="16"/>
                <w:szCs w:val="16"/>
                <w:u w:val="single"/>
                <w:lang w:val="es-PA" w:eastAsia="es-PA"/>
              </w:rPr>
              <w:t>Neonatal (por mil nacimientos)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6.8</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6.7</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6.3</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6.4</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6.3</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5.9</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6.2</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6.1</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6.4</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Hombres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7.8</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7.6</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7.0</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6.9</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6.5</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6.6</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6.9</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6.3</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6.7</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Mujeres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5.8</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5.9</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5.6</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6.0</w:t>
            </w:r>
          </w:p>
        </w:tc>
        <w:tc>
          <w:tcPr>
            <w:tcW w:w="868"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6.0</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5.2</w:t>
            </w:r>
          </w:p>
        </w:tc>
        <w:tc>
          <w:tcPr>
            <w:tcW w:w="724"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5.4</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6.0</w:t>
            </w:r>
          </w:p>
        </w:tc>
        <w:tc>
          <w:tcPr>
            <w:tcW w:w="722" w:type="dxa"/>
            <w:tcBorders>
              <w:top w:val="nil"/>
              <w:left w:val="nil"/>
              <w:bottom w:val="nil"/>
              <w:right w:val="nil"/>
            </w:tcBorders>
            <w:shd w:val="clear" w:color="000000" w:fill="FFFFFF"/>
            <w:noWrap/>
            <w:vAlign w:val="center"/>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6.0</w:t>
            </w:r>
          </w:p>
        </w:tc>
      </w:tr>
      <w:tr w:rsidR="00A67F20" w:rsidRPr="00032691" w:rsidTr="001B1242">
        <w:trPr>
          <w:trHeight w:val="243"/>
        </w:trPr>
        <w:tc>
          <w:tcPr>
            <w:tcW w:w="2604" w:type="dxa"/>
            <w:tcBorders>
              <w:top w:val="nil"/>
              <w:left w:val="nil"/>
              <w:bottom w:val="nil"/>
              <w:right w:val="nil"/>
            </w:tcBorders>
            <w:shd w:val="clear" w:color="000000" w:fill="FFFFFF"/>
            <w:noWrap/>
            <w:vAlign w:val="bottom"/>
            <w:hideMark/>
          </w:tcPr>
          <w:p w:rsidR="00A67F20" w:rsidRPr="00032691" w:rsidRDefault="00A67F20" w:rsidP="00A67F20">
            <w:pPr>
              <w:ind w:firstLineChars="100" w:firstLine="160"/>
              <w:rPr>
                <w:rFonts w:ascii="Arial" w:eastAsia="Times New Roman" w:hAnsi="Arial" w:cs="Arial"/>
                <w:sz w:val="16"/>
                <w:szCs w:val="16"/>
                <w:u w:val="single"/>
                <w:lang w:val="es-PA" w:eastAsia="es-PA"/>
              </w:rPr>
            </w:pPr>
            <w:r w:rsidRPr="00032691">
              <w:rPr>
                <w:rFonts w:ascii="Arial" w:eastAsia="Times New Roman" w:hAnsi="Arial" w:cs="Arial"/>
                <w:sz w:val="16"/>
                <w:szCs w:val="16"/>
                <w:u w:val="single"/>
                <w:lang w:val="es-PA" w:eastAsia="es-PA"/>
              </w:rPr>
              <w:t>Postneonatal (por mil nacimientos)</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2.6</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2.3</w:t>
            </w:r>
          </w:p>
        </w:tc>
        <w:tc>
          <w:tcPr>
            <w:tcW w:w="723"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2.2</w:t>
            </w:r>
          </w:p>
        </w:tc>
        <w:tc>
          <w:tcPr>
            <w:tcW w:w="867"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2.2</w:t>
            </w:r>
          </w:p>
        </w:tc>
        <w:tc>
          <w:tcPr>
            <w:tcW w:w="868"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1.9</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1.9</w:t>
            </w:r>
          </w:p>
        </w:tc>
        <w:tc>
          <w:tcPr>
            <w:tcW w:w="724"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1.8</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1.8</w:t>
            </w:r>
          </w:p>
        </w:tc>
        <w:tc>
          <w:tcPr>
            <w:tcW w:w="722" w:type="dxa"/>
            <w:tcBorders>
              <w:top w:val="nil"/>
              <w:left w:val="nil"/>
              <w:bottom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2.0</w:t>
            </w:r>
          </w:p>
        </w:tc>
      </w:tr>
      <w:tr w:rsidR="00A67F20" w:rsidRPr="00032691" w:rsidTr="001B1242">
        <w:trPr>
          <w:trHeight w:val="243"/>
        </w:trPr>
        <w:tc>
          <w:tcPr>
            <w:tcW w:w="2604" w:type="dxa"/>
            <w:tcBorders>
              <w:top w:val="nil"/>
              <w:left w:val="nil"/>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Hombres</w:t>
            </w:r>
          </w:p>
        </w:tc>
        <w:tc>
          <w:tcPr>
            <w:tcW w:w="723"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2.9</w:t>
            </w:r>
          </w:p>
        </w:tc>
        <w:tc>
          <w:tcPr>
            <w:tcW w:w="722"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w:t>
            </w:r>
          </w:p>
        </w:tc>
        <w:tc>
          <w:tcPr>
            <w:tcW w:w="723"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2.0</w:t>
            </w:r>
          </w:p>
        </w:tc>
        <w:tc>
          <w:tcPr>
            <w:tcW w:w="867"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2.5</w:t>
            </w:r>
          </w:p>
        </w:tc>
        <w:tc>
          <w:tcPr>
            <w:tcW w:w="868"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1.9</w:t>
            </w:r>
          </w:p>
        </w:tc>
        <w:tc>
          <w:tcPr>
            <w:tcW w:w="722"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1.8</w:t>
            </w:r>
          </w:p>
        </w:tc>
        <w:tc>
          <w:tcPr>
            <w:tcW w:w="724"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1.8</w:t>
            </w:r>
          </w:p>
        </w:tc>
        <w:tc>
          <w:tcPr>
            <w:tcW w:w="722"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1.8</w:t>
            </w:r>
          </w:p>
        </w:tc>
        <w:tc>
          <w:tcPr>
            <w:tcW w:w="722" w:type="dxa"/>
            <w:tcBorders>
              <w:top w:val="nil"/>
              <w:left w:val="nil"/>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2.1</w:t>
            </w:r>
          </w:p>
        </w:tc>
      </w:tr>
      <w:tr w:rsidR="00A67F20" w:rsidRPr="00032691" w:rsidTr="001B1242">
        <w:trPr>
          <w:trHeight w:val="243"/>
        </w:trPr>
        <w:tc>
          <w:tcPr>
            <w:tcW w:w="2604" w:type="dxa"/>
            <w:tcBorders>
              <w:top w:val="nil"/>
              <w:left w:val="nil"/>
              <w:bottom w:val="single" w:sz="4" w:space="0" w:color="auto"/>
              <w:right w:val="nil"/>
            </w:tcBorders>
            <w:shd w:val="clear" w:color="000000" w:fill="FFFFFF"/>
            <w:noWrap/>
            <w:vAlign w:val="bottom"/>
            <w:hideMark/>
          </w:tcPr>
          <w:p w:rsidR="00A67F20" w:rsidRPr="00032691" w:rsidRDefault="00A67F20" w:rsidP="00A67F20">
            <w:pPr>
              <w:ind w:firstLineChars="200" w:firstLine="320"/>
              <w:rPr>
                <w:rFonts w:ascii="Arial" w:eastAsia="Times New Roman" w:hAnsi="Arial" w:cs="Arial"/>
                <w:sz w:val="16"/>
                <w:szCs w:val="16"/>
                <w:lang w:val="es-PA" w:eastAsia="es-PA"/>
              </w:rPr>
            </w:pPr>
            <w:r w:rsidRPr="00032691">
              <w:rPr>
                <w:rFonts w:ascii="Arial" w:eastAsia="Times New Roman" w:hAnsi="Arial" w:cs="Arial"/>
                <w:sz w:val="16"/>
                <w:szCs w:val="16"/>
                <w:lang w:val="es-PA" w:eastAsia="es-PA"/>
              </w:rPr>
              <w:t>Mujeres</w:t>
            </w:r>
          </w:p>
        </w:tc>
        <w:tc>
          <w:tcPr>
            <w:tcW w:w="723"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w:t>
            </w:r>
          </w:p>
        </w:tc>
        <w:tc>
          <w:tcPr>
            <w:tcW w:w="722"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2.3</w:t>
            </w:r>
          </w:p>
        </w:tc>
        <w:tc>
          <w:tcPr>
            <w:tcW w:w="723"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2.4</w:t>
            </w:r>
          </w:p>
        </w:tc>
        <w:tc>
          <w:tcPr>
            <w:tcW w:w="867"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1.9</w:t>
            </w:r>
          </w:p>
        </w:tc>
        <w:tc>
          <w:tcPr>
            <w:tcW w:w="868"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1.9</w:t>
            </w:r>
          </w:p>
        </w:tc>
        <w:tc>
          <w:tcPr>
            <w:tcW w:w="722"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1.9</w:t>
            </w:r>
          </w:p>
        </w:tc>
        <w:tc>
          <w:tcPr>
            <w:tcW w:w="724"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1.8</w:t>
            </w:r>
          </w:p>
        </w:tc>
        <w:tc>
          <w:tcPr>
            <w:tcW w:w="722"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1.9</w:t>
            </w:r>
          </w:p>
        </w:tc>
        <w:tc>
          <w:tcPr>
            <w:tcW w:w="722" w:type="dxa"/>
            <w:tcBorders>
              <w:top w:val="nil"/>
              <w:left w:val="nil"/>
              <w:bottom w:val="single" w:sz="4" w:space="0" w:color="auto"/>
              <w:right w:val="nil"/>
            </w:tcBorders>
            <w:shd w:val="clear" w:color="000000" w:fill="FFFFFF"/>
            <w:noWrap/>
            <w:vAlign w:val="bottom"/>
            <w:hideMark/>
          </w:tcPr>
          <w:p w:rsidR="00A67F20" w:rsidRPr="00032691" w:rsidRDefault="00A67F20" w:rsidP="00A67F20">
            <w:pPr>
              <w:jc w:val="center"/>
              <w:rPr>
                <w:rFonts w:ascii="Arial" w:eastAsia="Times New Roman" w:hAnsi="Arial" w:cs="Arial"/>
                <w:sz w:val="16"/>
                <w:szCs w:val="22"/>
                <w:lang w:val="es-PA" w:eastAsia="es-PA"/>
              </w:rPr>
            </w:pPr>
            <w:r w:rsidRPr="00032691">
              <w:rPr>
                <w:rFonts w:ascii="Arial" w:eastAsia="Times New Roman" w:hAnsi="Arial" w:cs="Arial"/>
                <w:sz w:val="16"/>
                <w:szCs w:val="22"/>
                <w:lang w:val="es-PA" w:eastAsia="es-PA"/>
              </w:rPr>
              <w:t>1.9</w:t>
            </w:r>
          </w:p>
        </w:tc>
      </w:tr>
      <w:tr w:rsidR="00A67F20" w:rsidRPr="00032691" w:rsidTr="001B1242">
        <w:trPr>
          <w:trHeight w:val="512"/>
        </w:trPr>
        <w:tc>
          <w:tcPr>
            <w:tcW w:w="2604" w:type="dxa"/>
            <w:tcBorders>
              <w:top w:val="single" w:sz="4" w:space="0" w:color="auto"/>
              <w:left w:val="nil"/>
              <w:bottom w:val="single" w:sz="4" w:space="0" w:color="auto"/>
              <w:right w:val="nil"/>
            </w:tcBorders>
            <w:shd w:val="clear" w:color="000000" w:fill="FFFFFF"/>
            <w:vAlign w:val="center"/>
            <w:hideMark/>
          </w:tcPr>
          <w:p w:rsidR="00A67F20" w:rsidRPr="00032691" w:rsidRDefault="00A67F20" w:rsidP="00A67F20">
            <w:pPr>
              <w:rPr>
                <w:rFonts w:ascii="Arial" w:eastAsia="Times New Roman" w:hAnsi="Arial" w:cs="Arial"/>
                <w:b/>
                <w:bCs/>
                <w:color w:val="5F5F5F"/>
                <w:sz w:val="16"/>
                <w:szCs w:val="16"/>
                <w:lang w:val="es-PA" w:eastAsia="es-PA"/>
              </w:rPr>
            </w:pPr>
            <w:r w:rsidRPr="00032691">
              <w:rPr>
                <w:rFonts w:ascii="Arial" w:eastAsia="Times New Roman" w:hAnsi="Arial" w:cs="Arial"/>
                <w:b/>
                <w:bCs/>
                <w:color w:val="5F5F5F"/>
                <w:sz w:val="16"/>
                <w:szCs w:val="16"/>
                <w:lang w:val="es-PA" w:eastAsia="es-PA"/>
              </w:rPr>
              <w:t>Razón de mortalidad materna</w:t>
            </w:r>
            <w:r w:rsidRPr="00032691">
              <w:rPr>
                <w:rFonts w:ascii="Arial" w:eastAsia="Times New Roman" w:hAnsi="Arial" w:cs="Arial"/>
                <w:b/>
                <w:bCs/>
                <w:color w:val="5F5F5F"/>
                <w:sz w:val="16"/>
                <w:szCs w:val="16"/>
                <w:lang w:val="es-PA" w:eastAsia="es-PA"/>
              </w:rPr>
              <w:br/>
              <w:t xml:space="preserve"> (por diez mil nacimientos)</w:t>
            </w:r>
          </w:p>
        </w:tc>
        <w:tc>
          <w:tcPr>
            <w:tcW w:w="723"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2.1</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2.5</w:t>
            </w:r>
          </w:p>
        </w:tc>
        <w:tc>
          <w:tcPr>
            <w:tcW w:w="723"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3.0</w:t>
            </w:r>
          </w:p>
        </w:tc>
        <w:tc>
          <w:tcPr>
            <w:tcW w:w="867"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2.0</w:t>
            </w:r>
          </w:p>
        </w:tc>
        <w:tc>
          <w:tcPr>
            <w:tcW w:w="868"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2.9</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2.8</w:t>
            </w:r>
          </w:p>
        </w:tc>
        <w:tc>
          <w:tcPr>
            <w:tcW w:w="724"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2.7</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2.2</w:t>
            </w:r>
          </w:p>
        </w:tc>
        <w:tc>
          <w:tcPr>
            <w:tcW w:w="722" w:type="dxa"/>
            <w:tcBorders>
              <w:top w:val="single" w:sz="4" w:space="0" w:color="auto"/>
              <w:left w:val="nil"/>
              <w:bottom w:val="single" w:sz="4" w:space="0" w:color="auto"/>
              <w:right w:val="nil"/>
            </w:tcBorders>
            <w:shd w:val="clear" w:color="000000" w:fill="FFFFFF"/>
            <w:noWrap/>
            <w:vAlign w:val="center"/>
            <w:hideMark/>
          </w:tcPr>
          <w:p w:rsidR="00A67F20" w:rsidRPr="00032691" w:rsidRDefault="00A67F20" w:rsidP="00A67F20">
            <w:pPr>
              <w:jc w:val="center"/>
              <w:rPr>
                <w:rFonts w:ascii="Arial" w:eastAsia="Times New Roman" w:hAnsi="Arial" w:cs="Arial"/>
                <w:b/>
                <w:bCs/>
                <w:color w:val="5F5F5F"/>
                <w:sz w:val="16"/>
                <w:szCs w:val="22"/>
                <w:lang w:val="es-PA" w:eastAsia="es-PA"/>
              </w:rPr>
            </w:pPr>
            <w:r w:rsidRPr="00032691">
              <w:rPr>
                <w:rFonts w:ascii="Arial" w:eastAsia="Times New Roman" w:hAnsi="Arial" w:cs="Arial"/>
                <w:b/>
                <w:bCs/>
                <w:color w:val="5F5F5F"/>
                <w:sz w:val="16"/>
                <w:szCs w:val="22"/>
                <w:lang w:val="es-PA" w:eastAsia="es-PA"/>
              </w:rPr>
              <w:t>1.5</w:t>
            </w:r>
          </w:p>
        </w:tc>
      </w:tr>
    </w:tbl>
    <w:p w:rsidR="001B1242" w:rsidRDefault="001B1242" w:rsidP="00882349">
      <w:pPr>
        <w:pStyle w:val="Encabezado"/>
        <w:jc w:val="right"/>
        <w:rPr>
          <w:rFonts w:ascii="Arial" w:hAnsi="Arial" w:cs="Arial"/>
          <w:lang w:val="es-CR"/>
        </w:rPr>
      </w:pPr>
      <w:r w:rsidRPr="00882349">
        <w:rPr>
          <w:rFonts w:ascii="Arial" w:hAnsi="Arial" w:cs="Arial"/>
          <w:b/>
          <w:sz w:val="16"/>
          <w:szCs w:val="16"/>
          <w:lang w:val="es-CR"/>
        </w:rPr>
        <w:t>Fuente.</w:t>
      </w:r>
      <w:r w:rsidR="00882349" w:rsidRPr="00882349">
        <w:rPr>
          <w:rFonts w:ascii="Arial" w:hAnsi="Arial" w:cs="Arial"/>
          <w:sz w:val="16"/>
          <w:szCs w:val="16"/>
          <w:lang w:val="es-CR"/>
        </w:rPr>
        <w:t xml:space="preserve"> </w:t>
      </w:r>
      <w:r w:rsidRPr="00882349">
        <w:rPr>
          <w:rFonts w:ascii="Arial" w:hAnsi="Arial" w:cs="Arial"/>
          <w:sz w:val="16"/>
          <w:szCs w:val="16"/>
          <w:lang w:val="es-CR"/>
        </w:rPr>
        <w:t>Instituto Nacional de Estadística y Censos (INEC)</w:t>
      </w:r>
      <w:r w:rsidR="00882349" w:rsidRPr="00882349">
        <w:rPr>
          <w:rFonts w:ascii="Arial" w:hAnsi="Arial" w:cs="Arial"/>
          <w:sz w:val="16"/>
          <w:szCs w:val="16"/>
          <w:lang w:val="es-CR"/>
        </w:rPr>
        <w:t xml:space="preserve">, </w:t>
      </w:r>
      <w:r w:rsidRPr="00882349">
        <w:rPr>
          <w:rFonts w:ascii="Arial" w:hAnsi="Arial" w:cs="Arial"/>
          <w:sz w:val="16"/>
          <w:szCs w:val="16"/>
          <w:lang w:val="es-CR"/>
        </w:rPr>
        <w:t>Dirección de Vigilancia de la Salud</w:t>
      </w:r>
      <w:r w:rsidR="00882349" w:rsidRPr="00882349">
        <w:rPr>
          <w:rFonts w:ascii="Arial" w:hAnsi="Arial" w:cs="Arial"/>
          <w:sz w:val="16"/>
          <w:szCs w:val="16"/>
          <w:lang w:val="es-CR"/>
        </w:rPr>
        <w:t>, Ministerio de Salud, 2018</w:t>
      </w:r>
      <w:r w:rsidR="00882349">
        <w:rPr>
          <w:rFonts w:ascii="Arial" w:hAnsi="Arial" w:cs="Arial"/>
          <w:sz w:val="14"/>
          <w:lang w:val="es-CR"/>
        </w:rPr>
        <w:t>.</w:t>
      </w:r>
    </w:p>
    <w:p w:rsidR="00E63B5B" w:rsidRDefault="00E63B5B" w:rsidP="00882349">
      <w:pPr>
        <w:pStyle w:val="Encabezado"/>
        <w:jc w:val="both"/>
        <w:rPr>
          <w:rFonts w:ascii="Arial" w:hAnsi="Arial" w:cs="Arial"/>
          <w:lang w:val="es-CR"/>
        </w:rPr>
      </w:pPr>
    </w:p>
    <w:p w:rsidR="00E63B5B" w:rsidRDefault="00E63B5B" w:rsidP="00E63B5B">
      <w:pPr>
        <w:pStyle w:val="Encabezado"/>
        <w:rPr>
          <w:rFonts w:ascii="Arial" w:hAnsi="Arial" w:cs="Arial"/>
          <w:lang w:val="es-CR"/>
        </w:rPr>
      </w:pPr>
    </w:p>
    <w:p w:rsidR="00882349" w:rsidRDefault="00882349">
      <w:pPr>
        <w:spacing w:after="160" w:line="259" w:lineRule="auto"/>
        <w:rPr>
          <w:rFonts w:ascii="Arial" w:hAnsi="Arial" w:cs="Arial"/>
          <w:lang w:val="es-CR" w:eastAsia="x-none"/>
        </w:rPr>
      </w:pPr>
      <w:r>
        <w:rPr>
          <w:rFonts w:ascii="Arial" w:hAnsi="Arial" w:cs="Arial"/>
          <w:lang w:val="es-CR"/>
        </w:rPr>
        <w:br w:type="page"/>
      </w:r>
    </w:p>
    <w:p w:rsidR="005C5C2A" w:rsidRPr="00F92A47" w:rsidRDefault="00882349" w:rsidP="00F92A47">
      <w:pPr>
        <w:pStyle w:val="Ttulo2"/>
        <w:spacing w:after="240"/>
        <w:rPr>
          <w:rFonts w:ascii="Arial" w:hAnsi="Arial" w:cs="Arial"/>
          <w:b/>
          <w:color w:val="auto"/>
        </w:rPr>
      </w:pPr>
      <w:bookmarkStart w:id="8" w:name="_Toc7439652"/>
      <w:bookmarkStart w:id="9" w:name="_Toc506187945"/>
      <w:r w:rsidRPr="00F92A47">
        <w:rPr>
          <w:rFonts w:ascii="Arial" w:hAnsi="Arial" w:cs="Arial"/>
          <w:b/>
          <w:color w:val="auto"/>
        </w:rPr>
        <w:lastRenderedPageBreak/>
        <w:t>Conformación étnica</w:t>
      </w:r>
      <w:bookmarkEnd w:id="8"/>
      <w:r w:rsidRPr="00F92A47">
        <w:rPr>
          <w:rFonts w:ascii="Arial" w:hAnsi="Arial" w:cs="Arial"/>
          <w:b/>
          <w:color w:val="auto"/>
        </w:rPr>
        <w:t xml:space="preserve"> </w:t>
      </w:r>
    </w:p>
    <w:p w:rsidR="00B312B3" w:rsidRDefault="00882349" w:rsidP="0066355C">
      <w:pPr>
        <w:pStyle w:val="ParaAttribute1"/>
        <w:spacing w:after="240" w:line="276" w:lineRule="auto"/>
        <w:rPr>
          <w:rStyle w:val="CharAttribute3"/>
          <w:rFonts w:hAnsi="Arial" w:cs="Arial"/>
          <w:szCs w:val="24"/>
        </w:rPr>
      </w:pPr>
      <w:r>
        <w:rPr>
          <w:rStyle w:val="CharAttribute3"/>
          <w:rFonts w:hAnsi="Arial" w:cs="Arial"/>
          <w:szCs w:val="24"/>
        </w:rPr>
        <w:t>H</w:t>
      </w:r>
      <w:r w:rsidR="005C5C2A" w:rsidRPr="00F02583">
        <w:rPr>
          <w:rStyle w:val="CharAttribute3"/>
          <w:rFonts w:hAnsi="Arial" w:cs="Arial"/>
          <w:szCs w:val="24"/>
        </w:rPr>
        <w:t xml:space="preserve">istóricamente </w:t>
      </w:r>
      <w:r>
        <w:rPr>
          <w:rStyle w:val="CharAttribute3"/>
          <w:rFonts w:hAnsi="Arial" w:cs="Arial"/>
          <w:szCs w:val="24"/>
        </w:rPr>
        <w:t xml:space="preserve">Costa Rica </w:t>
      </w:r>
      <w:r w:rsidR="005C5C2A" w:rsidRPr="00F02583">
        <w:rPr>
          <w:rStyle w:val="CharAttribute3"/>
          <w:rFonts w:hAnsi="Arial" w:cs="Arial"/>
          <w:szCs w:val="24"/>
        </w:rPr>
        <w:t xml:space="preserve">ha tenido presencia de diversos grupos étnicos, </w:t>
      </w:r>
      <w:r>
        <w:rPr>
          <w:rStyle w:val="CharAttribute3"/>
          <w:rFonts w:hAnsi="Arial" w:cs="Arial"/>
          <w:szCs w:val="24"/>
        </w:rPr>
        <w:t xml:space="preserve">los cuales </w:t>
      </w:r>
      <w:r w:rsidR="005C5C2A" w:rsidRPr="00F02583">
        <w:rPr>
          <w:rStyle w:val="CharAttribute3"/>
          <w:rFonts w:hAnsi="Arial" w:cs="Arial"/>
          <w:szCs w:val="24"/>
        </w:rPr>
        <w:t>han enriquecido social y culturalmente la conformación de la identidad étnica del país</w:t>
      </w:r>
      <w:r>
        <w:rPr>
          <w:rStyle w:val="CharAttribute3"/>
          <w:rFonts w:hAnsi="Arial" w:cs="Arial"/>
          <w:szCs w:val="24"/>
        </w:rPr>
        <w:t xml:space="preserve">. Para comprender la dinámica propia de cada región, es necesario conocer </w:t>
      </w:r>
      <w:r w:rsidR="005C5C2A" w:rsidRPr="00F02583">
        <w:rPr>
          <w:rStyle w:val="CharAttribute3"/>
          <w:rFonts w:hAnsi="Arial" w:cs="Arial"/>
          <w:szCs w:val="24"/>
        </w:rPr>
        <w:t xml:space="preserve"> </w:t>
      </w:r>
      <w:r>
        <w:rPr>
          <w:rStyle w:val="CharAttribute3"/>
          <w:rFonts w:hAnsi="Arial" w:cs="Arial"/>
          <w:szCs w:val="24"/>
        </w:rPr>
        <w:t xml:space="preserve">la distribución </w:t>
      </w:r>
      <w:r w:rsidR="00B312B3">
        <w:rPr>
          <w:rStyle w:val="CharAttribute3"/>
          <w:rFonts w:hAnsi="Arial" w:cs="Arial"/>
          <w:szCs w:val="24"/>
        </w:rPr>
        <w:t xml:space="preserve">de los distintos grupos étnicos. </w:t>
      </w:r>
    </w:p>
    <w:p w:rsidR="005C5C2A" w:rsidRPr="00F02583" w:rsidRDefault="005C5C2A" w:rsidP="0066355C">
      <w:pPr>
        <w:pStyle w:val="ParaAttribute1"/>
        <w:spacing w:after="240" w:line="276" w:lineRule="auto"/>
        <w:rPr>
          <w:rStyle w:val="CharAttribute3"/>
          <w:rFonts w:hAnsi="Arial" w:cs="Arial"/>
          <w:szCs w:val="24"/>
        </w:rPr>
      </w:pPr>
      <w:r w:rsidRPr="00F02583">
        <w:rPr>
          <w:rStyle w:val="CharAttribute3"/>
          <w:rFonts w:hAnsi="Arial" w:cs="Arial"/>
          <w:szCs w:val="24"/>
        </w:rPr>
        <w:t xml:space="preserve">Específicamente en la población indígena existen ocho etnias: Bribris, Cabécares, Térrabas, Ngöbes o Guaymies, Malekus, Chorotegas, Brunca o Boruca y Huetares, </w:t>
      </w:r>
      <w:r w:rsidR="00B312B3">
        <w:rPr>
          <w:rStyle w:val="CharAttribute3"/>
          <w:rFonts w:hAnsi="Arial" w:cs="Arial"/>
          <w:szCs w:val="24"/>
        </w:rPr>
        <w:t xml:space="preserve">que </w:t>
      </w:r>
      <w:r w:rsidRPr="00F02583">
        <w:rPr>
          <w:rStyle w:val="CharAttribute3"/>
          <w:rFonts w:hAnsi="Arial" w:cs="Arial"/>
          <w:szCs w:val="24"/>
        </w:rPr>
        <w:t xml:space="preserve">se encuentran distribuidos en 24 territorios y hablan en </w:t>
      </w:r>
      <w:r w:rsidR="00B312B3">
        <w:rPr>
          <w:rStyle w:val="CharAttribute3"/>
          <w:rFonts w:hAnsi="Arial" w:cs="Arial"/>
          <w:szCs w:val="24"/>
        </w:rPr>
        <w:t>seis</w:t>
      </w:r>
      <w:r w:rsidRPr="00F02583">
        <w:rPr>
          <w:rStyle w:val="CharAttribute3"/>
          <w:rFonts w:hAnsi="Arial" w:cs="Arial"/>
          <w:szCs w:val="24"/>
        </w:rPr>
        <w:t xml:space="preserve"> </w:t>
      </w:r>
      <w:r w:rsidR="00B312B3">
        <w:rPr>
          <w:rStyle w:val="CharAttribute3"/>
          <w:rFonts w:hAnsi="Arial" w:cs="Arial"/>
          <w:szCs w:val="24"/>
        </w:rPr>
        <w:t xml:space="preserve">lenguas </w:t>
      </w:r>
      <w:r w:rsidRPr="00F02583">
        <w:rPr>
          <w:rStyle w:val="CharAttribute3"/>
          <w:rFonts w:hAnsi="Arial" w:cs="Arial"/>
          <w:szCs w:val="24"/>
        </w:rPr>
        <w:t>indígenas.</w:t>
      </w:r>
    </w:p>
    <w:p w:rsidR="005C5C2A" w:rsidRPr="00F02583" w:rsidRDefault="005C5C2A" w:rsidP="0066355C">
      <w:pPr>
        <w:pStyle w:val="ParaAttribute1"/>
        <w:spacing w:after="240" w:line="276" w:lineRule="auto"/>
        <w:rPr>
          <w:rStyle w:val="CharAttribute3"/>
          <w:rFonts w:hAnsi="Arial" w:cs="Arial"/>
          <w:szCs w:val="24"/>
        </w:rPr>
      </w:pPr>
      <w:r w:rsidRPr="00F02583">
        <w:rPr>
          <w:rStyle w:val="CharAttribute3"/>
          <w:rFonts w:hAnsi="Arial" w:cs="Arial"/>
          <w:szCs w:val="24"/>
        </w:rPr>
        <w:t>En el año 2015</w:t>
      </w:r>
      <w:r w:rsidR="00B312B3">
        <w:rPr>
          <w:rStyle w:val="CharAttribute3"/>
          <w:rFonts w:hAnsi="Arial" w:cs="Arial"/>
          <w:szCs w:val="24"/>
        </w:rPr>
        <w:t>,</w:t>
      </w:r>
      <w:r w:rsidRPr="00F02583">
        <w:rPr>
          <w:rStyle w:val="CharAttribute3"/>
          <w:rFonts w:hAnsi="Arial" w:cs="Arial"/>
          <w:szCs w:val="24"/>
        </w:rPr>
        <w:t xml:space="preserve"> se realizó una modificación al artículo #1 de la </w:t>
      </w:r>
      <w:r w:rsidR="00B312B3">
        <w:rPr>
          <w:rStyle w:val="CharAttribute3"/>
          <w:rFonts w:hAnsi="Arial" w:cs="Arial"/>
          <w:szCs w:val="24"/>
        </w:rPr>
        <w:t>C</w:t>
      </w:r>
      <w:r w:rsidRPr="00F02583">
        <w:rPr>
          <w:rStyle w:val="CharAttribute3"/>
          <w:rFonts w:hAnsi="Arial" w:cs="Arial"/>
          <w:szCs w:val="24"/>
        </w:rPr>
        <w:t>onstitución Política de Costa Rica estableciendo que, “Costa Rica es una República democrática, libre, independiente, multiétnica y pluricultural (Artículo #1 (2015) Gaceta Oficial No. 191. Poder Legislativo de Costa Rica.)</w:t>
      </w:r>
      <w:r w:rsidR="00B312B3">
        <w:rPr>
          <w:rStyle w:val="CharAttribute3"/>
          <w:rFonts w:hAnsi="Arial" w:cs="Arial"/>
          <w:szCs w:val="24"/>
        </w:rPr>
        <w:t>,</w:t>
      </w:r>
      <w:r w:rsidRPr="00F02583">
        <w:rPr>
          <w:rStyle w:val="CharAttribute3"/>
          <w:rFonts w:hAnsi="Arial" w:cs="Arial"/>
          <w:szCs w:val="24"/>
        </w:rPr>
        <w:t xml:space="preserve"> dando un paso importante para reconocer de esta forma la herencia histórica de las diferentes poblaciones que han conformado el país, especialmente los pueblos originarios.</w:t>
      </w:r>
    </w:p>
    <w:p w:rsidR="005C5C2A" w:rsidRPr="00F02583" w:rsidRDefault="005C5C2A" w:rsidP="0066355C">
      <w:pPr>
        <w:pStyle w:val="ParaAttribute1"/>
        <w:spacing w:line="276" w:lineRule="auto"/>
        <w:rPr>
          <w:rStyle w:val="CharAttribute3"/>
          <w:rFonts w:hAnsi="Arial" w:cs="Arial"/>
          <w:szCs w:val="24"/>
        </w:rPr>
      </w:pPr>
      <w:r w:rsidRPr="00F02583">
        <w:rPr>
          <w:rStyle w:val="CharAttribute3"/>
          <w:rFonts w:hAnsi="Arial" w:cs="Arial"/>
          <w:szCs w:val="24"/>
        </w:rPr>
        <w:t xml:space="preserve">Según datos del Censo 2011, la mayoría de la población se sigue visualizando como </w:t>
      </w:r>
      <w:r w:rsidR="00B312B3">
        <w:rPr>
          <w:rStyle w:val="CharAttribute3"/>
          <w:rFonts w:hAnsi="Arial" w:cs="Arial"/>
          <w:szCs w:val="24"/>
        </w:rPr>
        <w:t>b</w:t>
      </w:r>
      <w:r w:rsidRPr="00F02583">
        <w:rPr>
          <w:rStyle w:val="CharAttribute3"/>
          <w:rFonts w:hAnsi="Arial" w:cs="Arial"/>
          <w:szCs w:val="24"/>
        </w:rPr>
        <w:t xml:space="preserve">lanco o </w:t>
      </w:r>
      <w:r w:rsidR="00B312B3">
        <w:rPr>
          <w:rStyle w:val="CharAttribute3"/>
          <w:rFonts w:hAnsi="Arial" w:cs="Arial"/>
          <w:szCs w:val="24"/>
        </w:rPr>
        <w:t>m</w:t>
      </w:r>
      <w:r w:rsidRPr="00F02583">
        <w:rPr>
          <w:rStyle w:val="CharAttribute3"/>
          <w:rFonts w:hAnsi="Arial" w:cs="Arial"/>
          <w:szCs w:val="24"/>
        </w:rPr>
        <w:t>estizo</w:t>
      </w:r>
      <w:r w:rsidR="00B312B3">
        <w:rPr>
          <w:rStyle w:val="CharAttribute3"/>
          <w:rFonts w:hAnsi="Arial" w:cs="Arial"/>
          <w:szCs w:val="24"/>
        </w:rPr>
        <w:t>. E</w:t>
      </w:r>
      <w:r w:rsidRPr="00F02583">
        <w:rPr>
          <w:rStyle w:val="CharAttribute3"/>
          <w:rFonts w:hAnsi="Arial" w:cs="Arial"/>
          <w:szCs w:val="24"/>
        </w:rPr>
        <w:t xml:space="preserve">s importante aclarar que dicha pregunta se realizó por medio de auto identificación, donde se toma en cuenta el concepto de cada persona y no se aplican criterios basados en su fenotipo o zona de residencia. </w:t>
      </w:r>
    </w:p>
    <w:p w:rsidR="0066355C" w:rsidRDefault="0066355C">
      <w:pPr>
        <w:spacing w:after="160" w:line="259" w:lineRule="auto"/>
        <w:rPr>
          <w:rFonts w:ascii="Arial" w:eastAsia="Arial" w:hAnsi="Arial" w:cs="Arial"/>
          <w:b/>
          <w:lang w:val="es-CR" w:eastAsia="es-CR"/>
        </w:rPr>
      </w:pPr>
      <w:r>
        <w:rPr>
          <w:rFonts w:ascii="Arial" w:eastAsia="Arial" w:hAnsi="Arial" w:cs="Arial"/>
          <w:b/>
        </w:rPr>
        <w:br w:type="page"/>
      </w:r>
    </w:p>
    <w:p w:rsidR="0066355C" w:rsidRDefault="005C5C2A" w:rsidP="00B12787">
      <w:pPr>
        <w:pStyle w:val="ParaAttribute2"/>
        <w:spacing w:after="0"/>
        <w:rPr>
          <w:rStyle w:val="CharAttribute5"/>
          <w:rFonts w:hAnsi="Arial" w:cs="Arial"/>
          <w:sz w:val="24"/>
          <w:szCs w:val="24"/>
        </w:rPr>
      </w:pPr>
      <w:r w:rsidRPr="00F02583">
        <w:rPr>
          <w:rStyle w:val="CharAttribute5"/>
          <w:rFonts w:hAnsi="Arial" w:cs="Arial"/>
          <w:sz w:val="24"/>
          <w:szCs w:val="24"/>
        </w:rPr>
        <w:lastRenderedPageBreak/>
        <w:t>Gr</w:t>
      </w:r>
      <w:r w:rsidR="00B12787">
        <w:rPr>
          <w:rStyle w:val="CharAttribute5"/>
          <w:rFonts w:hAnsi="Arial" w:cs="Arial"/>
          <w:sz w:val="24"/>
          <w:szCs w:val="24"/>
        </w:rPr>
        <w:t>á</w:t>
      </w:r>
      <w:r w:rsidRPr="00F02583">
        <w:rPr>
          <w:rStyle w:val="CharAttribute5"/>
          <w:rFonts w:hAnsi="Arial" w:cs="Arial"/>
          <w:sz w:val="24"/>
          <w:szCs w:val="24"/>
        </w:rPr>
        <w:t xml:space="preserve">fico </w:t>
      </w:r>
      <w:r w:rsidR="00B312B3">
        <w:rPr>
          <w:rStyle w:val="CharAttribute5"/>
          <w:rFonts w:hAnsi="Arial" w:cs="Arial"/>
          <w:sz w:val="24"/>
          <w:szCs w:val="24"/>
        </w:rPr>
        <w:t>4</w:t>
      </w:r>
      <w:r w:rsidRPr="00F02583">
        <w:rPr>
          <w:rStyle w:val="CharAttribute5"/>
          <w:rFonts w:hAnsi="Arial" w:cs="Arial"/>
          <w:sz w:val="24"/>
          <w:szCs w:val="24"/>
        </w:rPr>
        <w:t>.</w:t>
      </w:r>
    </w:p>
    <w:p w:rsidR="00B12787" w:rsidRDefault="00B12787" w:rsidP="00B12787">
      <w:pPr>
        <w:pStyle w:val="ParaAttribute2"/>
        <w:spacing w:after="0"/>
        <w:rPr>
          <w:rStyle w:val="CharAttribute5"/>
          <w:rFonts w:hAnsi="Arial" w:cs="Arial"/>
          <w:sz w:val="24"/>
          <w:szCs w:val="24"/>
        </w:rPr>
      </w:pPr>
      <w:r w:rsidRPr="00F02583">
        <w:rPr>
          <w:rStyle w:val="CharAttribute5"/>
          <w:rFonts w:hAnsi="Arial" w:cs="Arial"/>
          <w:sz w:val="24"/>
          <w:szCs w:val="24"/>
        </w:rPr>
        <w:t>Costa Rica</w:t>
      </w:r>
      <w:r>
        <w:rPr>
          <w:rStyle w:val="CharAttribute5"/>
          <w:rFonts w:hAnsi="Arial" w:cs="Arial"/>
          <w:sz w:val="24"/>
          <w:szCs w:val="24"/>
        </w:rPr>
        <w:t>:</w:t>
      </w:r>
      <w:r w:rsidRPr="00F02583">
        <w:rPr>
          <w:rStyle w:val="CharAttribute5"/>
          <w:rFonts w:hAnsi="Arial" w:cs="Arial"/>
          <w:sz w:val="24"/>
          <w:szCs w:val="24"/>
        </w:rPr>
        <w:t xml:space="preserve"> </w:t>
      </w:r>
      <w:r w:rsidR="005C5C2A" w:rsidRPr="00F02583">
        <w:rPr>
          <w:rStyle w:val="CharAttribute5"/>
          <w:rFonts w:hAnsi="Arial" w:cs="Arial"/>
          <w:sz w:val="24"/>
          <w:szCs w:val="24"/>
        </w:rPr>
        <w:t>Población por auto identificación étnica</w:t>
      </w:r>
      <w:r>
        <w:rPr>
          <w:rStyle w:val="CharAttribute5"/>
          <w:rFonts w:hAnsi="Arial" w:cs="Arial"/>
          <w:sz w:val="24"/>
          <w:szCs w:val="24"/>
        </w:rPr>
        <w:t>,</w:t>
      </w:r>
    </w:p>
    <w:p w:rsidR="005C5C2A" w:rsidRPr="00F02583" w:rsidRDefault="005C5C2A" w:rsidP="00B12787">
      <w:pPr>
        <w:pStyle w:val="ParaAttribute2"/>
        <w:spacing w:after="0"/>
        <w:rPr>
          <w:rFonts w:ascii="Arial" w:eastAsia="Arial" w:hAnsi="Arial" w:cs="Arial"/>
          <w:b/>
          <w:sz w:val="24"/>
          <w:szCs w:val="24"/>
        </w:rPr>
      </w:pPr>
      <w:r w:rsidRPr="00F02583">
        <w:rPr>
          <w:rStyle w:val="CharAttribute5"/>
          <w:rFonts w:hAnsi="Arial" w:cs="Arial"/>
          <w:sz w:val="24"/>
          <w:szCs w:val="24"/>
        </w:rPr>
        <w:t xml:space="preserve"> </w:t>
      </w:r>
      <w:r w:rsidR="00B312B3">
        <w:rPr>
          <w:rStyle w:val="CharAttribute5"/>
          <w:rFonts w:hAnsi="Arial" w:cs="Arial"/>
          <w:sz w:val="24"/>
          <w:szCs w:val="24"/>
        </w:rPr>
        <w:t xml:space="preserve">según </w:t>
      </w:r>
      <w:r w:rsidRPr="00F02583">
        <w:rPr>
          <w:rStyle w:val="CharAttribute5"/>
          <w:rFonts w:hAnsi="Arial" w:cs="Arial"/>
          <w:sz w:val="24"/>
          <w:szCs w:val="24"/>
        </w:rPr>
        <w:t>provincia, 2011.</w:t>
      </w:r>
    </w:p>
    <w:bookmarkStart w:id="10" w:name="_MON_1424159942"/>
    <w:bookmarkEnd w:id="10"/>
    <w:p w:rsidR="005C5C2A" w:rsidRPr="00F02583" w:rsidRDefault="00F26593" w:rsidP="005C5C2A">
      <w:pPr>
        <w:pStyle w:val="ParaAttribute2"/>
        <w:spacing w:line="360" w:lineRule="auto"/>
        <w:rPr>
          <w:rFonts w:ascii="Arial" w:hAnsi="Arial" w:cs="Arial"/>
          <w:sz w:val="24"/>
          <w:szCs w:val="24"/>
        </w:rPr>
      </w:pPr>
      <w:r w:rsidRPr="00F26593">
        <w:rPr>
          <w:rFonts w:ascii="Arial" w:hAnsi="Arial" w:cs="Arial"/>
          <w:noProof/>
          <w:sz w:val="24"/>
          <w:szCs w:val="24"/>
        </w:rPr>
        <w:object w:dxaOrig="6460" w:dyaOrig="41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53.8pt;height:208.55pt;mso-width-percent:0;mso-height-percent:0;mso-width-percent:0;mso-height-percent:0" o:ole="">
            <v:imagedata r:id="rId14" o:title=""/>
          </v:shape>
          <o:OLEObject Type="Embed" ProgID="Excel.Sheet.12" ShapeID="_x0000_i1025" DrawAspect="Content" ObjectID="_1618405699" r:id="rId15"/>
        </w:object>
      </w:r>
    </w:p>
    <w:p w:rsidR="00F92A47" w:rsidRDefault="005C5C2A" w:rsidP="00F92A47">
      <w:pPr>
        <w:pStyle w:val="ParaAttribute2"/>
        <w:spacing w:after="0"/>
        <w:rPr>
          <w:rStyle w:val="CharAttribute12"/>
          <w:rFonts w:hAnsi="Arial" w:cs="Arial"/>
          <w:sz w:val="18"/>
          <w:szCs w:val="18"/>
        </w:rPr>
      </w:pPr>
      <w:r w:rsidRPr="00F92A47">
        <w:rPr>
          <w:rStyle w:val="CharAttribute12"/>
          <w:rFonts w:hAnsi="Arial" w:cs="Arial"/>
          <w:b/>
          <w:sz w:val="18"/>
          <w:szCs w:val="18"/>
        </w:rPr>
        <w:t>Fuente:</w:t>
      </w:r>
      <w:r w:rsidRPr="00F92A47">
        <w:rPr>
          <w:rStyle w:val="CharAttribute12"/>
          <w:rFonts w:hAnsi="Arial" w:cs="Arial"/>
          <w:sz w:val="18"/>
          <w:szCs w:val="18"/>
        </w:rPr>
        <w:t xml:space="preserve"> </w:t>
      </w:r>
      <w:r w:rsidR="00B312B3" w:rsidRPr="00F92A47">
        <w:rPr>
          <w:rStyle w:val="CharAttribute12"/>
          <w:rFonts w:hAnsi="Arial" w:cs="Arial"/>
          <w:sz w:val="18"/>
          <w:szCs w:val="18"/>
        </w:rPr>
        <w:t>INEC, Censo de Población, 2011</w:t>
      </w:r>
      <w:r w:rsidRPr="00F92A47">
        <w:rPr>
          <w:rStyle w:val="CharAttribute12"/>
          <w:rFonts w:hAnsi="Arial" w:cs="Arial"/>
          <w:sz w:val="18"/>
          <w:szCs w:val="18"/>
        </w:rPr>
        <w:t>Dirección de Vigilancia de la Salud</w:t>
      </w:r>
      <w:r w:rsidR="00B312B3" w:rsidRPr="00F92A47">
        <w:rPr>
          <w:rStyle w:val="CharAttribute12"/>
          <w:rFonts w:hAnsi="Arial" w:cs="Arial"/>
          <w:sz w:val="18"/>
          <w:szCs w:val="18"/>
        </w:rPr>
        <w:t>,</w:t>
      </w:r>
    </w:p>
    <w:p w:rsidR="005C5C2A" w:rsidRPr="00F92A47" w:rsidRDefault="00B312B3" w:rsidP="00F92A47">
      <w:pPr>
        <w:pStyle w:val="ParaAttribute2"/>
        <w:spacing w:after="0"/>
        <w:rPr>
          <w:rFonts w:ascii="Arial" w:eastAsia="Arial" w:hAnsi="Arial" w:cs="Arial"/>
          <w:sz w:val="18"/>
          <w:szCs w:val="18"/>
        </w:rPr>
      </w:pPr>
      <w:r w:rsidRPr="00F92A47">
        <w:rPr>
          <w:rStyle w:val="CharAttribute12"/>
          <w:rFonts w:hAnsi="Arial" w:cs="Arial"/>
          <w:sz w:val="18"/>
          <w:szCs w:val="18"/>
        </w:rPr>
        <w:t>Ministerio de Salud, 2018.</w:t>
      </w:r>
    </w:p>
    <w:p w:rsidR="00F92A47" w:rsidRDefault="00F92A47" w:rsidP="00B50A0C">
      <w:pPr>
        <w:pStyle w:val="ParaAttribute1"/>
        <w:spacing w:after="240" w:line="276" w:lineRule="auto"/>
        <w:rPr>
          <w:rStyle w:val="CharAttribute3"/>
          <w:rFonts w:hAnsi="Arial" w:cs="Arial"/>
          <w:szCs w:val="24"/>
        </w:rPr>
      </w:pPr>
    </w:p>
    <w:p w:rsidR="00B312B3" w:rsidRDefault="005C5C2A" w:rsidP="00B50A0C">
      <w:pPr>
        <w:pStyle w:val="ParaAttribute1"/>
        <w:spacing w:after="240" w:line="276" w:lineRule="auto"/>
        <w:rPr>
          <w:rStyle w:val="CharAttribute3"/>
          <w:rFonts w:hAnsi="Arial" w:cs="Arial"/>
          <w:szCs w:val="24"/>
        </w:rPr>
      </w:pPr>
      <w:r w:rsidRPr="00F02583">
        <w:rPr>
          <w:rStyle w:val="CharAttribute3"/>
          <w:rFonts w:hAnsi="Arial" w:cs="Arial"/>
          <w:szCs w:val="24"/>
        </w:rPr>
        <w:t>De las 4.301.712 personas registradas en el país en el 2011, 104.143 se auto</w:t>
      </w:r>
      <w:r w:rsidR="0066355C">
        <w:rPr>
          <w:rStyle w:val="CharAttribute3"/>
          <w:rFonts w:hAnsi="Arial" w:cs="Arial"/>
          <w:szCs w:val="24"/>
        </w:rPr>
        <w:t xml:space="preserve"> </w:t>
      </w:r>
      <w:r w:rsidRPr="00F02583">
        <w:rPr>
          <w:rStyle w:val="CharAttribute3"/>
          <w:rFonts w:hAnsi="Arial" w:cs="Arial"/>
          <w:szCs w:val="24"/>
        </w:rPr>
        <w:t>identificaron como personas indígenas</w:t>
      </w:r>
      <w:r w:rsidR="00B312B3">
        <w:rPr>
          <w:rStyle w:val="CharAttribute3"/>
          <w:rFonts w:hAnsi="Arial" w:cs="Arial"/>
          <w:szCs w:val="24"/>
        </w:rPr>
        <w:t>,</w:t>
      </w:r>
      <w:r w:rsidRPr="00F02583">
        <w:rPr>
          <w:rStyle w:val="CharAttribute3"/>
          <w:rFonts w:hAnsi="Arial" w:cs="Arial"/>
          <w:szCs w:val="24"/>
        </w:rPr>
        <w:t xml:space="preserve"> lo que representa un</w:t>
      </w:r>
      <w:r w:rsidR="00B312B3">
        <w:rPr>
          <w:rStyle w:val="CharAttribute3"/>
          <w:rFonts w:hAnsi="Arial" w:cs="Arial"/>
          <w:szCs w:val="24"/>
        </w:rPr>
        <w:t xml:space="preserve"> 2,4% de la población nacional.</w:t>
      </w:r>
    </w:p>
    <w:p w:rsidR="005C5C2A" w:rsidRPr="00F02583" w:rsidRDefault="005C5C2A" w:rsidP="00B50A0C">
      <w:pPr>
        <w:pStyle w:val="ParaAttribute1"/>
        <w:spacing w:after="240" w:line="276" w:lineRule="auto"/>
        <w:rPr>
          <w:rStyle w:val="CharAttribute3"/>
          <w:rFonts w:hAnsi="Arial" w:cs="Arial"/>
          <w:szCs w:val="24"/>
        </w:rPr>
      </w:pPr>
      <w:r w:rsidRPr="00F02583">
        <w:rPr>
          <w:rStyle w:val="CharAttribute3"/>
          <w:rFonts w:hAnsi="Arial" w:cs="Arial"/>
          <w:szCs w:val="24"/>
        </w:rPr>
        <w:t xml:space="preserve">Respecto a su ubicación geográfica, con excepción de Quitirrisí y Zapatón, los demás territorios indígenas </w:t>
      </w:r>
      <w:r w:rsidR="00E421F0">
        <w:rPr>
          <w:rStyle w:val="CharAttribute3"/>
          <w:rFonts w:hAnsi="Arial" w:cs="Arial"/>
          <w:szCs w:val="24"/>
        </w:rPr>
        <w:t>están fuera del Valle Central y l</w:t>
      </w:r>
      <w:r w:rsidR="00E421F0" w:rsidRPr="00F02583">
        <w:rPr>
          <w:rStyle w:val="CharAttribute3"/>
          <w:rFonts w:hAnsi="Arial" w:cs="Arial"/>
          <w:szCs w:val="24"/>
        </w:rPr>
        <w:t xml:space="preserve">a mayor cantidad de población indígena se encuentra en </w:t>
      </w:r>
      <w:r w:rsidR="00E421F0">
        <w:rPr>
          <w:rStyle w:val="CharAttribute3"/>
          <w:rFonts w:hAnsi="Arial" w:cs="Arial"/>
          <w:szCs w:val="24"/>
        </w:rPr>
        <w:t xml:space="preserve">las provincias de </w:t>
      </w:r>
      <w:r w:rsidR="00E421F0" w:rsidRPr="00F02583">
        <w:rPr>
          <w:rStyle w:val="CharAttribute3"/>
          <w:rFonts w:hAnsi="Arial" w:cs="Arial"/>
          <w:szCs w:val="24"/>
        </w:rPr>
        <w:t xml:space="preserve">Limón y Puntarenas. </w:t>
      </w:r>
    </w:p>
    <w:p w:rsidR="0066355C" w:rsidRDefault="0066355C" w:rsidP="005C5C2A">
      <w:pPr>
        <w:pStyle w:val="ParaAttribute1"/>
        <w:spacing w:line="360" w:lineRule="auto"/>
        <w:rPr>
          <w:rStyle w:val="CharAttribute3"/>
          <w:rFonts w:hAnsi="Arial" w:cs="Arial"/>
          <w:szCs w:val="24"/>
        </w:rPr>
      </w:pPr>
    </w:p>
    <w:p w:rsidR="0066355C" w:rsidRDefault="0066355C" w:rsidP="005C5C2A">
      <w:pPr>
        <w:pStyle w:val="ParaAttribute1"/>
        <w:spacing w:line="360" w:lineRule="auto"/>
        <w:rPr>
          <w:rStyle w:val="CharAttribute3"/>
          <w:rFonts w:hAnsi="Arial" w:cs="Arial"/>
          <w:szCs w:val="24"/>
        </w:rPr>
      </w:pPr>
    </w:p>
    <w:p w:rsidR="0066355C" w:rsidRDefault="0066355C" w:rsidP="005C5C2A">
      <w:pPr>
        <w:pStyle w:val="ParaAttribute1"/>
        <w:spacing w:line="360" w:lineRule="auto"/>
        <w:rPr>
          <w:rStyle w:val="CharAttribute3"/>
          <w:rFonts w:hAnsi="Arial" w:cs="Arial"/>
          <w:szCs w:val="24"/>
        </w:rPr>
      </w:pPr>
    </w:p>
    <w:p w:rsidR="0066355C" w:rsidRDefault="0066355C">
      <w:pPr>
        <w:spacing w:after="160" w:line="259" w:lineRule="auto"/>
        <w:rPr>
          <w:rStyle w:val="CharAttribute3"/>
          <w:rFonts w:hAnsi="Arial" w:cs="Arial"/>
          <w:lang w:val="es-CR" w:eastAsia="es-CR"/>
        </w:rPr>
      </w:pPr>
      <w:r>
        <w:rPr>
          <w:rStyle w:val="CharAttribute3"/>
          <w:rFonts w:hAnsi="Arial" w:cs="Arial"/>
        </w:rPr>
        <w:br w:type="page"/>
      </w:r>
    </w:p>
    <w:p w:rsidR="0066355C" w:rsidRPr="00B12787" w:rsidRDefault="005C5C2A" w:rsidP="0066355C">
      <w:pPr>
        <w:pStyle w:val="ParaAttribute1"/>
        <w:spacing w:line="276" w:lineRule="auto"/>
        <w:jc w:val="center"/>
        <w:rPr>
          <w:rStyle w:val="CharAttribute3"/>
          <w:rFonts w:hAnsi="Arial" w:cs="Arial"/>
          <w:b/>
          <w:szCs w:val="24"/>
        </w:rPr>
      </w:pPr>
      <w:r w:rsidRPr="00B12787">
        <w:rPr>
          <w:rStyle w:val="CharAttribute3"/>
          <w:rFonts w:hAnsi="Arial" w:cs="Arial"/>
          <w:b/>
          <w:szCs w:val="24"/>
        </w:rPr>
        <w:lastRenderedPageBreak/>
        <w:t xml:space="preserve">Figura </w:t>
      </w:r>
      <w:r w:rsidR="00B12787" w:rsidRPr="00B12787">
        <w:rPr>
          <w:rStyle w:val="CharAttribute3"/>
          <w:rFonts w:hAnsi="Arial" w:cs="Arial"/>
          <w:b/>
          <w:szCs w:val="24"/>
        </w:rPr>
        <w:t>2</w:t>
      </w:r>
    </w:p>
    <w:p w:rsidR="005C5C2A" w:rsidRPr="00F02583" w:rsidRDefault="00B12787" w:rsidP="0066355C">
      <w:pPr>
        <w:pStyle w:val="ParaAttribute1"/>
        <w:spacing w:line="276" w:lineRule="auto"/>
        <w:jc w:val="center"/>
        <w:rPr>
          <w:rFonts w:ascii="Arial" w:eastAsia="Arial" w:hAnsi="Arial" w:cs="Arial"/>
          <w:sz w:val="24"/>
          <w:szCs w:val="24"/>
        </w:rPr>
      </w:pPr>
      <w:r w:rsidRPr="00B12787">
        <w:rPr>
          <w:rStyle w:val="CharAttribute3"/>
          <w:rFonts w:hAnsi="Arial" w:cs="Arial"/>
          <w:b/>
          <w:szCs w:val="24"/>
        </w:rPr>
        <w:t xml:space="preserve">Costa Rica: </w:t>
      </w:r>
      <w:r w:rsidR="005C5C2A" w:rsidRPr="00B12787">
        <w:rPr>
          <w:rStyle w:val="CharAttribute3"/>
          <w:rFonts w:hAnsi="Arial" w:cs="Arial"/>
          <w:b/>
          <w:szCs w:val="24"/>
        </w:rPr>
        <w:t>Distribución de los territorios indígenas, 2011</w:t>
      </w:r>
      <w:r w:rsidR="005C5C2A" w:rsidRPr="00F02583">
        <w:rPr>
          <w:rStyle w:val="CharAttribute3"/>
          <w:rFonts w:hAnsi="Arial" w:cs="Arial"/>
          <w:szCs w:val="24"/>
        </w:rPr>
        <w:t>.</w:t>
      </w:r>
    </w:p>
    <w:p w:rsidR="005C5C2A" w:rsidRPr="00F02583" w:rsidRDefault="005C5C2A" w:rsidP="005C5C2A">
      <w:pPr>
        <w:pStyle w:val="ParaAttribute1"/>
        <w:spacing w:line="360" w:lineRule="auto"/>
        <w:rPr>
          <w:rFonts w:ascii="Arial" w:eastAsia="Arial" w:hAnsi="Arial" w:cs="Arial"/>
          <w:sz w:val="24"/>
          <w:szCs w:val="24"/>
        </w:rPr>
      </w:pPr>
    </w:p>
    <w:p w:rsidR="005C5C2A" w:rsidRPr="00F02583" w:rsidRDefault="005C5C2A" w:rsidP="00E421F0">
      <w:pPr>
        <w:pStyle w:val="ParaAttribute2"/>
        <w:spacing w:line="360" w:lineRule="auto"/>
        <w:rPr>
          <w:rFonts w:ascii="Arial" w:eastAsia="Arial" w:hAnsi="Arial" w:cs="Arial"/>
          <w:sz w:val="24"/>
          <w:szCs w:val="24"/>
        </w:rPr>
      </w:pPr>
      <w:r w:rsidRPr="00F02583">
        <w:rPr>
          <w:rFonts w:ascii="Arial" w:hAnsi="Arial" w:cs="Arial"/>
          <w:noProof/>
          <w:sz w:val="24"/>
          <w:szCs w:val="24"/>
        </w:rPr>
        <w:drawing>
          <wp:inline distT="0" distB="0" distL="0" distR="0" wp14:anchorId="79DFDAAE" wp14:editId="1BD53FFC">
            <wp:extent cx="4159885" cy="2740660"/>
            <wp:effectExtent l="19050" t="0" r="0" b="0"/>
            <wp:docPr id="14" name="Picture 2" descr="/var/mobile/Applications/D633945A-8003-4632-8DC4-E40604251AD1/tmp/etemp1/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var/mobile/Applications/D633945A-8003-4632-8DC4-E40604251AD1/tmp/etemp1/image2.jpeg"/>
                    <pic:cNvPicPr>
                      <a:picLocks noChangeAspect="1" noChangeArrowheads="1"/>
                    </pic:cNvPicPr>
                  </pic:nvPicPr>
                  <pic:blipFill>
                    <a:blip r:embed="rId16" cstate="print"/>
                    <a:stretch>
                      <a:fillRect/>
                    </a:stretch>
                  </pic:blipFill>
                  <pic:spPr>
                    <a:xfrm>
                      <a:off x="0" y="0"/>
                      <a:ext cx="4160520" cy="2741295"/>
                    </a:xfrm>
                    <a:prstGeom prst="rect">
                      <a:avLst/>
                    </a:prstGeom>
                    <a:noFill/>
                    <a:ln w="3175" cap="flat" cmpd="sng">
                      <a:noFill/>
                      <a:prstDash/>
                      <a:miter lim="800000"/>
                    </a:ln>
                  </pic:spPr>
                </pic:pic>
              </a:graphicData>
            </a:graphic>
          </wp:inline>
        </w:drawing>
      </w:r>
    </w:p>
    <w:p w:rsidR="005C5C2A" w:rsidRPr="00B50A0C" w:rsidRDefault="005C5C2A" w:rsidP="00E421F0">
      <w:pPr>
        <w:pStyle w:val="ParaAttribute2"/>
        <w:spacing w:line="360" w:lineRule="auto"/>
        <w:rPr>
          <w:rFonts w:ascii="Arial" w:eastAsia="Arial" w:hAnsi="Arial" w:cs="Arial"/>
        </w:rPr>
      </w:pPr>
      <w:r w:rsidRPr="00B50A0C">
        <w:rPr>
          <w:rStyle w:val="CharAttribute12"/>
          <w:rFonts w:hAnsi="Arial" w:cs="Arial"/>
          <w:b/>
          <w:sz w:val="20"/>
        </w:rPr>
        <w:t>Fuente:</w:t>
      </w:r>
      <w:r w:rsidRPr="00B50A0C">
        <w:rPr>
          <w:rStyle w:val="CharAttribute12"/>
          <w:rFonts w:hAnsi="Arial" w:cs="Arial"/>
          <w:sz w:val="20"/>
        </w:rPr>
        <w:t xml:space="preserve"> INEC, Censo de Población 2011</w:t>
      </w:r>
      <w:r w:rsidR="00B50A0C">
        <w:rPr>
          <w:rStyle w:val="CharAttribute12"/>
          <w:rFonts w:hAnsi="Arial" w:cs="Arial"/>
          <w:sz w:val="20"/>
        </w:rPr>
        <w:t>, Costa Rica</w:t>
      </w:r>
    </w:p>
    <w:p w:rsidR="005C5C2A" w:rsidRPr="00F02583" w:rsidRDefault="005C5C2A" w:rsidP="00B50A0C">
      <w:pPr>
        <w:pStyle w:val="ParaAttribute1"/>
        <w:spacing w:after="240" w:line="276" w:lineRule="auto"/>
        <w:rPr>
          <w:rFonts w:ascii="Arial" w:hAnsi="Arial" w:cs="Arial"/>
          <w:sz w:val="24"/>
          <w:szCs w:val="24"/>
        </w:rPr>
      </w:pPr>
      <w:r w:rsidRPr="00F02583">
        <w:rPr>
          <w:rStyle w:val="CharAttribute3"/>
          <w:rFonts w:hAnsi="Arial" w:cs="Arial"/>
          <w:szCs w:val="24"/>
        </w:rPr>
        <w:t>Los territorios indígenas son áreas creadas por ley o decreto y tienen como fin que las poblaciones indígenas se desarrollen según sus costumbres y tradiciones, mientras que pueblo indígena “se refiere a una variable cultural, donde coinciden idioma, comidas, tradiciones, ascendencia, historia y origen común, religiosidad, creencias, valores, visión de mundo, entre otros aspectos que les caracteriza como pueblo”</w:t>
      </w:r>
      <w:r w:rsidR="00E421F0">
        <w:rPr>
          <w:rStyle w:val="Refdenotaalpie"/>
          <w:rFonts w:ascii="Arial" w:eastAsia="Arial" w:hAnsi="Arial" w:cs="Arial"/>
          <w:sz w:val="24"/>
          <w:szCs w:val="24"/>
        </w:rPr>
        <w:footnoteReference w:id="5"/>
      </w:r>
      <w:r w:rsidR="00E421F0">
        <w:rPr>
          <w:rStyle w:val="CharAttribute3"/>
          <w:rFonts w:hAnsi="Arial" w:cs="Arial"/>
          <w:szCs w:val="24"/>
        </w:rPr>
        <w:t>.</w:t>
      </w:r>
      <w:r w:rsidRPr="00F02583">
        <w:rPr>
          <w:rStyle w:val="CharAttribute3"/>
          <w:rFonts w:hAnsi="Arial" w:cs="Arial"/>
          <w:szCs w:val="24"/>
        </w:rPr>
        <w:t xml:space="preserve"> </w:t>
      </w:r>
    </w:p>
    <w:p w:rsidR="00E421F0" w:rsidRDefault="005C5C2A" w:rsidP="00E421F0">
      <w:pPr>
        <w:autoSpaceDE w:val="0"/>
        <w:autoSpaceDN w:val="0"/>
        <w:adjustRightInd w:val="0"/>
        <w:spacing w:line="276" w:lineRule="auto"/>
        <w:jc w:val="both"/>
        <w:rPr>
          <w:rStyle w:val="CharAttribute3"/>
          <w:rFonts w:eastAsia="□□" w:hAnsi="Arial" w:cs="Arial"/>
        </w:rPr>
      </w:pPr>
      <w:r w:rsidRPr="00F02583">
        <w:rPr>
          <w:rStyle w:val="CharAttribute3"/>
          <w:rFonts w:eastAsia="□□" w:hAnsi="Arial" w:cs="Arial"/>
          <w:lang w:eastAsia="es-CR"/>
        </w:rPr>
        <w:t>En cuanto a la condición de aseguramiento de la población indígena</w:t>
      </w:r>
      <w:r w:rsidR="00E421F0">
        <w:rPr>
          <w:rStyle w:val="CharAttribute3"/>
          <w:rFonts w:eastAsia="□□" w:hAnsi="Arial" w:cs="Arial"/>
          <w:lang w:eastAsia="es-CR"/>
        </w:rPr>
        <w:t>,</w:t>
      </w:r>
      <w:r w:rsidRPr="00F02583">
        <w:rPr>
          <w:rStyle w:val="CharAttribute3"/>
          <w:rFonts w:eastAsia="□□" w:hAnsi="Arial" w:cs="Arial"/>
          <w:lang w:eastAsia="es-CR"/>
        </w:rPr>
        <w:t xml:space="preserve"> en el año 2011, el 33.7% de la población est</w:t>
      </w:r>
      <w:r w:rsidR="00E421F0">
        <w:rPr>
          <w:rStyle w:val="CharAttribute3"/>
          <w:rFonts w:eastAsia="□□" w:hAnsi="Arial" w:cs="Arial"/>
          <w:lang w:eastAsia="es-CR"/>
        </w:rPr>
        <w:t>aba</w:t>
      </w:r>
      <w:r w:rsidRPr="00F02583">
        <w:rPr>
          <w:rStyle w:val="CharAttribute3"/>
          <w:rFonts w:eastAsia="□□" w:hAnsi="Arial" w:cs="Arial"/>
          <w:lang w:eastAsia="es-CR"/>
        </w:rPr>
        <w:t xml:space="preserve"> asegurada por el </w:t>
      </w:r>
      <w:r w:rsidR="00E421F0">
        <w:rPr>
          <w:rStyle w:val="CharAttribute3"/>
          <w:rFonts w:eastAsia="□□" w:hAnsi="Arial" w:cs="Arial"/>
          <w:lang w:eastAsia="es-CR"/>
        </w:rPr>
        <w:t>E</w:t>
      </w:r>
      <w:r w:rsidRPr="00F02583">
        <w:rPr>
          <w:rStyle w:val="CharAttribute3"/>
          <w:rFonts w:eastAsia="□□" w:hAnsi="Arial" w:cs="Arial"/>
          <w:lang w:eastAsia="es-CR"/>
        </w:rPr>
        <w:t xml:space="preserve">stado, el 22.9% </w:t>
      </w:r>
      <w:r w:rsidR="00E421F0">
        <w:rPr>
          <w:rStyle w:val="CharAttribute3"/>
          <w:rFonts w:eastAsia="□□" w:hAnsi="Arial" w:cs="Arial"/>
          <w:lang w:eastAsia="es-CR"/>
        </w:rPr>
        <w:t xml:space="preserve">contaba con seguro </w:t>
      </w:r>
      <w:r w:rsidRPr="00F02583">
        <w:rPr>
          <w:rStyle w:val="CharAttribute3"/>
          <w:rFonts w:eastAsia="□□" w:hAnsi="Arial" w:cs="Arial"/>
          <w:lang w:eastAsia="es-CR"/>
        </w:rPr>
        <w:t xml:space="preserve">familiar, el 14.3% es asalariada, mientras que el 15.5% de la población </w:t>
      </w:r>
      <w:r w:rsidRPr="00F02583">
        <w:rPr>
          <w:rStyle w:val="CharAttribute3"/>
          <w:rFonts w:eastAsia="□□" w:hAnsi="Arial" w:cs="Arial"/>
        </w:rPr>
        <w:t>indígena no tiene seguro social con la Caja Costarricense de Seguro Social</w:t>
      </w:r>
      <w:r w:rsidR="00E421F0">
        <w:rPr>
          <w:rStyle w:val="Refdenotaalpie"/>
          <w:rFonts w:ascii="Arial" w:eastAsia="□□" w:hAnsi="Arial" w:cs="Arial"/>
        </w:rPr>
        <w:footnoteReference w:id="6"/>
      </w:r>
      <w:r w:rsidRPr="00F02583">
        <w:rPr>
          <w:rStyle w:val="CharAttribute3"/>
          <w:rFonts w:eastAsia="□□" w:hAnsi="Arial" w:cs="Arial"/>
        </w:rPr>
        <w:t xml:space="preserve">. </w:t>
      </w:r>
    </w:p>
    <w:p w:rsidR="00E421F0" w:rsidRDefault="00E421F0" w:rsidP="00E421F0">
      <w:pPr>
        <w:autoSpaceDE w:val="0"/>
        <w:autoSpaceDN w:val="0"/>
        <w:adjustRightInd w:val="0"/>
        <w:spacing w:line="276" w:lineRule="auto"/>
        <w:jc w:val="both"/>
        <w:rPr>
          <w:rStyle w:val="CharAttribute3"/>
          <w:rFonts w:eastAsia="□□" w:hAnsi="Arial" w:cs="Arial"/>
        </w:rPr>
      </w:pPr>
    </w:p>
    <w:p w:rsidR="005C5C2A" w:rsidRPr="00F02583" w:rsidRDefault="005C5C2A" w:rsidP="000D131F">
      <w:pPr>
        <w:autoSpaceDE w:val="0"/>
        <w:autoSpaceDN w:val="0"/>
        <w:adjustRightInd w:val="0"/>
        <w:spacing w:after="240" w:line="276" w:lineRule="auto"/>
        <w:jc w:val="both"/>
        <w:rPr>
          <w:rStyle w:val="CharAttribute3"/>
          <w:rFonts w:hAnsi="Arial" w:cs="Arial"/>
        </w:rPr>
      </w:pPr>
      <w:r w:rsidRPr="00F02583">
        <w:rPr>
          <w:rStyle w:val="CharAttribute3"/>
          <w:rFonts w:hAnsi="Arial" w:cs="Arial"/>
        </w:rPr>
        <w:t>Si observamos los cantones donde se encuentran ubicados los distintos pueblos indígenas del país con respecto al IDS podemos ver que los mismos se encuentran en una posición desventajosa</w:t>
      </w:r>
      <w:r w:rsidR="00E421F0">
        <w:rPr>
          <w:rStyle w:val="CharAttribute3"/>
          <w:rFonts w:hAnsi="Arial" w:cs="Arial"/>
        </w:rPr>
        <w:t>:</w:t>
      </w:r>
      <w:r w:rsidRPr="00F02583">
        <w:rPr>
          <w:rStyle w:val="CharAttribute3"/>
          <w:rFonts w:hAnsi="Arial" w:cs="Arial"/>
        </w:rPr>
        <w:t xml:space="preserve"> “en general las regiones periféricas tienen una menor inversión social, lo que las hace menos competitivas y con un nivel de vida inferior </w:t>
      </w:r>
      <w:r w:rsidRPr="00F02583">
        <w:rPr>
          <w:rStyle w:val="CharAttribute3"/>
          <w:rFonts w:hAnsi="Arial" w:cs="Arial"/>
        </w:rPr>
        <w:lastRenderedPageBreak/>
        <w:t xml:space="preserve">al de la </w:t>
      </w:r>
      <w:r w:rsidR="00E421F0">
        <w:rPr>
          <w:rStyle w:val="CharAttribute3"/>
          <w:rFonts w:hAnsi="Arial" w:cs="Arial"/>
        </w:rPr>
        <w:t>R</w:t>
      </w:r>
      <w:r w:rsidRPr="00F02583">
        <w:rPr>
          <w:rStyle w:val="CharAttribute3"/>
          <w:rFonts w:hAnsi="Arial" w:cs="Arial"/>
        </w:rPr>
        <w:t>egión Central y tiene comportamiento muy heterogéneo en los indicadores”</w:t>
      </w:r>
      <w:r w:rsidR="00E421F0">
        <w:rPr>
          <w:rStyle w:val="Refdenotaalpie"/>
          <w:rFonts w:ascii="Arial" w:eastAsia="Arial" w:hAnsi="Arial" w:cs="Arial"/>
        </w:rPr>
        <w:footnoteReference w:id="7"/>
      </w:r>
      <w:r w:rsidR="000D131F">
        <w:rPr>
          <w:rStyle w:val="CharAttribute3"/>
          <w:rFonts w:hAnsi="Arial" w:cs="Arial"/>
        </w:rPr>
        <w:t>.</w:t>
      </w:r>
    </w:p>
    <w:p w:rsidR="005C5C2A" w:rsidRPr="00F02583" w:rsidRDefault="005C5C2A" w:rsidP="002472B1">
      <w:pPr>
        <w:pStyle w:val="ParaAttribute1"/>
        <w:spacing w:line="276" w:lineRule="auto"/>
        <w:contextualSpacing/>
        <w:rPr>
          <w:rStyle w:val="CharAttribute3"/>
          <w:rFonts w:hAnsi="Arial" w:cs="Arial"/>
          <w:szCs w:val="24"/>
        </w:rPr>
      </w:pPr>
      <w:r w:rsidRPr="00F02583">
        <w:rPr>
          <w:rStyle w:val="CharAttribute3"/>
          <w:rFonts w:hAnsi="Arial" w:cs="Arial"/>
          <w:szCs w:val="24"/>
        </w:rPr>
        <w:t>Además, al comparar los promedios nacionales en cuanto a natalidad y mortalidad</w:t>
      </w:r>
      <w:r w:rsidR="000D131F">
        <w:rPr>
          <w:rStyle w:val="CharAttribute3"/>
          <w:rFonts w:hAnsi="Arial" w:cs="Arial"/>
          <w:szCs w:val="24"/>
        </w:rPr>
        <w:t>,</w:t>
      </w:r>
      <w:r w:rsidRPr="00F02583">
        <w:rPr>
          <w:rStyle w:val="CharAttribute3"/>
          <w:rFonts w:hAnsi="Arial" w:cs="Arial"/>
          <w:szCs w:val="24"/>
        </w:rPr>
        <w:t xml:space="preserve"> se puede inferir la presencia de inequidad</w:t>
      </w:r>
      <w:r w:rsidR="000D131F">
        <w:rPr>
          <w:rStyle w:val="CharAttribute3"/>
          <w:rFonts w:hAnsi="Arial" w:cs="Arial"/>
          <w:szCs w:val="24"/>
        </w:rPr>
        <w:t>es</w:t>
      </w:r>
      <w:r w:rsidRPr="00F02583">
        <w:rPr>
          <w:rStyle w:val="CharAttribute3"/>
          <w:rFonts w:hAnsi="Arial" w:cs="Arial"/>
          <w:szCs w:val="24"/>
        </w:rPr>
        <w:t xml:space="preserve"> </w:t>
      </w:r>
      <w:r w:rsidR="000D131F">
        <w:rPr>
          <w:rStyle w:val="CharAttribute3"/>
          <w:rFonts w:hAnsi="Arial" w:cs="Arial"/>
          <w:szCs w:val="24"/>
        </w:rPr>
        <w:t>en</w:t>
      </w:r>
      <w:r w:rsidRPr="00F02583">
        <w:rPr>
          <w:rStyle w:val="CharAttribute3"/>
          <w:rFonts w:hAnsi="Arial" w:cs="Arial"/>
          <w:szCs w:val="24"/>
        </w:rPr>
        <w:t xml:space="preserve"> los indicadores en salud, ya que estas poblaciones son vulnerables en distintos aspectos de los determinantes sociales de la salud</w:t>
      </w:r>
      <w:r w:rsidR="000D131F">
        <w:rPr>
          <w:rStyle w:val="CharAttribute3"/>
          <w:rFonts w:hAnsi="Arial" w:cs="Arial"/>
          <w:szCs w:val="24"/>
        </w:rPr>
        <w:t xml:space="preserve">. Cuadro  </w:t>
      </w:r>
      <w:r w:rsidRPr="00F02583">
        <w:rPr>
          <w:rStyle w:val="CharAttribute3"/>
          <w:rFonts w:hAnsi="Arial" w:cs="Arial"/>
          <w:szCs w:val="24"/>
        </w:rPr>
        <w:t xml:space="preserve"> Para e</w:t>
      </w:r>
      <w:r w:rsidR="000D131F">
        <w:rPr>
          <w:rStyle w:val="CharAttribute3"/>
          <w:rFonts w:hAnsi="Arial" w:cs="Arial"/>
          <w:szCs w:val="24"/>
        </w:rPr>
        <w:t xml:space="preserve">disminuir las inequidades </w:t>
      </w:r>
      <w:r w:rsidRPr="00F02583">
        <w:rPr>
          <w:rStyle w:val="CharAttribute3"/>
          <w:rFonts w:hAnsi="Arial" w:cs="Arial"/>
          <w:szCs w:val="24"/>
        </w:rPr>
        <w:t>deben tomarse en cuenta las diferencias no solo culturales, además considerar su ubicación geográfica</w:t>
      </w:r>
      <w:r w:rsidR="000D131F">
        <w:rPr>
          <w:rStyle w:val="CharAttribute3"/>
          <w:rFonts w:hAnsi="Arial" w:cs="Arial"/>
          <w:szCs w:val="24"/>
        </w:rPr>
        <w:t>,</w:t>
      </w:r>
      <w:r w:rsidRPr="00F02583">
        <w:rPr>
          <w:rStyle w:val="CharAttribute3"/>
          <w:rFonts w:hAnsi="Arial" w:cs="Arial"/>
          <w:szCs w:val="24"/>
        </w:rPr>
        <w:t xml:space="preserve"> ya que algunas comunidades poseen mayor acceso a distintos recursos tanto de salud como educativos</w:t>
      </w:r>
      <w:r w:rsidR="000D131F">
        <w:rPr>
          <w:rStyle w:val="CharAttribute3"/>
          <w:rFonts w:hAnsi="Arial" w:cs="Arial"/>
          <w:szCs w:val="24"/>
        </w:rPr>
        <w:t>.</w:t>
      </w:r>
      <w:r w:rsidRPr="00F02583">
        <w:rPr>
          <w:rStyle w:val="CharAttribute3"/>
          <w:rFonts w:hAnsi="Arial" w:cs="Arial"/>
          <w:szCs w:val="24"/>
        </w:rPr>
        <w:t xml:space="preserve"> </w:t>
      </w:r>
      <w:r w:rsidR="000D131F">
        <w:rPr>
          <w:rStyle w:val="CharAttribute3"/>
          <w:rFonts w:hAnsi="Arial" w:cs="Arial"/>
          <w:szCs w:val="24"/>
        </w:rPr>
        <w:t>E</w:t>
      </w:r>
      <w:r w:rsidRPr="00F02583">
        <w:rPr>
          <w:rStyle w:val="CharAttribute3"/>
          <w:rFonts w:hAnsi="Arial" w:cs="Arial"/>
          <w:szCs w:val="24"/>
        </w:rPr>
        <w:t>s importante que los tomadores de decisi</w:t>
      </w:r>
      <w:r w:rsidR="000D131F">
        <w:rPr>
          <w:rStyle w:val="CharAttribute3"/>
          <w:rFonts w:hAnsi="Arial" w:cs="Arial"/>
          <w:szCs w:val="24"/>
        </w:rPr>
        <w:t>ones</w:t>
      </w:r>
      <w:r w:rsidRPr="00F02583">
        <w:rPr>
          <w:rStyle w:val="CharAttribute3"/>
          <w:rFonts w:hAnsi="Arial" w:cs="Arial"/>
          <w:szCs w:val="24"/>
        </w:rPr>
        <w:t xml:space="preserve"> contemplen la diversidad cultural en la cosmovisión de los pueblos indígenas para que las acciones que se ejerzan en este ámbito sean dirigidas no simplemente a solventar las necesidades en salud de los mismos, si no a respetar y perpetuar su acervo cultural. </w:t>
      </w:r>
    </w:p>
    <w:p w:rsidR="005C5C2A" w:rsidRDefault="005C5C2A" w:rsidP="005C5C2A">
      <w:pPr>
        <w:spacing w:after="200" w:line="276" w:lineRule="auto"/>
        <w:rPr>
          <w:rStyle w:val="CharAttribute3"/>
          <w:rFonts w:eastAsia="□□" w:hAnsi="Arial" w:cs="Arial"/>
          <w:lang w:eastAsia="es-CR"/>
        </w:rPr>
      </w:pPr>
      <w:r>
        <w:rPr>
          <w:rStyle w:val="CharAttribute3"/>
          <w:rFonts w:eastAsia="□□" w:hAnsi="Arial" w:cs="Arial"/>
        </w:rPr>
        <w:br w:type="page"/>
      </w:r>
    </w:p>
    <w:p w:rsidR="002472B1" w:rsidRDefault="005C5C2A" w:rsidP="002472B1">
      <w:pPr>
        <w:pStyle w:val="ParaAttribute1"/>
        <w:contextualSpacing/>
        <w:jc w:val="center"/>
        <w:rPr>
          <w:rStyle w:val="CharAttribute3"/>
          <w:rFonts w:hAnsi="Arial" w:cs="Arial"/>
          <w:b/>
          <w:szCs w:val="24"/>
        </w:rPr>
      </w:pPr>
      <w:r w:rsidRPr="00F02583">
        <w:rPr>
          <w:rStyle w:val="CharAttribute3"/>
          <w:rFonts w:hAnsi="Arial" w:cs="Arial"/>
          <w:b/>
          <w:szCs w:val="24"/>
        </w:rPr>
        <w:lastRenderedPageBreak/>
        <w:t xml:space="preserve">Cuadro </w:t>
      </w:r>
      <w:r w:rsidR="002472B1">
        <w:rPr>
          <w:rStyle w:val="CharAttribute3"/>
          <w:rFonts w:hAnsi="Arial" w:cs="Arial"/>
          <w:b/>
          <w:szCs w:val="24"/>
        </w:rPr>
        <w:t>6</w:t>
      </w:r>
    </w:p>
    <w:p w:rsidR="002472B1" w:rsidRDefault="005C5C2A" w:rsidP="002472B1">
      <w:pPr>
        <w:pStyle w:val="ParaAttribute1"/>
        <w:contextualSpacing/>
        <w:jc w:val="center"/>
        <w:rPr>
          <w:rStyle w:val="CharAttribute3"/>
          <w:rFonts w:hAnsi="Arial" w:cs="Arial"/>
          <w:b/>
          <w:szCs w:val="24"/>
        </w:rPr>
      </w:pPr>
      <w:r w:rsidRPr="00F02583">
        <w:rPr>
          <w:rStyle w:val="CharAttribute3"/>
          <w:rFonts w:hAnsi="Arial" w:cs="Arial"/>
          <w:b/>
          <w:szCs w:val="24"/>
        </w:rPr>
        <w:t xml:space="preserve">Costa Rica: </w:t>
      </w:r>
      <w:r w:rsidR="000D131F">
        <w:rPr>
          <w:rStyle w:val="CharAttribute3"/>
          <w:rFonts w:hAnsi="Arial" w:cs="Arial"/>
          <w:b/>
          <w:szCs w:val="24"/>
        </w:rPr>
        <w:t>P</w:t>
      </w:r>
      <w:r w:rsidRPr="00F02583">
        <w:rPr>
          <w:rStyle w:val="CharAttribute3"/>
          <w:rFonts w:hAnsi="Arial" w:cs="Arial"/>
          <w:b/>
          <w:szCs w:val="24"/>
        </w:rPr>
        <w:t xml:space="preserve">ueblos indígenas, según </w:t>
      </w:r>
      <w:r w:rsidR="000D131F">
        <w:rPr>
          <w:rStyle w:val="CharAttribute3"/>
          <w:rFonts w:hAnsi="Arial" w:cs="Arial"/>
          <w:b/>
          <w:szCs w:val="24"/>
        </w:rPr>
        <w:t xml:space="preserve">cantón, </w:t>
      </w:r>
      <w:r w:rsidRPr="00F02583">
        <w:rPr>
          <w:rStyle w:val="CharAttribute3"/>
          <w:rFonts w:hAnsi="Arial" w:cs="Arial"/>
          <w:b/>
          <w:szCs w:val="24"/>
        </w:rPr>
        <w:t xml:space="preserve">IDS, </w:t>
      </w:r>
    </w:p>
    <w:p w:rsidR="005C5C2A" w:rsidRDefault="000D131F" w:rsidP="002472B1">
      <w:pPr>
        <w:pStyle w:val="ParaAttribute1"/>
        <w:contextualSpacing/>
        <w:jc w:val="center"/>
        <w:rPr>
          <w:rStyle w:val="CharAttribute3"/>
          <w:rFonts w:hAnsi="Arial" w:cs="Arial"/>
          <w:szCs w:val="24"/>
        </w:rPr>
      </w:pPr>
      <w:r>
        <w:rPr>
          <w:rStyle w:val="CharAttribute3"/>
          <w:rFonts w:hAnsi="Arial" w:cs="Arial"/>
          <w:b/>
          <w:szCs w:val="24"/>
        </w:rPr>
        <w:t xml:space="preserve">y tasas de </w:t>
      </w:r>
      <w:r w:rsidR="005C5C2A" w:rsidRPr="00F02583">
        <w:rPr>
          <w:rStyle w:val="CharAttribute3"/>
          <w:rFonts w:hAnsi="Arial" w:cs="Arial"/>
          <w:b/>
          <w:szCs w:val="24"/>
        </w:rPr>
        <w:t>natalidad y mortalidad 2017</w:t>
      </w:r>
      <w:r w:rsidR="005C5C2A">
        <w:rPr>
          <w:rStyle w:val="CharAttribute3"/>
          <w:rFonts w:hAnsi="Arial" w:cs="Arial"/>
          <w:b/>
          <w:szCs w:val="24"/>
        </w:rPr>
        <w:t>.</w:t>
      </w:r>
    </w:p>
    <w:p w:rsidR="005C5C2A" w:rsidRPr="003A05DB" w:rsidRDefault="005C5C2A" w:rsidP="005C5C2A">
      <w:pPr>
        <w:rPr>
          <w:sz w:val="14"/>
          <w:lang w:val="es-ES" w:eastAsia="es-CR"/>
        </w:rPr>
      </w:pPr>
    </w:p>
    <w:tbl>
      <w:tblPr>
        <w:tblStyle w:val="DefaultTable"/>
        <w:tblpPr w:leftFromText="141" w:rightFromText="141" w:vertAnchor="page" w:horzAnchor="margin" w:tblpX="-431" w:tblpY="2461"/>
        <w:tblW w:w="9776" w:type="dxa"/>
        <w:tblInd w:w="0" w:type="dxa"/>
        <w:tblLook w:val="04A0" w:firstRow="1" w:lastRow="0" w:firstColumn="1" w:lastColumn="0" w:noHBand="0" w:noVBand="1"/>
      </w:tblPr>
      <w:tblGrid>
        <w:gridCol w:w="1986"/>
        <w:gridCol w:w="1701"/>
        <w:gridCol w:w="1703"/>
        <w:gridCol w:w="2118"/>
        <w:gridCol w:w="2268"/>
      </w:tblGrid>
      <w:tr w:rsidR="005C5C2A" w:rsidRPr="000D131F" w:rsidTr="000D131F">
        <w:trPr>
          <w:trHeight w:val="400"/>
        </w:trPr>
        <w:tc>
          <w:tcPr>
            <w:tcW w:w="1986" w:type="dxa"/>
            <w:shd w:val="clear" w:color="auto" w:fill="BDD6EE" w:themeFill="accent1" w:themeFillTint="66"/>
            <w:vAlign w:val="center"/>
          </w:tcPr>
          <w:p w:rsidR="005C5C2A" w:rsidRPr="000D131F" w:rsidRDefault="005C5C2A" w:rsidP="00475BBF">
            <w:pPr>
              <w:pStyle w:val="ParaAttribute4"/>
              <w:spacing w:line="360" w:lineRule="auto"/>
              <w:contextualSpacing/>
              <w:rPr>
                <w:rFonts w:ascii="Arial" w:eastAsia="Times New Roman" w:hAnsi="Arial" w:cs="Arial"/>
                <w:b/>
              </w:rPr>
            </w:pPr>
            <w:r w:rsidRPr="000D131F">
              <w:rPr>
                <w:rStyle w:val="CharAttribute15"/>
                <w:rFonts w:ascii="Arial" w:eastAsia="□□" w:hAnsi="Arial" w:cs="Arial"/>
                <w:b/>
              </w:rPr>
              <w:t>Cantón</w:t>
            </w:r>
          </w:p>
        </w:tc>
        <w:tc>
          <w:tcPr>
            <w:tcW w:w="1701" w:type="dxa"/>
            <w:shd w:val="clear" w:color="auto" w:fill="BDD6EE" w:themeFill="accent1" w:themeFillTint="66"/>
            <w:vAlign w:val="center"/>
          </w:tcPr>
          <w:p w:rsidR="005C5C2A" w:rsidRPr="000D131F" w:rsidRDefault="005C5C2A" w:rsidP="00475BBF">
            <w:pPr>
              <w:pStyle w:val="ParaAttribute4"/>
              <w:spacing w:line="360" w:lineRule="auto"/>
              <w:contextualSpacing/>
              <w:rPr>
                <w:rFonts w:ascii="Arial" w:eastAsia="Times New Roman" w:hAnsi="Arial" w:cs="Arial"/>
                <w:b/>
              </w:rPr>
            </w:pPr>
            <w:r w:rsidRPr="000D131F">
              <w:rPr>
                <w:rStyle w:val="CharAttribute15"/>
                <w:rFonts w:ascii="Arial" w:eastAsia="□□" w:hAnsi="Arial" w:cs="Arial"/>
                <w:b/>
              </w:rPr>
              <w:t>Pueblo indígena</w:t>
            </w:r>
          </w:p>
        </w:tc>
        <w:tc>
          <w:tcPr>
            <w:tcW w:w="1703" w:type="dxa"/>
            <w:shd w:val="clear" w:color="auto" w:fill="BDD6EE" w:themeFill="accent1" w:themeFillTint="66"/>
            <w:vAlign w:val="center"/>
          </w:tcPr>
          <w:p w:rsidR="005C5C2A" w:rsidRPr="000D131F" w:rsidRDefault="005C5C2A" w:rsidP="00475BBF">
            <w:pPr>
              <w:pStyle w:val="ParaAttribute4"/>
              <w:spacing w:line="360" w:lineRule="auto"/>
              <w:contextualSpacing/>
              <w:rPr>
                <w:rStyle w:val="CharAttribute15"/>
                <w:rFonts w:ascii="Arial" w:eastAsia="□□" w:hAnsi="Arial" w:cs="Arial"/>
                <w:b/>
              </w:rPr>
            </w:pPr>
            <w:r w:rsidRPr="000D131F">
              <w:rPr>
                <w:rStyle w:val="CharAttribute15"/>
                <w:rFonts w:ascii="Arial" w:eastAsia="□□" w:hAnsi="Arial" w:cs="Arial"/>
                <w:b/>
              </w:rPr>
              <w:t>Posición</w:t>
            </w:r>
          </w:p>
          <w:p w:rsidR="005C5C2A" w:rsidRPr="000D131F" w:rsidRDefault="005C5C2A" w:rsidP="00475BBF">
            <w:pPr>
              <w:pStyle w:val="ParaAttribute4"/>
              <w:spacing w:line="360" w:lineRule="auto"/>
              <w:contextualSpacing/>
              <w:rPr>
                <w:rFonts w:ascii="Arial" w:eastAsia="Times New Roman" w:hAnsi="Arial" w:cs="Arial"/>
                <w:b/>
              </w:rPr>
            </w:pPr>
            <w:r w:rsidRPr="000D131F">
              <w:rPr>
                <w:rStyle w:val="CharAttribute15"/>
                <w:rFonts w:ascii="Arial" w:eastAsia="□□" w:hAnsi="Arial" w:cs="Arial"/>
                <w:b/>
              </w:rPr>
              <w:t>IDS 2017</w:t>
            </w:r>
          </w:p>
        </w:tc>
        <w:tc>
          <w:tcPr>
            <w:tcW w:w="2118" w:type="dxa"/>
            <w:shd w:val="clear" w:color="auto" w:fill="BDD6EE" w:themeFill="accent1" w:themeFillTint="66"/>
            <w:vAlign w:val="center"/>
          </w:tcPr>
          <w:p w:rsidR="005C5C2A" w:rsidRPr="000D131F" w:rsidRDefault="005C5C2A" w:rsidP="00475BBF">
            <w:pPr>
              <w:pStyle w:val="ParaAttribute4"/>
              <w:spacing w:line="360" w:lineRule="auto"/>
              <w:contextualSpacing/>
              <w:rPr>
                <w:rFonts w:ascii="Arial" w:eastAsia="Calibri" w:hAnsi="Arial" w:cs="Arial"/>
                <w:b/>
              </w:rPr>
            </w:pPr>
            <w:r w:rsidRPr="000D131F">
              <w:rPr>
                <w:rStyle w:val="CharAttribute15"/>
                <w:rFonts w:ascii="Arial" w:eastAsia="□□" w:hAnsi="Arial" w:cs="Arial"/>
                <w:b/>
              </w:rPr>
              <w:t>Tasa de natalidad por 1000 hab.</w:t>
            </w:r>
          </w:p>
        </w:tc>
        <w:tc>
          <w:tcPr>
            <w:tcW w:w="2268" w:type="dxa"/>
            <w:shd w:val="clear" w:color="auto" w:fill="BDD6EE" w:themeFill="accent1" w:themeFillTint="66"/>
            <w:vAlign w:val="center"/>
          </w:tcPr>
          <w:p w:rsidR="005C5C2A" w:rsidRPr="000D131F" w:rsidRDefault="005C5C2A" w:rsidP="00475BBF">
            <w:pPr>
              <w:pStyle w:val="ParaAttribute4"/>
              <w:spacing w:line="360" w:lineRule="auto"/>
              <w:contextualSpacing/>
              <w:rPr>
                <w:rFonts w:ascii="Arial" w:eastAsia="Times New Roman" w:hAnsi="Arial" w:cs="Arial"/>
                <w:b/>
              </w:rPr>
            </w:pPr>
            <w:r w:rsidRPr="000D131F">
              <w:rPr>
                <w:rStyle w:val="CharAttribute15"/>
                <w:rFonts w:ascii="Arial" w:eastAsia="□□" w:hAnsi="Arial" w:cs="Arial"/>
                <w:b/>
              </w:rPr>
              <w:t>Tasa de mortalidad infantil por 1000 n.v.</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Hojancha</w:t>
            </w:r>
          </w:p>
        </w:tc>
        <w:tc>
          <w:tcPr>
            <w:tcW w:w="1701" w:type="dxa"/>
            <w:vAlign w:val="center"/>
          </w:tcPr>
          <w:p w:rsidR="005C5C2A" w:rsidRPr="000D131F" w:rsidRDefault="005C5C2A" w:rsidP="00475BBF">
            <w:pPr>
              <w:pStyle w:val="ParaAttribute4"/>
              <w:spacing w:line="360" w:lineRule="auto"/>
              <w:contextualSpacing/>
              <w:jc w:val="left"/>
              <w:rPr>
                <w:rFonts w:ascii="Arial" w:eastAsia="Times New Roman" w:hAnsi="Arial" w:cs="Arial"/>
              </w:rPr>
            </w:pPr>
            <w:r w:rsidRPr="000D131F">
              <w:rPr>
                <w:rStyle w:val="CharAttribute18"/>
                <w:rFonts w:ascii="Arial" w:eastAsia="□□" w:hAnsi="Arial" w:cs="Arial"/>
                <w:sz w:val="20"/>
              </w:rPr>
              <w:t>Chorotega</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37</w:t>
            </w:r>
          </w:p>
        </w:tc>
        <w:tc>
          <w:tcPr>
            <w:tcW w:w="2118" w:type="dxa"/>
            <w:vAlign w:val="center"/>
          </w:tcPr>
          <w:p w:rsidR="005C5C2A" w:rsidRPr="000D131F" w:rsidRDefault="005C5C2A" w:rsidP="00475BBF">
            <w:pPr>
              <w:spacing w:line="360" w:lineRule="auto"/>
              <w:jc w:val="center"/>
              <w:rPr>
                <w:rFonts w:ascii="Arial" w:hAnsi="Arial" w:cs="Arial"/>
                <w:bCs/>
                <w:color w:val="000000"/>
                <w:sz w:val="20"/>
                <w:szCs w:val="20"/>
              </w:rPr>
            </w:pPr>
            <w:r w:rsidRPr="000D131F">
              <w:rPr>
                <w:rFonts w:ascii="Arial" w:hAnsi="Arial" w:cs="Arial"/>
                <w:bCs/>
                <w:color w:val="000000"/>
                <w:sz w:val="20"/>
                <w:szCs w:val="20"/>
              </w:rPr>
              <w:t>12,09</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10,53</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Mora</w:t>
            </w:r>
          </w:p>
        </w:tc>
        <w:tc>
          <w:tcPr>
            <w:tcW w:w="1701" w:type="dxa"/>
            <w:vAlign w:val="center"/>
          </w:tcPr>
          <w:p w:rsidR="005C5C2A" w:rsidRPr="000D131F" w:rsidRDefault="005C5C2A" w:rsidP="00475BBF">
            <w:pPr>
              <w:pStyle w:val="ParaAttribute4"/>
              <w:spacing w:line="360" w:lineRule="auto"/>
              <w:contextualSpacing/>
              <w:jc w:val="left"/>
              <w:rPr>
                <w:rFonts w:ascii="Arial" w:eastAsia="Times New Roman" w:hAnsi="Arial" w:cs="Arial"/>
              </w:rPr>
            </w:pPr>
            <w:r w:rsidRPr="000D131F">
              <w:rPr>
                <w:rStyle w:val="CharAttribute18"/>
                <w:rFonts w:ascii="Arial" w:eastAsia="□□" w:hAnsi="Arial" w:cs="Arial"/>
                <w:sz w:val="20"/>
              </w:rPr>
              <w:t>Huetar</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41</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13,67</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9,90</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Puriscal</w:t>
            </w:r>
          </w:p>
        </w:tc>
        <w:tc>
          <w:tcPr>
            <w:tcW w:w="1701" w:type="dxa"/>
          </w:tcPr>
          <w:p w:rsidR="005C5C2A" w:rsidRPr="000D131F" w:rsidRDefault="005C5C2A" w:rsidP="00475BBF">
            <w:pPr>
              <w:pStyle w:val="ParaAttribute4"/>
              <w:spacing w:line="360" w:lineRule="auto"/>
              <w:contextualSpacing/>
              <w:jc w:val="both"/>
              <w:rPr>
                <w:rFonts w:ascii="Arial" w:eastAsia="Times New Roman" w:hAnsi="Arial" w:cs="Arial"/>
              </w:rPr>
            </w:pPr>
            <w:r w:rsidRPr="000D131F">
              <w:rPr>
                <w:rStyle w:val="CharAttribute18"/>
                <w:rFonts w:ascii="Arial" w:eastAsia="□□" w:hAnsi="Arial" w:cs="Arial"/>
                <w:sz w:val="20"/>
              </w:rPr>
              <w:t>Huetar</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44</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10,25</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10,55</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Pérez Zeledón</w:t>
            </w:r>
          </w:p>
        </w:tc>
        <w:tc>
          <w:tcPr>
            <w:tcW w:w="1701" w:type="dxa"/>
          </w:tcPr>
          <w:p w:rsidR="005C5C2A" w:rsidRPr="000D131F" w:rsidRDefault="005C5C2A" w:rsidP="00475BBF">
            <w:pPr>
              <w:pStyle w:val="ParaAttribute4"/>
              <w:spacing w:line="360" w:lineRule="auto"/>
              <w:contextualSpacing/>
              <w:jc w:val="both"/>
              <w:rPr>
                <w:rFonts w:ascii="Arial" w:eastAsia="Times New Roman" w:hAnsi="Arial" w:cs="Arial"/>
              </w:rPr>
            </w:pPr>
            <w:r w:rsidRPr="000D131F">
              <w:rPr>
                <w:rStyle w:val="CharAttribute18"/>
                <w:rFonts w:ascii="Arial" w:eastAsia="□□" w:hAnsi="Arial" w:cs="Arial"/>
                <w:sz w:val="20"/>
              </w:rPr>
              <w:t>Cabécar</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53</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16,54</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7,05</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Nicoya</w:t>
            </w:r>
          </w:p>
        </w:tc>
        <w:tc>
          <w:tcPr>
            <w:tcW w:w="1701" w:type="dxa"/>
            <w:vAlign w:val="center"/>
          </w:tcPr>
          <w:p w:rsidR="005C5C2A" w:rsidRPr="000D131F" w:rsidRDefault="005C5C2A" w:rsidP="00475BBF">
            <w:pPr>
              <w:pStyle w:val="ParaAttribute4"/>
              <w:spacing w:line="360" w:lineRule="auto"/>
              <w:contextualSpacing/>
              <w:jc w:val="left"/>
              <w:rPr>
                <w:rFonts w:ascii="Arial" w:eastAsia="Times New Roman" w:hAnsi="Arial" w:cs="Arial"/>
              </w:rPr>
            </w:pPr>
            <w:r w:rsidRPr="000D131F">
              <w:rPr>
                <w:rStyle w:val="CharAttribute18"/>
                <w:rFonts w:ascii="Arial" w:eastAsia="□□" w:hAnsi="Arial" w:cs="Arial"/>
                <w:sz w:val="20"/>
              </w:rPr>
              <w:t>Chorotega</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56</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14,90</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9,77</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Turrialba</w:t>
            </w:r>
          </w:p>
        </w:tc>
        <w:tc>
          <w:tcPr>
            <w:tcW w:w="1701" w:type="dxa"/>
            <w:vAlign w:val="center"/>
          </w:tcPr>
          <w:p w:rsidR="005C5C2A" w:rsidRPr="000D131F" w:rsidRDefault="005C5C2A" w:rsidP="00475BBF">
            <w:pPr>
              <w:pStyle w:val="ParaAttribute4"/>
              <w:spacing w:line="360" w:lineRule="auto"/>
              <w:contextualSpacing/>
              <w:jc w:val="left"/>
              <w:rPr>
                <w:rFonts w:ascii="Arial" w:eastAsia="Times New Roman" w:hAnsi="Arial" w:cs="Arial"/>
              </w:rPr>
            </w:pPr>
            <w:r w:rsidRPr="000D131F">
              <w:rPr>
                <w:rStyle w:val="CharAttribute18"/>
                <w:rFonts w:ascii="Arial" w:eastAsia="□□" w:hAnsi="Arial" w:cs="Arial"/>
                <w:sz w:val="20"/>
              </w:rPr>
              <w:t>Cabécar</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63</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15,34</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6,20</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Guatuso</w:t>
            </w:r>
          </w:p>
        </w:tc>
        <w:tc>
          <w:tcPr>
            <w:tcW w:w="1701" w:type="dxa"/>
          </w:tcPr>
          <w:p w:rsidR="005C5C2A" w:rsidRPr="000D131F" w:rsidRDefault="005C5C2A" w:rsidP="00475BBF">
            <w:pPr>
              <w:pStyle w:val="ParaAttribute4"/>
              <w:spacing w:line="360" w:lineRule="auto"/>
              <w:contextualSpacing/>
              <w:jc w:val="both"/>
              <w:rPr>
                <w:rFonts w:ascii="Arial" w:eastAsia="Times New Roman" w:hAnsi="Arial" w:cs="Arial"/>
              </w:rPr>
            </w:pPr>
            <w:r w:rsidRPr="000D131F">
              <w:rPr>
                <w:rStyle w:val="CharAttribute18"/>
                <w:rFonts w:ascii="Arial" w:eastAsia="□□" w:hAnsi="Arial" w:cs="Arial"/>
                <w:sz w:val="20"/>
              </w:rPr>
              <w:t>Maleku</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68</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15,21</w:t>
            </w:r>
          </w:p>
        </w:tc>
        <w:tc>
          <w:tcPr>
            <w:tcW w:w="2268" w:type="dxa"/>
            <w:vAlign w:val="center"/>
          </w:tcPr>
          <w:p w:rsidR="005C5C2A" w:rsidRPr="000D131F" w:rsidRDefault="005C5C2A" w:rsidP="00475BBF">
            <w:pPr>
              <w:pStyle w:val="ParaAttribute4"/>
              <w:spacing w:line="360" w:lineRule="auto"/>
              <w:contextualSpacing/>
              <w:rPr>
                <w:rFonts w:ascii="Arial" w:eastAsia="Times New Roman" w:hAnsi="Arial" w:cs="Arial"/>
              </w:rPr>
            </w:pPr>
            <w:r w:rsidRPr="000D131F">
              <w:rPr>
                <w:rFonts w:ascii="Arial" w:eastAsia="Times New Roman" w:hAnsi="Arial" w:cs="Arial"/>
              </w:rPr>
              <w:t>0.00</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Matina</w:t>
            </w:r>
          </w:p>
        </w:tc>
        <w:tc>
          <w:tcPr>
            <w:tcW w:w="1701" w:type="dxa"/>
          </w:tcPr>
          <w:p w:rsidR="005C5C2A" w:rsidRPr="000D131F" w:rsidRDefault="005C5C2A" w:rsidP="00475BBF">
            <w:pPr>
              <w:pStyle w:val="ParaAttribute4"/>
              <w:spacing w:line="360" w:lineRule="auto"/>
              <w:contextualSpacing/>
              <w:jc w:val="both"/>
              <w:rPr>
                <w:rFonts w:ascii="Arial" w:eastAsia="Times New Roman" w:hAnsi="Arial" w:cs="Arial"/>
              </w:rPr>
            </w:pPr>
            <w:r w:rsidRPr="000D131F">
              <w:rPr>
                <w:rStyle w:val="CharAttribute18"/>
                <w:rFonts w:ascii="Arial" w:eastAsia="□□" w:hAnsi="Arial" w:cs="Arial"/>
                <w:sz w:val="20"/>
              </w:rPr>
              <w:t>Cabécar</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69</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15,15</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7,58</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Coto Brus</w:t>
            </w:r>
          </w:p>
        </w:tc>
        <w:tc>
          <w:tcPr>
            <w:tcW w:w="1701" w:type="dxa"/>
          </w:tcPr>
          <w:p w:rsidR="005C5C2A" w:rsidRPr="000D131F" w:rsidRDefault="005C5C2A" w:rsidP="00475BBF">
            <w:pPr>
              <w:pStyle w:val="ParaAttribute4"/>
              <w:spacing w:line="360" w:lineRule="auto"/>
              <w:contextualSpacing/>
              <w:jc w:val="left"/>
              <w:rPr>
                <w:rFonts w:ascii="Arial" w:eastAsia="Times New Roman" w:hAnsi="Arial" w:cs="Arial"/>
              </w:rPr>
            </w:pPr>
            <w:r w:rsidRPr="000D131F">
              <w:rPr>
                <w:rStyle w:val="CharAttribute18"/>
                <w:rFonts w:ascii="Arial" w:eastAsia="□□" w:hAnsi="Arial" w:cs="Arial"/>
                <w:sz w:val="20"/>
              </w:rPr>
              <w:t>Ngöbe o Guaymí</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71</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17,24</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11,84</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Corredores</w:t>
            </w:r>
          </w:p>
        </w:tc>
        <w:tc>
          <w:tcPr>
            <w:tcW w:w="1701" w:type="dxa"/>
          </w:tcPr>
          <w:p w:rsidR="005C5C2A" w:rsidRPr="000D131F" w:rsidRDefault="005C5C2A" w:rsidP="00475BBF">
            <w:pPr>
              <w:pStyle w:val="ParaAttribute4"/>
              <w:spacing w:line="360" w:lineRule="auto"/>
              <w:contextualSpacing/>
              <w:jc w:val="left"/>
              <w:rPr>
                <w:rFonts w:ascii="Arial" w:eastAsia="Times New Roman" w:hAnsi="Arial" w:cs="Arial"/>
              </w:rPr>
            </w:pPr>
            <w:r w:rsidRPr="000D131F">
              <w:rPr>
                <w:rStyle w:val="CharAttribute18"/>
                <w:rFonts w:ascii="Arial" w:eastAsia="□□" w:hAnsi="Arial" w:cs="Arial"/>
                <w:sz w:val="20"/>
              </w:rPr>
              <w:t>Ngöbe o Guaymí</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72</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13,85</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9,97</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Limón</w:t>
            </w:r>
          </w:p>
        </w:tc>
        <w:tc>
          <w:tcPr>
            <w:tcW w:w="1701" w:type="dxa"/>
            <w:vAlign w:val="center"/>
          </w:tcPr>
          <w:p w:rsidR="005C5C2A" w:rsidRPr="000D131F" w:rsidRDefault="005C5C2A" w:rsidP="00475BBF">
            <w:pPr>
              <w:pStyle w:val="ParaAttribute4"/>
              <w:spacing w:line="360" w:lineRule="auto"/>
              <w:contextualSpacing/>
              <w:jc w:val="left"/>
              <w:rPr>
                <w:rFonts w:ascii="Arial" w:eastAsia="Times New Roman" w:hAnsi="Arial" w:cs="Arial"/>
              </w:rPr>
            </w:pPr>
            <w:r w:rsidRPr="000D131F">
              <w:rPr>
                <w:rStyle w:val="CharAttribute18"/>
                <w:rFonts w:ascii="Arial" w:eastAsia="□□" w:hAnsi="Arial" w:cs="Arial"/>
                <w:sz w:val="20"/>
              </w:rPr>
              <w:t>Cabécar</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73</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19,06</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7,96</w:t>
            </w:r>
          </w:p>
        </w:tc>
      </w:tr>
      <w:tr w:rsidR="005C5C2A" w:rsidRPr="000D131F" w:rsidTr="00475BBF">
        <w:trPr>
          <w:trHeight w:val="400"/>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Osa</w:t>
            </w:r>
          </w:p>
        </w:tc>
        <w:tc>
          <w:tcPr>
            <w:tcW w:w="1701" w:type="dxa"/>
          </w:tcPr>
          <w:p w:rsidR="005C5C2A" w:rsidRPr="000D131F" w:rsidRDefault="005C5C2A" w:rsidP="00475BBF">
            <w:pPr>
              <w:pStyle w:val="ParaAttribute4"/>
              <w:spacing w:line="360" w:lineRule="auto"/>
              <w:contextualSpacing/>
              <w:jc w:val="left"/>
              <w:rPr>
                <w:rFonts w:ascii="Arial" w:eastAsia="Times New Roman" w:hAnsi="Arial" w:cs="Arial"/>
              </w:rPr>
            </w:pPr>
            <w:r w:rsidRPr="000D131F">
              <w:rPr>
                <w:rStyle w:val="CharAttribute18"/>
                <w:rFonts w:ascii="Arial" w:eastAsia="□□" w:hAnsi="Arial" w:cs="Arial"/>
                <w:sz w:val="20"/>
              </w:rPr>
              <w:t>Brunca/Boruca</w:t>
            </w:r>
          </w:p>
          <w:p w:rsidR="005C5C2A" w:rsidRPr="000D131F" w:rsidRDefault="005C5C2A" w:rsidP="00475BBF">
            <w:pPr>
              <w:pStyle w:val="ParaAttribute4"/>
              <w:spacing w:line="360" w:lineRule="auto"/>
              <w:contextualSpacing/>
              <w:jc w:val="left"/>
              <w:rPr>
                <w:rFonts w:ascii="Arial" w:eastAsia="Times New Roman" w:hAnsi="Arial" w:cs="Arial"/>
              </w:rPr>
            </w:pPr>
            <w:r w:rsidRPr="000D131F">
              <w:rPr>
                <w:rStyle w:val="CharAttribute18"/>
                <w:rFonts w:ascii="Arial" w:eastAsia="□□" w:hAnsi="Arial" w:cs="Arial"/>
                <w:sz w:val="20"/>
              </w:rPr>
              <w:t>Ngöbe o Guaymí</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76</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16,87</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7,74</w:t>
            </w:r>
          </w:p>
        </w:tc>
      </w:tr>
      <w:tr w:rsidR="005C5C2A" w:rsidRPr="000D131F" w:rsidTr="00475BBF">
        <w:trPr>
          <w:trHeight w:val="718"/>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Golfito</w:t>
            </w:r>
          </w:p>
        </w:tc>
        <w:tc>
          <w:tcPr>
            <w:tcW w:w="1701" w:type="dxa"/>
          </w:tcPr>
          <w:p w:rsidR="005C5C2A" w:rsidRPr="000D131F" w:rsidRDefault="005C5C2A" w:rsidP="00475BBF">
            <w:pPr>
              <w:pStyle w:val="ParaAttribute4"/>
              <w:contextualSpacing/>
              <w:jc w:val="left"/>
              <w:rPr>
                <w:rFonts w:ascii="Arial" w:eastAsia="Times New Roman" w:hAnsi="Arial" w:cs="Arial"/>
              </w:rPr>
            </w:pPr>
            <w:r w:rsidRPr="000D131F">
              <w:rPr>
                <w:rStyle w:val="CharAttribute18"/>
                <w:rFonts w:ascii="Arial" w:eastAsia="□□" w:hAnsi="Arial" w:cs="Arial"/>
                <w:sz w:val="20"/>
              </w:rPr>
              <w:t>Ngöbe o Guaymí</w:t>
            </w:r>
          </w:p>
        </w:tc>
        <w:tc>
          <w:tcPr>
            <w:tcW w:w="1703" w:type="dxa"/>
            <w:vAlign w:val="center"/>
          </w:tcPr>
          <w:p w:rsidR="005C5C2A" w:rsidRPr="000D131F" w:rsidRDefault="005C5C2A" w:rsidP="00475BBF">
            <w:pPr>
              <w:spacing w:line="360" w:lineRule="auto"/>
              <w:contextualSpacing/>
              <w:jc w:val="center"/>
              <w:rPr>
                <w:rFonts w:ascii="Arial" w:hAnsi="Arial" w:cs="Arial"/>
                <w:color w:val="000000"/>
                <w:sz w:val="20"/>
                <w:szCs w:val="20"/>
              </w:rPr>
            </w:pPr>
            <w:r w:rsidRPr="000D131F">
              <w:rPr>
                <w:rFonts w:ascii="Arial" w:hAnsi="Arial" w:cs="Arial"/>
                <w:color w:val="000000"/>
                <w:sz w:val="20"/>
                <w:szCs w:val="20"/>
              </w:rPr>
              <w:t>78</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15,03</w:t>
            </w:r>
          </w:p>
        </w:tc>
        <w:tc>
          <w:tcPr>
            <w:tcW w:w="2268" w:type="dxa"/>
            <w:vAlign w:val="center"/>
          </w:tcPr>
          <w:p w:rsidR="005C5C2A" w:rsidRPr="000D131F" w:rsidRDefault="005C5C2A" w:rsidP="00475BBF">
            <w:pPr>
              <w:spacing w:line="360" w:lineRule="auto"/>
              <w:jc w:val="center"/>
              <w:rPr>
                <w:rFonts w:ascii="Arial" w:hAnsi="Arial" w:cs="Arial"/>
                <w:bCs/>
                <w:color w:val="000000"/>
                <w:sz w:val="20"/>
                <w:szCs w:val="20"/>
              </w:rPr>
            </w:pPr>
            <w:r w:rsidRPr="000D131F">
              <w:rPr>
                <w:rFonts w:ascii="Arial" w:hAnsi="Arial" w:cs="Arial"/>
                <w:bCs/>
                <w:color w:val="000000"/>
                <w:sz w:val="20"/>
                <w:szCs w:val="20"/>
              </w:rPr>
              <w:t>7,55</w:t>
            </w:r>
          </w:p>
        </w:tc>
      </w:tr>
      <w:tr w:rsidR="005C5C2A" w:rsidRPr="000D131F" w:rsidTr="00376406">
        <w:trPr>
          <w:trHeight w:val="1495"/>
        </w:trPr>
        <w:tc>
          <w:tcPr>
            <w:tcW w:w="1986" w:type="dxa"/>
            <w:vAlign w:val="center"/>
          </w:tcPr>
          <w:p w:rsidR="005C5C2A" w:rsidRPr="00176E6A" w:rsidRDefault="005C5C2A" w:rsidP="00475BBF">
            <w:pPr>
              <w:pStyle w:val="ParaAttribute4"/>
              <w:spacing w:line="360" w:lineRule="auto"/>
              <w:contextualSpacing/>
              <w:jc w:val="left"/>
              <w:rPr>
                <w:rFonts w:ascii="Arial" w:eastAsia="Times New Roman" w:hAnsi="Arial" w:cs="Arial"/>
                <w:b/>
              </w:rPr>
            </w:pPr>
            <w:r w:rsidRPr="00176E6A">
              <w:rPr>
                <w:rStyle w:val="CharAttribute17"/>
                <w:rFonts w:ascii="Arial" w:eastAsia="□□" w:hAnsi="Arial" w:cs="Arial"/>
                <w:b/>
                <w:sz w:val="20"/>
              </w:rPr>
              <w:t>Buenos Aires</w:t>
            </w:r>
          </w:p>
        </w:tc>
        <w:tc>
          <w:tcPr>
            <w:tcW w:w="1701" w:type="dxa"/>
          </w:tcPr>
          <w:p w:rsidR="005C5C2A" w:rsidRPr="000D131F" w:rsidRDefault="005C5C2A" w:rsidP="00475BBF">
            <w:pPr>
              <w:pStyle w:val="ParaAttribute4"/>
              <w:contextualSpacing/>
              <w:jc w:val="left"/>
              <w:rPr>
                <w:rFonts w:ascii="Arial" w:eastAsia="Times New Roman" w:hAnsi="Arial" w:cs="Arial"/>
              </w:rPr>
            </w:pPr>
            <w:r w:rsidRPr="000D131F">
              <w:rPr>
                <w:rStyle w:val="CharAttribute18"/>
                <w:rFonts w:ascii="Arial" w:eastAsia="□□" w:hAnsi="Arial" w:cs="Arial"/>
                <w:sz w:val="20"/>
              </w:rPr>
              <w:t>Bribri</w:t>
            </w:r>
          </w:p>
          <w:p w:rsidR="005C5C2A" w:rsidRPr="000D131F" w:rsidRDefault="005C5C2A" w:rsidP="00475BBF">
            <w:pPr>
              <w:pStyle w:val="ParaAttribute4"/>
              <w:contextualSpacing/>
              <w:jc w:val="left"/>
              <w:rPr>
                <w:rFonts w:ascii="Arial" w:eastAsia="Times New Roman" w:hAnsi="Arial" w:cs="Arial"/>
              </w:rPr>
            </w:pPr>
            <w:r w:rsidRPr="000D131F">
              <w:rPr>
                <w:rStyle w:val="CharAttribute18"/>
                <w:rFonts w:ascii="Arial" w:eastAsia="□□" w:hAnsi="Arial" w:cs="Arial"/>
                <w:sz w:val="20"/>
              </w:rPr>
              <w:t>Cabécar</w:t>
            </w:r>
          </w:p>
          <w:p w:rsidR="005C5C2A" w:rsidRPr="000D131F" w:rsidRDefault="005C5C2A" w:rsidP="00475BBF">
            <w:pPr>
              <w:pStyle w:val="ParaAttribute4"/>
              <w:contextualSpacing/>
              <w:jc w:val="left"/>
              <w:rPr>
                <w:rFonts w:ascii="Arial" w:eastAsia="Times New Roman" w:hAnsi="Arial" w:cs="Arial"/>
              </w:rPr>
            </w:pPr>
            <w:r w:rsidRPr="000D131F">
              <w:rPr>
                <w:rStyle w:val="CharAttribute18"/>
                <w:rFonts w:ascii="Arial" w:eastAsia="□□" w:hAnsi="Arial" w:cs="Arial"/>
                <w:sz w:val="20"/>
              </w:rPr>
              <w:t>Brunca/Boruca</w:t>
            </w:r>
          </w:p>
          <w:p w:rsidR="005C5C2A" w:rsidRPr="000D131F" w:rsidRDefault="005C5C2A" w:rsidP="00475BBF">
            <w:pPr>
              <w:pStyle w:val="ParaAttribute4"/>
              <w:contextualSpacing/>
              <w:jc w:val="left"/>
              <w:rPr>
                <w:rFonts w:ascii="Arial" w:eastAsia="Times New Roman" w:hAnsi="Arial" w:cs="Arial"/>
              </w:rPr>
            </w:pPr>
            <w:r w:rsidRPr="000D131F">
              <w:rPr>
                <w:rStyle w:val="CharAttribute18"/>
                <w:rFonts w:ascii="Arial" w:eastAsia="□□" w:hAnsi="Arial" w:cs="Arial"/>
                <w:sz w:val="20"/>
              </w:rPr>
              <w:t>Terraba</w:t>
            </w:r>
          </w:p>
          <w:p w:rsidR="005C5C2A" w:rsidRPr="000D131F" w:rsidRDefault="005C5C2A" w:rsidP="00475BBF">
            <w:pPr>
              <w:pStyle w:val="ParaAttribute4"/>
              <w:contextualSpacing/>
              <w:jc w:val="left"/>
              <w:rPr>
                <w:rFonts w:ascii="Arial" w:eastAsia="Times New Roman" w:hAnsi="Arial" w:cs="Arial"/>
              </w:rPr>
            </w:pPr>
            <w:r w:rsidRPr="000D131F">
              <w:rPr>
                <w:rStyle w:val="CharAttribute18"/>
                <w:rFonts w:ascii="Arial" w:eastAsia="□□" w:hAnsi="Arial" w:cs="Arial"/>
                <w:sz w:val="20"/>
              </w:rPr>
              <w:t>Ngöbe o Guaymí</w:t>
            </w:r>
          </w:p>
        </w:tc>
        <w:tc>
          <w:tcPr>
            <w:tcW w:w="1703" w:type="dxa"/>
            <w:vAlign w:val="center"/>
          </w:tcPr>
          <w:p w:rsidR="005C5C2A" w:rsidRPr="000D131F" w:rsidRDefault="005C5C2A" w:rsidP="00475BBF">
            <w:pPr>
              <w:pStyle w:val="ParaAttribute4"/>
              <w:spacing w:line="360" w:lineRule="auto"/>
              <w:contextualSpacing/>
              <w:rPr>
                <w:rFonts w:ascii="Arial" w:eastAsia="Times New Roman" w:hAnsi="Arial" w:cs="Arial"/>
              </w:rPr>
            </w:pPr>
            <w:r w:rsidRPr="000D131F">
              <w:rPr>
                <w:rFonts w:ascii="Arial" w:eastAsia="Times New Roman" w:hAnsi="Arial" w:cs="Arial"/>
              </w:rPr>
              <w:t>80</w:t>
            </w:r>
          </w:p>
        </w:tc>
        <w:tc>
          <w:tcPr>
            <w:tcW w:w="211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16,54</w:t>
            </w:r>
          </w:p>
        </w:tc>
        <w:tc>
          <w:tcPr>
            <w:tcW w:w="2268" w:type="dxa"/>
            <w:vAlign w:val="center"/>
          </w:tcPr>
          <w:p w:rsidR="005C5C2A" w:rsidRPr="000D131F" w:rsidRDefault="005C5C2A" w:rsidP="00475BBF">
            <w:pPr>
              <w:spacing w:line="360" w:lineRule="auto"/>
              <w:jc w:val="center"/>
              <w:rPr>
                <w:rFonts w:ascii="Arial" w:eastAsia="Times New Roman" w:hAnsi="Arial" w:cs="Arial"/>
                <w:sz w:val="20"/>
                <w:szCs w:val="20"/>
              </w:rPr>
            </w:pPr>
            <w:r w:rsidRPr="000D131F">
              <w:rPr>
                <w:rFonts w:ascii="Arial" w:hAnsi="Arial" w:cs="Arial"/>
                <w:bCs/>
                <w:color w:val="000000"/>
                <w:sz w:val="20"/>
                <w:szCs w:val="20"/>
              </w:rPr>
              <w:t>8,23</w:t>
            </w:r>
          </w:p>
        </w:tc>
      </w:tr>
      <w:tr w:rsidR="005C5C2A" w:rsidRPr="000D131F" w:rsidTr="00475BBF">
        <w:trPr>
          <w:trHeight w:val="714"/>
        </w:trPr>
        <w:tc>
          <w:tcPr>
            <w:tcW w:w="1986" w:type="dxa"/>
            <w:vAlign w:val="center"/>
          </w:tcPr>
          <w:p w:rsidR="005C5C2A" w:rsidRPr="00176E6A" w:rsidRDefault="005C5C2A" w:rsidP="00475BBF">
            <w:pPr>
              <w:pStyle w:val="ParaAttribute4"/>
              <w:contextualSpacing/>
              <w:jc w:val="left"/>
              <w:rPr>
                <w:rFonts w:ascii="Arial" w:eastAsia="Times New Roman" w:hAnsi="Arial" w:cs="Arial"/>
                <w:b/>
              </w:rPr>
            </w:pPr>
            <w:r w:rsidRPr="00176E6A">
              <w:rPr>
                <w:rStyle w:val="CharAttribute17"/>
                <w:rFonts w:ascii="Arial" w:eastAsia="□□" w:hAnsi="Arial" w:cs="Arial"/>
                <w:b/>
                <w:sz w:val="20"/>
              </w:rPr>
              <w:t>Talamanca</w:t>
            </w:r>
          </w:p>
        </w:tc>
        <w:tc>
          <w:tcPr>
            <w:tcW w:w="1701" w:type="dxa"/>
          </w:tcPr>
          <w:p w:rsidR="005C5C2A" w:rsidRPr="000D131F" w:rsidRDefault="005C5C2A" w:rsidP="00475BBF">
            <w:pPr>
              <w:pStyle w:val="ParaAttribute4"/>
              <w:contextualSpacing/>
              <w:jc w:val="both"/>
              <w:rPr>
                <w:rFonts w:ascii="Arial" w:eastAsia="Times New Roman" w:hAnsi="Arial" w:cs="Arial"/>
              </w:rPr>
            </w:pPr>
            <w:r w:rsidRPr="000D131F">
              <w:rPr>
                <w:rStyle w:val="CharAttribute18"/>
                <w:rFonts w:ascii="Arial" w:eastAsia="□□" w:hAnsi="Arial" w:cs="Arial"/>
                <w:sz w:val="20"/>
              </w:rPr>
              <w:t>Cabécar</w:t>
            </w:r>
          </w:p>
          <w:p w:rsidR="005C5C2A" w:rsidRPr="000D131F" w:rsidRDefault="005C5C2A" w:rsidP="00475BBF">
            <w:pPr>
              <w:pStyle w:val="ParaAttribute4"/>
              <w:contextualSpacing/>
              <w:jc w:val="both"/>
              <w:rPr>
                <w:rFonts w:ascii="Arial" w:eastAsia="Times New Roman" w:hAnsi="Arial" w:cs="Arial"/>
              </w:rPr>
            </w:pPr>
            <w:r w:rsidRPr="000D131F">
              <w:rPr>
                <w:rStyle w:val="CharAttribute18"/>
                <w:rFonts w:ascii="Arial" w:eastAsia="□□" w:hAnsi="Arial" w:cs="Arial"/>
                <w:sz w:val="20"/>
              </w:rPr>
              <w:t>Bribri</w:t>
            </w:r>
          </w:p>
        </w:tc>
        <w:tc>
          <w:tcPr>
            <w:tcW w:w="1703" w:type="dxa"/>
            <w:vAlign w:val="center"/>
          </w:tcPr>
          <w:p w:rsidR="005C5C2A" w:rsidRPr="000D131F" w:rsidRDefault="005C5C2A" w:rsidP="00475BBF">
            <w:pPr>
              <w:contextualSpacing/>
              <w:jc w:val="center"/>
              <w:rPr>
                <w:rFonts w:ascii="Arial" w:hAnsi="Arial" w:cs="Arial"/>
                <w:color w:val="000000"/>
                <w:sz w:val="20"/>
                <w:szCs w:val="20"/>
              </w:rPr>
            </w:pPr>
            <w:r w:rsidRPr="000D131F">
              <w:rPr>
                <w:rFonts w:ascii="Arial" w:hAnsi="Arial" w:cs="Arial"/>
                <w:color w:val="000000"/>
                <w:sz w:val="20"/>
                <w:szCs w:val="20"/>
              </w:rPr>
              <w:t>82</w:t>
            </w:r>
          </w:p>
        </w:tc>
        <w:tc>
          <w:tcPr>
            <w:tcW w:w="2118" w:type="dxa"/>
            <w:vAlign w:val="center"/>
          </w:tcPr>
          <w:p w:rsidR="005C5C2A" w:rsidRPr="000D131F" w:rsidRDefault="005C5C2A" w:rsidP="00475BBF">
            <w:pPr>
              <w:jc w:val="center"/>
              <w:rPr>
                <w:rFonts w:ascii="Arial" w:eastAsia="Times New Roman" w:hAnsi="Arial" w:cs="Arial"/>
                <w:sz w:val="20"/>
                <w:szCs w:val="20"/>
              </w:rPr>
            </w:pPr>
            <w:r w:rsidRPr="000D131F">
              <w:rPr>
                <w:rFonts w:ascii="Arial" w:hAnsi="Arial" w:cs="Arial"/>
                <w:bCs/>
                <w:color w:val="000000"/>
                <w:sz w:val="20"/>
                <w:szCs w:val="20"/>
              </w:rPr>
              <w:t>22,05</w:t>
            </w:r>
          </w:p>
        </w:tc>
        <w:tc>
          <w:tcPr>
            <w:tcW w:w="2268" w:type="dxa"/>
            <w:vAlign w:val="center"/>
          </w:tcPr>
          <w:p w:rsidR="005C5C2A" w:rsidRPr="000D131F" w:rsidRDefault="005C5C2A" w:rsidP="00475BBF">
            <w:pPr>
              <w:jc w:val="center"/>
              <w:rPr>
                <w:rFonts w:ascii="Arial" w:eastAsia="Times New Roman" w:hAnsi="Arial" w:cs="Arial"/>
                <w:sz w:val="20"/>
                <w:szCs w:val="20"/>
              </w:rPr>
            </w:pPr>
            <w:r w:rsidRPr="000D131F">
              <w:rPr>
                <w:rFonts w:ascii="Arial" w:hAnsi="Arial" w:cs="Arial"/>
                <w:bCs/>
                <w:color w:val="000000"/>
                <w:sz w:val="20"/>
                <w:szCs w:val="20"/>
              </w:rPr>
              <w:t>14,49</w:t>
            </w:r>
          </w:p>
        </w:tc>
      </w:tr>
    </w:tbl>
    <w:p w:rsidR="005C5C2A" w:rsidRPr="000D131F" w:rsidRDefault="005C5C2A" w:rsidP="005C5C2A">
      <w:pPr>
        <w:pStyle w:val="ParaAttribute2"/>
        <w:spacing w:line="360" w:lineRule="auto"/>
        <w:jc w:val="both"/>
        <w:rPr>
          <w:rStyle w:val="CharAttribute12"/>
          <w:rFonts w:hAnsi="Arial" w:cs="Arial"/>
          <w:sz w:val="20"/>
        </w:rPr>
      </w:pPr>
      <w:r w:rsidRPr="000D131F">
        <w:rPr>
          <w:rStyle w:val="CharAttribute12"/>
          <w:rFonts w:hAnsi="Arial" w:cs="Arial"/>
          <w:b/>
          <w:sz w:val="20"/>
        </w:rPr>
        <w:t>Fuente:</w:t>
      </w:r>
      <w:r w:rsidRPr="000D131F">
        <w:rPr>
          <w:rStyle w:val="CharAttribute12"/>
          <w:rFonts w:hAnsi="Arial" w:cs="Arial"/>
          <w:sz w:val="20"/>
        </w:rPr>
        <w:t xml:space="preserve"> </w:t>
      </w:r>
      <w:r w:rsidR="000D131F">
        <w:rPr>
          <w:rStyle w:val="CharAttribute12"/>
          <w:rFonts w:hAnsi="Arial" w:cs="Arial"/>
          <w:sz w:val="20"/>
        </w:rPr>
        <w:t>Ministerio de Salud</w:t>
      </w:r>
      <w:r w:rsidR="002472B1" w:rsidRPr="000D131F">
        <w:rPr>
          <w:rStyle w:val="CharAttribute12"/>
          <w:rFonts w:hAnsi="Arial" w:cs="Arial"/>
          <w:sz w:val="20"/>
        </w:rPr>
        <w:t>,</w:t>
      </w:r>
      <w:r w:rsidRPr="000D131F">
        <w:rPr>
          <w:rStyle w:val="CharAttribute12"/>
          <w:rFonts w:hAnsi="Arial" w:cs="Arial"/>
          <w:sz w:val="20"/>
        </w:rPr>
        <w:t xml:space="preserve"> INEC y MIDEPLAN, 201</w:t>
      </w:r>
      <w:r w:rsidR="00B12787">
        <w:rPr>
          <w:rStyle w:val="CharAttribute12"/>
          <w:rFonts w:hAnsi="Arial" w:cs="Arial"/>
          <w:sz w:val="20"/>
        </w:rPr>
        <w:t>9</w:t>
      </w:r>
      <w:r w:rsidRPr="000D131F">
        <w:rPr>
          <w:rStyle w:val="CharAttribute12"/>
          <w:rFonts w:hAnsi="Arial" w:cs="Arial"/>
          <w:sz w:val="20"/>
        </w:rPr>
        <w:t>.</w:t>
      </w:r>
    </w:p>
    <w:p w:rsidR="005C5C2A" w:rsidRDefault="005C5C2A" w:rsidP="005C5C2A">
      <w:pPr>
        <w:pStyle w:val="ParaAttribute2"/>
        <w:spacing w:line="360" w:lineRule="auto"/>
        <w:jc w:val="both"/>
        <w:rPr>
          <w:rStyle w:val="CharAttribute3"/>
          <w:rFonts w:hAnsi="Arial" w:cs="Arial"/>
          <w:szCs w:val="24"/>
        </w:rPr>
      </w:pPr>
    </w:p>
    <w:p w:rsidR="002472B1" w:rsidRPr="00F02583" w:rsidRDefault="002472B1" w:rsidP="005C5C2A">
      <w:pPr>
        <w:pStyle w:val="ParaAttribute2"/>
        <w:spacing w:line="360" w:lineRule="auto"/>
        <w:jc w:val="both"/>
        <w:rPr>
          <w:rStyle w:val="CharAttribute3"/>
          <w:rFonts w:hAnsi="Arial" w:cs="Arial"/>
          <w:szCs w:val="24"/>
        </w:rPr>
      </w:pPr>
    </w:p>
    <w:p w:rsidR="005C5C2A" w:rsidRPr="00F92A47" w:rsidRDefault="00DD69A0" w:rsidP="00F92A47">
      <w:pPr>
        <w:pStyle w:val="Ttulo2"/>
        <w:spacing w:after="240"/>
        <w:rPr>
          <w:rFonts w:ascii="Arial" w:hAnsi="Arial" w:cs="Arial"/>
          <w:b/>
          <w:color w:val="auto"/>
        </w:rPr>
      </w:pPr>
      <w:bookmarkStart w:id="11" w:name="_Toc7439653"/>
      <w:r w:rsidRPr="00F92A47">
        <w:rPr>
          <w:rFonts w:ascii="Arial" w:hAnsi="Arial" w:cs="Arial"/>
          <w:b/>
          <w:color w:val="auto"/>
        </w:rPr>
        <w:lastRenderedPageBreak/>
        <w:t>Educación</w:t>
      </w:r>
      <w:bookmarkEnd w:id="11"/>
    </w:p>
    <w:p w:rsidR="005C5C2A" w:rsidRPr="00F02583" w:rsidRDefault="005C5C2A" w:rsidP="00DD69A0">
      <w:pPr>
        <w:pStyle w:val="ParaAttribute1"/>
        <w:spacing w:after="240" w:line="276" w:lineRule="auto"/>
        <w:rPr>
          <w:rStyle w:val="CharAttribute3"/>
          <w:rFonts w:hAnsi="Arial" w:cs="Arial"/>
          <w:szCs w:val="24"/>
        </w:rPr>
      </w:pPr>
      <w:r w:rsidRPr="00F02583">
        <w:rPr>
          <w:rStyle w:val="CharAttribute3"/>
          <w:rFonts w:hAnsi="Arial" w:cs="Arial"/>
          <w:szCs w:val="24"/>
        </w:rPr>
        <w:t>La educación es un factor esencial en la calidad de vida de las personas y en su</w:t>
      </w:r>
      <w:r w:rsidR="00DD69A0">
        <w:rPr>
          <w:rStyle w:val="CharAttribute3"/>
          <w:rFonts w:hAnsi="Arial" w:cs="Arial"/>
          <w:szCs w:val="24"/>
        </w:rPr>
        <w:t xml:space="preserve"> </w:t>
      </w:r>
      <w:r w:rsidRPr="00F02583">
        <w:rPr>
          <w:rStyle w:val="CharAttribute3"/>
          <w:rFonts w:hAnsi="Arial" w:cs="Arial"/>
          <w:szCs w:val="24"/>
        </w:rPr>
        <w:t>estado de salud, razón por la cu</w:t>
      </w:r>
      <w:r w:rsidR="00DD69A0">
        <w:rPr>
          <w:rStyle w:val="CharAttribute3"/>
          <w:rFonts w:hAnsi="Arial" w:cs="Arial"/>
          <w:szCs w:val="24"/>
        </w:rPr>
        <w:t>a</w:t>
      </w:r>
      <w:r w:rsidRPr="00F02583">
        <w:rPr>
          <w:rStyle w:val="CharAttribute3"/>
          <w:rFonts w:hAnsi="Arial" w:cs="Arial"/>
          <w:szCs w:val="24"/>
        </w:rPr>
        <w:t>l es determinante para el desarrollo humano.</w:t>
      </w:r>
    </w:p>
    <w:p w:rsidR="005C5C2A" w:rsidRPr="00F02583" w:rsidRDefault="00DD69A0" w:rsidP="00DD69A0">
      <w:pPr>
        <w:pStyle w:val="ParaAttribute1"/>
        <w:spacing w:after="240" w:line="276" w:lineRule="auto"/>
        <w:rPr>
          <w:rStyle w:val="CharAttribute3"/>
          <w:rFonts w:hAnsi="Arial" w:cs="Arial"/>
          <w:szCs w:val="24"/>
        </w:rPr>
      </w:pPr>
      <w:r>
        <w:rPr>
          <w:rStyle w:val="CharAttribute3"/>
          <w:rFonts w:hAnsi="Arial" w:cs="Arial"/>
          <w:szCs w:val="24"/>
        </w:rPr>
        <w:t>E</w:t>
      </w:r>
      <w:r w:rsidR="005C5C2A" w:rsidRPr="00F02583">
        <w:rPr>
          <w:rStyle w:val="CharAttribute3"/>
          <w:rFonts w:hAnsi="Arial" w:cs="Arial"/>
          <w:szCs w:val="24"/>
        </w:rPr>
        <w:t>l estado de bienestar aumenta de acuerdo con el nivel de educación, lo cual impacta de manera positiva en el estado de la salud por medio del acceso y la utilización efectiva y oportuna de los servicios de salud.</w:t>
      </w:r>
      <w:r w:rsidRPr="00DD69A0">
        <w:rPr>
          <w:rStyle w:val="CharAttribute3"/>
          <w:rFonts w:hAnsi="Arial" w:cs="Arial"/>
          <w:szCs w:val="24"/>
        </w:rPr>
        <w:t xml:space="preserve"> </w:t>
      </w:r>
      <w:r w:rsidRPr="00F02583">
        <w:rPr>
          <w:rStyle w:val="CharAttribute3"/>
          <w:rFonts w:hAnsi="Arial" w:cs="Arial"/>
          <w:szCs w:val="24"/>
        </w:rPr>
        <w:t>Al reconocer la educación como uno de los determinantes sociales de la salud se hace necesario analizar su impacto en el desarrollo humano.</w:t>
      </w:r>
      <w:r w:rsidR="005C5C2A" w:rsidRPr="00F02583">
        <w:rPr>
          <w:rStyle w:val="CharAttribute3"/>
          <w:rFonts w:hAnsi="Arial" w:cs="Arial"/>
          <w:szCs w:val="24"/>
        </w:rPr>
        <w:t xml:space="preserve">Si bien en Costa Rica la educación es gratuita y obligatoria desde 1869, el acceso </w:t>
      </w:r>
      <w:r>
        <w:rPr>
          <w:rStyle w:val="CharAttribute3"/>
          <w:rFonts w:hAnsi="Arial" w:cs="Arial"/>
          <w:szCs w:val="24"/>
        </w:rPr>
        <w:t xml:space="preserve">igualitario </w:t>
      </w:r>
      <w:r w:rsidR="005C5C2A" w:rsidRPr="00F02583">
        <w:rPr>
          <w:rStyle w:val="CharAttribute3"/>
          <w:rFonts w:hAnsi="Arial" w:cs="Arial"/>
          <w:szCs w:val="24"/>
        </w:rPr>
        <w:t xml:space="preserve">a </w:t>
      </w:r>
      <w:r>
        <w:rPr>
          <w:rStyle w:val="CharAttribute3"/>
          <w:rFonts w:hAnsi="Arial" w:cs="Arial"/>
          <w:szCs w:val="24"/>
        </w:rPr>
        <w:t>ésta</w:t>
      </w:r>
      <w:r w:rsidR="005C5C2A" w:rsidRPr="00F02583">
        <w:rPr>
          <w:rStyle w:val="CharAttribute3"/>
          <w:rFonts w:hAnsi="Arial" w:cs="Arial"/>
          <w:szCs w:val="24"/>
        </w:rPr>
        <w:t xml:space="preserve"> es un tema que aún tiene retos pendientes. </w:t>
      </w:r>
    </w:p>
    <w:p w:rsidR="005C5C2A" w:rsidRDefault="00DD69A0" w:rsidP="00DD69A0">
      <w:pPr>
        <w:pStyle w:val="ParaAttribute0"/>
        <w:spacing w:line="276" w:lineRule="auto"/>
        <w:rPr>
          <w:rStyle w:val="CharAttribute3"/>
          <w:rFonts w:hAnsi="Arial" w:cs="Arial"/>
          <w:szCs w:val="24"/>
        </w:rPr>
      </w:pPr>
      <w:r>
        <w:rPr>
          <w:rStyle w:val="CharAttribute3"/>
          <w:rFonts w:hAnsi="Arial" w:cs="Arial"/>
          <w:szCs w:val="24"/>
        </w:rPr>
        <w:t>El</w:t>
      </w:r>
      <w:r w:rsidR="005C5C2A" w:rsidRPr="00F02583">
        <w:rPr>
          <w:rStyle w:val="CharAttribute3"/>
          <w:rFonts w:hAnsi="Arial" w:cs="Arial"/>
          <w:szCs w:val="24"/>
        </w:rPr>
        <w:t xml:space="preserve"> Censo 2011, registr</w:t>
      </w:r>
      <w:r>
        <w:rPr>
          <w:rStyle w:val="CharAttribute3"/>
          <w:rFonts w:hAnsi="Arial" w:cs="Arial"/>
          <w:szCs w:val="24"/>
        </w:rPr>
        <w:t>ó</w:t>
      </w:r>
      <w:r w:rsidR="005C5C2A" w:rsidRPr="00F02583">
        <w:rPr>
          <w:rStyle w:val="CharAttribute3"/>
          <w:rFonts w:hAnsi="Arial" w:cs="Arial"/>
          <w:szCs w:val="24"/>
        </w:rPr>
        <w:t xml:space="preserve"> una tasa de alfabetización de 97,6%, superando los datos del censo anterior. La diferencia sigue siendo evidente en algunas regiones con mayor desventaja social. Si se observa el siguiente cuadro, Alajuela y San José poseen la mayor cantidad de población </w:t>
      </w:r>
      <w:r w:rsidR="003C6E54">
        <w:rPr>
          <w:rStyle w:val="CharAttribute3"/>
          <w:rFonts w:hAnsi="Arial" w:cs="Arial"/>
          <w:szCs w:val="24"/>
        </w:rPr>
        <w:t>con desventaja soci</w:t>
      </w:r>
      <w:r>
        <w:rPr>
          <w:rStyle w:val="CharAttribute3"/>
          <w:rFonts w:hAnsi="Arial" w:cs="Arial"/>
          <w:szCs w:val="24"/>
        </w:rPr>
        <w:t>al</w:t>
      </w:r>
      <w:r w:rsidR="003C6E54">
        <w:rPr>
          <w:rStyle w:val="CharAttribute3"/>
          <w:rFonts w:hAnsi="Arial" w:cs="Arial"/>
          <w:szCs w:val="24"/>
        </w:rPr>
        <w:t>;</w:t>
      </w:r>
      <w:r w:rsidR="005C5C2A" w:rsidRPr="00F02583">
        <w:rPr>
          <w:rStyle w:val="CharAttribute3"/>
          <w:rFonts w:hAnsi="Arial" w:cs="Arial"/>
          <w:szCs w:val="24"/>
        </w:rPr>
        <w:t xml:space="preserve"> sin embargo, las diferencias entre hombre y mujeres son mínimas en cada provincia.</w:t>
      </w:r>
    </w:p>
    <w:p w:rsidR="002472B1" w:rsidRDefault="002472B1">
      <w:pPr>
        <w:spacing w:after="160" w:line="259" w:lineRule="auto"/>
        <w:rPr>
          <w:rStyle w:val="CharAttribute3"/>
          <w:rFonts w:hAnsi="Arial" w:cs="Arial"/>
          <w:lang w:val="es-CR" w:eastAsia="es-CR"/>
        </w:rPr>
      </w:pPr>
      <w:r>
        <w:rPr>
          <w:rStyle w:val="CharAttribute3"/>
          <w:rFonts w:hAnsi="Arial" w:cs="Arial"/>
        </w:rPr>
        <w:br w:type="page"/>
      </w:r>
    </w:p>
    <w:p w:rsidR="002472B1" w:rsidRPr="002472B1" w:rsidRDefault="005C5C2A" w:rsidP="002472B1">
      <w:pPr>
        <w:pStyle w:val="ParaAttribute0"/>
        <w:spacing w:after="0"/>
        <w:jc w:val="center"/>
        <w:rPr>
          <w:rStyle w:val="CharAttribute3"/>
          <w:rFonts w:hAnsi="Arial" w:cs="Arial"/>
          <w:b/>
          <w:szCs w:val="24"/>
        </w:rPr>
      </w:pPr>
      <w:r w:rsidRPr="002472B1">
        <w:rPr>
          <w:rStyle w:val="CharAttribute3"/>
          <w:rFonts w:hAnsi="Arial" w:cs="Arial"/>
          <w:b/>
          <w:szCs w:val="24"/>
        </w:rPr>
        <w:lastRenderedPageBreak/>
        <w:t xml:space="preserve">Cuadro </w:t>
      </w:r>
      <w:r w:rsidR="002472B1">
        <w:rPr>
          <w:rStyle w:val="CharAttribute3"/>
          <w:rFonts w:hAnsi="Arial" w:cs="Arial"/>
          <w:b/>
          <w:szCs w:val="24"/>
        </w:rPr>
        <w:t>7</w:t>
      </w:r>
    </w:p>
    <w:p w:rsidR="005C5C2A" w:rsidRPr="002472B1" w:rsidRDefault="00376406" w:rsidP="002472B1">
      <w:pPr>
        <w:pStyle w:val="ParaAttribute0"/>
        <w:jc w:val="center"/>
        <w:rPr>
          <w:rStyle w:val="CharAttribute3"/>
          <w:rFonts w:hAnsi="Arial" w:cs="Arial"/>
          <w:b/>
          <w:szCs w:val="24"/>
        </w:rPr>
      </w:pPr>
      <w:r>
        <w:rPr>
          <w:rStyle w:val="CharAttribute3"/>
          <w:rFonts w:hAnsi="Arial" w:cs="Arial"/>
          <w:b/>
          <w:szCs w:val="24"/>
        </w:rPr>
        <w:t xml:space="preserve">Costa Rica: </w:t>
      </w:r>
      <w:r w:rsidR="005C5C2A" w:rsidRPr="002472B1">
        <w:rPr>
          <w:rStyle w:val="CharAttribute3"/>
          <w:rFonts w:hAnsi="Arial" w:cs="Arial"/>
          <w:b/>
          <w:szCs w:val="24"/>
        </w:rPr>
        <w:t xml:space="preserve">Población de 10 años y más </w:t>
      </w:r>
      <w:r w:rsidR="003C6E54">
        <w:rPr>
          <w:rStyle w:val="CharAttribute3"/>
          <w:rFonts w:hAnsi="Arial" w:cs="Arial"/>
          <w:b/>
          <w:szCs w:val="24"/>
        </w:rPr>
        <w:t xml:space="preserve">según </w:t>
      </w:r>
      <w:r w:rsidR="005C5C2A" w:rsidRPr="002472B1">
        <w:rPr>
          <w:rStyle w:val="CharAttribute3"/>
          <w:rFonts w:hAnsi="Arial" w:cs="Arial"/>
          <w:b/>
          <w:szCs w:val="24"/>
        </w:rPr>
        <w:t>condición de alfabetismo</w:t>
      </w:r>
      <w:r w:rsidR="003C6E54">
        <w:rPr>
          <w:rStyle w:val="CharAttribute3"/>
          <w:rFonts w:hAnsi="Arial" w:cs="Arial"/>
          <w:b/>
          <w:szCs w:val="24"/>
        </w:rPr>
        <w:t xml:space="preserve">, </w:t>
      </w:r>
      <w:r w:rsidR="005C5C2A" w:rsidRPr="002472B1">
        <w:rPr>
          <w:rStyle w:val="CharAttribute3"/>
          <w:rFonts w:hAnsi="Arial" w:cs="Arial"/>
          <w:b/>
          <w:szCs w:val="24"/>
        </w:rPr>
        <w:t xml:space="preserve">sexo </w:t>
      </w:r>
      <w:r w:rsidR="003C6E54">
        <w:rPr>
          <w:rStyle w:val="CharAttribute3"/>
          <w:rFonts w:hAnsi="Arial" w:cs="Arial"/>
          <w:b/>
          <w:szCs w:val="24"/>
        </w:rPr>
        <w:t xml:space="preserve">y provincia, </w:t>
      </w:r>
      <w:r w:rsidR="005C5C2A" w:rsidRPr="002472B1">
        <w:rPr>
          <w:rStyle w:val="CharAttribute3"/>
          <w:rFonts w:hAnsi="Arial" w:cs="Arial"/>
          <w:b/>
          <w:szCs w:val="24"/>
        </w:rPr>
        <w:t>2011</w:t>
      </w:r>
    </w:p>
    <w:tbl>
      <w:tblPr>
        <w:tblStyle w:val="Tabladecuadrcula4-nfasis11"/>
        <w:tblW w:w="8601" w:type="dxa"/>
        <w:tblLook w:val="04A0" w:firstRow="1" w:lastRow="0" w:firstColumn="1" w:lastColumn="0" w:noHBand="0" w:noVBand="1"/>
      </w:tblPr>
      <w:tblGrid>
        <w:gridCol w:w="1715"/>
        <w:gridCol w:w="1942"/>
        <w:gridCol w:w="1690"/>
        <w:gridCol w:w="1538"/>
        <w:gridCol w:w="1716"/>
      </w:tblGrid>
      <w:tr w:rsidR="00475BBF" w:rsidRPr="00F02583" w:rsidTr="00376406">
        <w:trPr>
          <w:cnfStyle w:val="100000000000" w:firstRow="1" w:lastRow="0" w:firstColumn="0" w:lastColumn="0" w:oddVBand="0" w:evenVBand="0" w:oddHBand="0"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715" w:type="dxa"/>
            <w:vMerge w:val="restart"/>
            <w:tcBorders>
              <w:top w:val="single" w:sz="4" w:space="0" w:color="auto"/>
            </w:tcBorders>
            <w:shd w:val="clear" w:color="auto" w:fill="D5DCE4" w:themeFill="text2" w:themeFillTint="33"/>
            <w:noWrap/>
            <w:vAlign w:val="center"/>
            <w:hideMark/>
          </w:tcPr>
          <w:p w:rsidR="00475BBF" w:rsidRPr="00475BBF" w:rsidRDefault="00475BBF" w:rsidP="00475BBF">
            <w:pPr>
              <w:spacing w:line="360" w:lineRule="auto"/>
              <w:rPr>
                <w:rFonts w:ascii="Arial" w:eastAsia="Times New Roman" w:hAnsi="Arial" w:cs="Arial"/>
                <w:color w:val="auto"/>
                <w:lang w:eastAsia="es-CR"/>
              </w:rPr>
            </w:pPr>
            <w:r w:rsidRPr="00475BBF">
              <w:rPr>
                <w:rFonts w:ascii="Arial" w:eastAsia="Times New Roman" w:hAnsi="Arial" w:cs="Arial"/>
                <w:color w:val="auto"/>
                <w:lang w:eastAsia="es-CR"/>
              </w:rPr>
              <w:t> Provincia</w:t>
            </w:r>
          </w:p>
        </w:tc>
        <w:tc>
          <w:tcPr>
            <w:tcW w:w="3632" w:type="dxa"/>
            <w:gridSpan w:val="2"/>
            <w:tcBorders>
              <w:top w:val="single" w:sz="4" w:space="0" w:color="auto"/>
              <w:bottom w:val="single" w:sz="4" w:space="0" w:color="auto"/>
            </w:tcBorders>
            <w:shd w:val="clear" w:color="auto" w:fill="D5DCE4" w:themeFill="text2" w:themeFillTint="33"/>
            <w:noWrap/>
            <w:hideMark/>
          </w:tcPr>
          <w:p w:rsidR="00475BBF" w:rsidRPr="00475BBF"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eastAsia="es-CR"/>
              </w:rPr>
            </w:pPr>
            <w:r w:rsidRPr="00475BBF">
              <w:rPr>
                <w:rFonts w:ascii="Arial" w:eastAsia="Times New Roman" w:hAnsi="Arial" w:cs="Arial"/>
                <w:color w:val="auto"/>
                <w:lang w:eastAsia="es-CR"/>
              </w:rPr>
              <w:t>Alfabetismo</w:t>
            </w:r>
          </w:p>
        </w:tc>
        <w:tc>
          <w:tcPr>
            <w:tcW w:w="3254" w:type="dxa"/>
            <w:gridSpan w:val="2"/>
            <w:tcBorders>
              <w:top w:val="single" w:sz="4" w:space="0" w:color="auto"/>
              <w:bottom w:val="single" w:sz="4" w:space="0" w:color="auto"/>
            </w:tcBorders>
            <w:shd w:val="clear" w:color="auto" w:fill="D5DCE4" w:themeFill="text2" w:themeFillTint="33"/>
            <w:noWrap/>
            <w:hideMark/>
          </w:tcPr>
          <w:p w:rsidR="00475BBF" w:rsidRPr="00475BBF"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eastAsia="es-CR"/>
              </w:rPr>
            </w:pPr>
            <w:r w:rsidRPr="00475BBF">
              <w:rPr>
                <w:rFonts w:ascii="Arial" w:eastAsia="Times New Roman" w:hAnsi="Arial" w:cs="Arial"/>
                <w:color w:val="auto"/>
                <w:lang w:eastAsia="es-CR"/>
              </w:rPr>
              <w:t>Analfabetismo</w:t>
            </w:r>
          </w:p>
        </w:tc>
      </w:tr>
      <w:tr w:rsidR="00475BBF" w:rsidRPr="00F02583" w:rsidTr="00376406">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1715" w:type="dxa"/>
            <w:vMerge/>
            <w:tcBorders>
              <w:bottom w:val="single" w:sz="4" w:space="0" w:color="auto"/>
            </w:tcBorders>
            <w:shd w:val="clear" w:color="auto" w:fill="D5DCE4" w:themeFill="text2" w:themeFillTint="33"/>
            <w:noWrap/>
            <w:hideMark/>
          </w:tcPr>
          <w:p w:rsidR="00475BBF" w:rsidRPr="00F02583" w:rsidRDefault="00475BBF" w:rsidP="00475BBF">
            <w:pPr>
              <w:spacing w:line="360" w:lineRule="auto"/>
              <w:rPr>
                <w:rFonts w:ascii="Arial" w:eastAsia="Times New Roman" w:hAnsi="Arial" w:cs="Arial"/>
                <w:lang w:eastAsia="es-CR"/>
              </w:rPr>
            </w:pPr>
          </w:p>
        </w:tc>
        <w:tc>
          <w:tcPr>
            <w:tcW w:w="1942" w:type="dxa"/>
            <w:tcBorders>
              <w:top w:val="single" w:sz="4" w:space="0" w:color="auto"/>
              <w:bottom w:val="single" w:sz="4" w:space="0" w:color="auto"/>
              <w:right w:val="nil"/>
            </w:tcBorders>
            <w:shd w:val="clear" w:color="auto" w:fill="D5DCE4" w:themeFill="text2" w:themeFillTint="33"/>
            <w:hideMark/>
          </w:tcPr>
          <w:p w:rsidR="00475BBF" w:rsidRPr="003C6E5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lang w:eastAsia="es-CR"/>
              </w:rPr>
            </w:pPr>
            <w:r w:rsidRPr="003C6E54">
              <w:rPr>
                <w:rFonts w:ascii="Arial" w:eastAsia="Times New Roman" w:hAnsi="Arial" w:cs="Arial"/>
                <w:b/>
                <w:color w:val="000000"/>
                <w:lang w:eastAsia="es-CR"/>
              </w:rPr>
              <w:t>Hombres</w:t>
            </w:r>
          </w:p>
        </w:tc>
        <w:tc>
          <w:tcPr>
            <w:tcW w:w="1690" w:type="dxa"/>
            <w:tcBorders>
              <w:top w:val="single" w:sz="4" w:space="0" w:color="auto"/>
              <w:left w:val="nil"/>
              <w:bottom w:val="single" w:sz="4" w:space="0" w:color="auto"/>
              <w:right w:val="nil"/>
            </w:tcBorders>
            <w:shd w:val="clear" w:color="auto" w:fill="D5DCE4" w:themeFill="text2" w:themeFillTint="33"/>
            <w:hideMark/>
          </w:tcPr>
          <w:p w:rsidR="00475BBF" w:rsidRPr="003C6E5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lang w:eastAsia="es-CR"/>
              </w:rPr>
            </w:pPr>
            <w:r w:rsidRPr="003C6E54">
              <w:rPr>
                <w:rFonts w:ascii="Arial" w:eastAsia="Times New Roman" w:hAnsi="Arial" w:cs="Arial"/>
                <w:b/>
                <w:color w:val="000000"/>
                <w:lang w:eastAsia="es-CR"/>
              </w:rPr>
              <w:t>Mujeres</w:t>
            </w:r>
          </w:p>
        </w:tc>
        <w:tc>
          <w:tcPr>
            <w:tcW w:w="1538" w:type="dxa"/>
            <w:tcBorders>
              <w:top w:val="single" w:sz="4" w:space="0" w:color="auto"/>
              <w:left w:val="nil"/>
              <w:bottom w:val="single" w:sz="4" w:space="0" w:color="auto"/>
              <w:right w:val="nil"/>
            </w:tcBorders>
            <w:shd w:val="clear" w:color="auto" w:fill="D5DCE4" w:themeFill="text2" w:themeFillTint="33"/>
            <w:hideMark/>
          </w:tcPr>
          <w:p w:rsidR="00475BBF" w:rsidRPr="003C6E5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lang w:eastAsia="es-CR"/>
              </w:rPr>
            </w:pPr>
            <w:r w:rsidRPr="003C6E54">
              <w:rPr>
                <w:rFonts w:ascii="Arial" w:eastAsia="Times New Roman" w:hAnsi="Arial" w:cs="Arial"/>
                <w:b/>
                <w:color w:val="000000"/>
                <w:lang w:eastAsia="es-CR"/>
              </w:rPr>
              <w:t>Hombres</w:t>
            </w:r>
          </w:p>
        </w:tc>
        <w:tc>
          <w:tcPr>
            <w:tcW w:w="1716" w:type="dxa"/>
            <w:tcBorders>
              <w:top w:val="single" w:sz="4" w:space="0" w:color="auto"/>
              <w:left w:val="nil"/>
              <w:bottom w:val="single" w:sz="4" w:space="0" w:color="auto"/>
              <w:right w:val="nil"/>
            </w:tcBorders>
            <w:shd w:val="clear" w:color="auto" w:fill="D5DCE4" w:themeFill="text2" w:themeFillTint="33"/>
            <w:hideMark/>
          </w:tcPr>
          <w:p w:rsidR="00475BBF" w:rsidRPr="003C6E5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lang w:eastAsia="es-CR"/>
              </w:rPr>
            </w:pPr>
            <w:r w:rsidRPr="003C6E54">
              <w:rPr>
                <w:rFonts w:ascii="Arial" w:eastAsia="Times New Roman" w:hAnsi="Arial" w:cs="Arial"/>
                <w:b/>
                <w:color w:val="000000"/>
                <w:lang w:eastAsia="es-CR"/>
              </w:rPr>
              <w:t>Mujeres</w:t>
            </w:r>
          </w:p>
        </w:tc>
      </w:tr>
      <w:tr w:rsidR="005C5C2A" w:rsidRPr="00F02583" w:rsidTr="00475BBF">
        <w:trPr>
          <w:trHeight w:val="248"/>
        </w:trPr>
        <w:tc>
          <w:tcPr>
            <w:cnfStyle w:val="001000000000" w:firstRow="0" w:lastRow="0" w:firstColumn="1" w:lastColumn="0" w:oddVBand="0" w:evenVBand="0" w:oddHBand="0" w:evenHBand="0" w:firstRowFirstColumn="0" w:firstRowLastColumn="0" w:lastRowFirstColumn="0" w:lastRowLastColumn="0"/>
            <w:tcW w:w="1715" w:type="dxa"/>
            <w:tcBorders>
              <w:top w:val="single" w:sz="4" w:space="0" w:color="auto"/>
              <w:left w:val="nil"/>
              <w:bottom w:val="nil"/>
              <w:right w:val="nil"/>
            </w:tcBorders>
            <w:shd w:val="clear" w:color="auto" w:fill="FFFFFF" w:themeFill="background1"/>
            <w:hideMark/>
          </w:tcPr>
          <w:p w:rsidR="005C5C2A" w:rsidRPr="00F02583" w:rsidRDefault="005C5C2A" w:rsidP="00475BBF">
            <w:pPr>
              <w:spacing w:line="360" w:lineRule="auto"/>
              <w:rPr>
                <w:rFonts w:ascii="Arial" w:eastAsia="Times New Roman" w:hAnsi="Arial" w:cs="Arial"/>
                <w:b w:val="0"/>
                <w:bCs w:val="0"/>
                <w:color w:val="000000"/>
                <w:lang w:eastAsia="es-CR"/>
              </w:rPr>
            </w:pPr>
            <w:r w:rsidRPr="00F02583">
              <w:rPr>
                <w:rFonts w:ascii="Arial" w:eastAsia="Times New Roman" w:hAnsi="Arial" w:cs="Arial"/>
                <w:b w:val="0"/>
                <w:bCs w:val="0"/>
                <w:color w:val="000000"/>
                <w:lang w:eastAsia="es-CR"/>
              </w:rPr>
              <w:t>San José</w:t>
            </w:r>
          </w:p>
        </w:tc>
        <w:tc>
          <w:tcPr>
            <w:tcW w:w="1942" w:type="dxa"/>
            <w:tcBorders>
              <w:top w:val="single" w:sz="4" w:space="0" w:color="auto"/>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560</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784</w:t>
            </w:r>
          </w:p>
        </w:tc>
        <w:tc>
          <w:tcPr>
            <w:tcW w:w="1690" w:type="dxa"/>
            <w:tcBorders>
              <w:top w:val="single" w:sz="4" w:space="0" w:color="auto"/>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625</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179</w:t>
            </w:r>
          </w:p>
        </w:tc>
        <w:tc>
          <w:tcPr>
            <w:tcW w:w="1538" w:type="dxa"/>
            <w:tcBorders>
              <w:top w:val="single" w:sz="4" w:space="0" w:color="auto"/>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8</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775</w:t>
            </w:r>
          </w:p>
        </w:tc>
        <w:tc>
          <w:tcPr>
            <w:tcW w:w="1716" w:type="dxa"/>
            <w:tcBorders>
              <w:top w:val="single" w:sz="4" w:space="0" w:color="auto"/>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9</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364</w:t>
            </w:r>
          </w:p>
        </w:tc>
      </w:tr>
      <w:tr w:rsidR="005C5C2A" w:rsidRPr="00F02583" w:rsidTr="00475BB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715" w:type="dxa"/>
            <w:tcBorders>
              <w:top w:val="nil"/>
              <w:left w:val="nil"/>
              <w:bottom w:val="nil"/>
              <w:right w:val="nil"/>
            </w:tcBorders>
            <w:shd w:val="clear" w:color="auto" w:fill="FFFFFF" w:themeFill="background1"/>
            <w:hideMark/>
          </w:tcPr>
          <w:p w:rsidR="005C5C2A" w:rsidRPr="00F02583" w:rsidRDefault="005C5C2A" w:rsidP="00475BBF">
            <w:pPr>
              <w:spacing w:line="360" w:lineRule="auto"/>
              <w:rPr>
                <w:rFonts w:ascii="Arial" w:eastAsia="Times New Roman" w:hAnsi="Arial" w:cs="Arial"/>
                <w:b w:val="0"/>
                <w:bCs w:val="0"/>
                <w:color w:val="000000"/>
                <w:lang w:eastAsia="es-CR"/>
              </w:rPr>
            </w:pPr>
            <w:r w:rsidRPr="00F02583">
              <w:rPr>
                <w:rFonts w:ascii="Arial" w:eastAsia="Times New Roman" w:hAnsi="Arial" w:cs="Arial"/>
                <w:b w:val="0"/>
                <w:bCs w:val="0"/>
                <w:color w:val="000000"/>
                <w:lang w:eastAsia="es-CR"/>
              </w:rPr>
              <w:t>Alajuela</w:t>
            </w:r>
          </w:p>
        </w:tc>
        <w:tc>
          <w:tcPr>
            <w:tcW w:w="1942"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339</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411</w:t>
            </w:r>
          </w:p>
        </w:tc>
        <w:tc>
          <w:tcPr>
            <w:tcW w:w="1690"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349</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693</w:t>
            </w:r>
          </w:p>
        </w:tc>
        <w:tc>
          <w:tcPr>
            <w:tcW w:w="1538"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11</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196</w:t>
            </w:r>
          </w:p>
        </w:tc>
        <w:tc>
          <w:tcPr>
            <w:tcW w:w="1716"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10</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209</w:t>
            </w:r>
          </w:p>
        </w:tc>
      </w:tr>
      <w:tr w:rsidR="005C5C2A" w:rsidRPr="00F02583" w:rsidTr="00475BBF">
        <w:trPr>
          <w:trHeight w:val="248"/>
        </w:trPr>
        <w:tc>
          <w:tcPr>
            <w:cnfStyle w:val="001000000000" w:firstRow="0" w:lastRow="0" w:firstColumn="1" w:lastColumn="0" w:oddVBand="0" w:evenVBand="0" w:oddHBand="0" w:evenHBand="0" w:firstRowFirstColumn="0" w:firstRowLastColumn="0" w:lastRowFirstColumn="0" w:lastRowLastColumn="0"/>
            <w:tcW w:w="1715" w:type="dxa"/>
            <w:tcBorders>
              <w:top w:val="nil"/>
              <w:left w:val="nil"/>
              <w:bottom w:val="nil"/>
              <w:right w:val="nil"/>
            </w:tcBorders>
            <w:shd w:val="clear" w:color="auto" w:fill="FFFFFF" w:themeFill="background1"/>
            <w:hideMark/>
          </w:tcPr>
          <w:p w:rsidR="005C5C2A" w:rsidRPr="00F02583" w:rsidRDefault="005C5C2A" w:rsidP="00475BBF">
            <w:pPr>
              <w:spacing w:line="360" w:lineRule="auto"/>
              <w:rPr>
                <w:rFonts w:ascii="Arial" w:eastAsia="Times New Roman" w:hAnsi="Arial" w:cs="Arial"/>
                <w:b w:val="0"/>
                <w:bCs w:val="0"/>
                <w:color w:val="000000"/>
                <w:lang w:eastAsia="es-CR"/>
              </w:rPr>
            </w:pPr>
            <w:r w:rsidRPr="00F02583">
              <w:rPr>
                <w:rFonts w:ascii="Arial" w:eastAsia="Times New Roman" w:hAnsi="Arial" w:cs="Arial"/>
                <w:b w:val="0"/>
                <w:bCs w:val="0"/>
                <w:color w:val="000000"/>
                <w:lang w:eastAsia="es-CR"/>
              </w:rPr>
              <w:t>Cartago</w:t>
            </w:r>
          </w:p>
        </w:tc>
        <w:tc>
          <w:tcPr>
            <w:tcW w:w="1942"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198</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588</w:t>
            </w:r>
          </w:p>
        </w:tc>
        <w:tc>
          <w:tcPr>
            <w:tcW w:w="1690"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208</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457</w:t>
            </w:r>
          </w:p>
        </w:tc>
        <w:tc>
          <w:tcPr>
            <w:tcW w:w="1538"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4</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205</w:t>
            </w:r>
          </w:p>
        </w:tc>
        <w:tc>
          <w:tcPr>
            <w:tcW w:w="1716"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4</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494</w:t>
            </w:r>
          </w:p>
        </w:tc>
      </w:tr>
      <w:tr w:rsidR="005C5C2A" w:rsidRPr="00F02583" w:rsidTr="00475BB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715" w:type="dxa"/>
            <w:tcBorders>
              <w:top w:val="nil"/>
              <w:left w:val="nil"/>
              <w:bottom w:val="nil"/>
              <w:right w:val="nil"/>
            </w:tcBorders>
            <w:shd w:val="clear" w:color="auto" w:fill="FFFFFF" w:themeFill="background1"/>
            <w:hideMark/>
          </w:tcPr>
          <w:p w:rsidR="005C5C2A" w:rsidRPr="00F02583" w:rsidRDefault="005C5C2A" w:rsidP="00475BBF">
            <w:pPr>
              <w:spacing w:line="360" w:lineRule="auto"/>
              <w:rPr>
                <w:rFonts w:ascii="Arial" w:eastAsia="Times New Roman" w:hAnsi="Arial" w:cs="Arial"/>
                <w:b w:val="0"/>
                <w:bCs w:val="0"/>
                <w:color w:val="000000"/>
                <w:lang w:eastAsia="es-CR"/>
              </w:rPr>
            </w:pPr>
            <w:r w:rsidRPr="00F02583">
              <w:rPr>
                <w:rFonts w:ascii="Arial" w:eastAsia="Times New Roman" w:hAnsi="Arial" w:cs="Arial"/>
                <w:b w:val="0"/>
                <w:bCs w:val="0"/>
                <w:color w:val="000000"/>
                <w:lang w:eastAsia="es-CR"/>
              </w:rPr>
              <w:t>Heredia</w:t>
            </w:r>
          </w:p>
        </w:tc>
        <w:tc>
          <w:tcPr>
            <w:tcW w:w="1942"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176</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104</w:t>
            </w:r>
          </w:p>
        </w:tc>
        <w:tc>
          <w:tcPr>
            <w:tcW w:w="1690"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188</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365</w:t>
            </w:r>
          </w:p>
        </w:tc>
        <w:tc>
          <w:tcPr>
            <w:tcW w:w="1538"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3</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086</w:t>
            </w:r>
          </w:p>
        </w:tc>
        <w:tc>
          <w:tcPr>
            <w:tcW w:w="1716"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2</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963</w:t>
            </w:r>
          </w:p>
        </w:tc>
      </w:tr>
      <w:tr w:rsidR="005C5C2A" w:rsidRPr="00F02583" w:rsidTr="00475BBF">
        <w:trPr>
          <w:trHeight w:val="248"/>
        </w:trPr>
        <w:tc>
          <w:tcPr>
            <w:cnfStyle w:val="001000000000" w:firstRow="0" w:lastRow="0" w:firstColumn="1" w:lastColumn="0" w:oddVBand="0" w:evenVBand="0" w:oddHBand="0" w:evenHBand="0" w:firstRowFirstColumn="0" w:firstRowLastColumn="0" w:lastRowFirstColumn="0" w:lastRowLastColumn="0"/>
            <w:tcW w:w="1715" w:type="dxa"/>
            <w:tcBorders>
              <w:top w:val="nil"/>
              <w:left w:val="nil"/>
              <w:bottom w:val="nil"/>
              <w:right w:val="nil"/>
            </w:tcBorders>
            <w:shd w:val="clear" w:color="auto" w:fill="FFFFFF" w:themeFill="background1"/>
            <w:hideMark/>
          </w:tcPr>
          <w:p w:rsidR="005C5C2A" w:rsidRPr="00F02583" w:rsidRDefault="005C5C2A" w:rsidP="00475BBF">
            <w:pPr>
              <w:spacing w:line="360" w:lineRule="auto"/>
              <w:rPr>
                <w:rFonts w:ascii="Arial" w:eastAsia="Times New Roman" w:hAnsi="Arial" w:cs="Arial"/>
                <w:b w:val="0"/>
                <w:bCs w:val="0"/>
                <w:color w:val="000000"/>
                <w:lang w:eastAsia="es-CR"/>
              </w:rPr>
            </w:pPr>
            <w:r w:rsidRPr="00F02583">
              <w:rPr>
                <w:rFonts w:ascii="Arial" w:eastAsia="Times New Roman" w:hAnsi="Arial" w:cs="Arial"/>
                <w:b w:val="0"/>
                <w:bCs w:val="0"/>
                <w:color w:val="000000"/>
                <w:lang w:eastAsia="es-CR"/>
              </w:rPr>
              <w:t>Guanacaste</w:t>
            </w:r>
          </w:p>
        </w:tc>
        <w:tc>
          <w:tcPr>
            <w:tcW w:w="1942" w:type="dxa"/>
            <w:tcBorders>
              <w:top w:val="nil"/>
              <w:left w:val="nil"/>
              <w:bottom w:val="nil"/>
              <w:right w:val="nil"/>
            </w:tcBorders>
            <w:shd w:val="clear" w:color="auto" w:fill="FFFFFF" w:themeFill="background1"/>
            <w:hideMark/>
          </w:tcPr>
          <w:p w:rsidR="005C5C2A" w:rsidRPr="00F02583" w:rsidRDefault="003C6E54"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Pr>
                <w:rFonts w:ascii="Arial" w:eastAsia="Times New Roman" w:hAnsi="Arial" w:cs="Arial"/>
                <w:bCs/>
                <w:color w:val="000000"/>
                <w:lang w:eastAsia="es-CR"/>
              </w:rPr>
              <w:t>129.</w:t>
            </w:r>
            <w:r w:rsidR="005C5C2A" w:rsidRPr="00F02583">
              <w:rPr>
                <w:rFonts w:ascii="Arial" w:eastAsia="Times New Roman" w:hAnsi="Arial" w:cs="Arial"/>
                <w:bCs/>
                <w:color w:val="000000"/>
                <w:lang w:eastAsia="es-CR"/>
              </w:rPr>
              <w:t>514</w:t>
            </w:r>
          </w:p>
        </w:tc>
        <w:tc>
          <w:tcPr>
            <w:tcW w:w="1690"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134</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366</w:t>
            </w:r>
          </w:p>
        </w:tc>
        <w:tc>
          <w:tcPr>
            <w:tcW w:w="1538"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4</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263</w:t>
            </w:r>
          </w:p>
        </w:tc>
        <w:tc>
          <w:tcPr>
            <w:tcW w:w="1716"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3</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845</w:t>
            </w:r>
          </w:p>
        </w:tc>
      </w:tr>
      <w:tr w:rsidR="005C5C2A" w:rsidRPr="00F02583" w:rsidTr="00475BBF">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715" w:type="dxa"/>
            <w:tcBorders>
              <w:top w:val="nil"/>
              <w:left w:val="nil"/>
              <w:bottom w:val="nil"/>
              <w:right w:val="nil"/>
            </w:tcBorders>
            <w:shd w:val="clear" w:color="auto" w:fill="FFFFFF" w:themeFill="background1"/>
            <w:hideMark/>
          </w:tcPr>
          <w:p w:rsidR="005C5C2A" w:rsidRPr="00F02583" w:rsidRDefault="005C5C2A" w:rsidP="00475BBF">
            <w:pPr>
              <w:spacing w:line="360" w:lineRule="auto"/>
              <w:rPr>
                <w:rFonts w:ascii="Arial" w:eastAsia="Times New Roman" w:hAnsi="Arial" w:cs="Arial"/>
                <w:b w:val="0"/>
                <w:bCs w:val="0"/>
                <w:color w:val="000000"/>
                <w:lang w:eastAsia="es-CR"/>
              </w:rPr>
            </w:pPr>
            <w:r w:rsidRPr="00F02583">
              <w:rPr>
                <w:rFonts w:ascii="Arial" w:eastAsia="Times New Roman" w:hAnsi="Arial" w:cs="Arial"/>
                <w:b w:val="0"/>
                <w:bCs w:val="0"/>
                <w:color w:val="000000"/>
                <w:lang w:eastAsia="es-CR"/>
              </w:rPr>
              <w:t>Puntarenas</w:t>
            </w:r>
          </w:p>
        </w:tc>
        <w:tc>
          <w:tcPr>
            <w:tcW w:w="1942" w:type="dxa"/>
            <w:tcBorders>
              <w:top w:val="nil"/>
              <w:left w:val="nil"/>
              <w:bottom w:val="nil"/>
              <w:right w:val="nil"/>
            </w:tcBorders>
            <w:shd w:val="clear" w:color="auto" w:fill="FFFFFF" w:themeFill="background1"/>
            <w:hideMark/>
          </w:tcPr>
          <w:p w:rsidR="005C5C2A" w:rsidRPr="00F02583" w:rsidRDefault="003C6E54"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Pr>
                <w:rFonts w:ascii="Arial" w:eastAsia="Times New Roman" w:hAnsi="Arial" w:cs="Arial"/>
                <w:bCs/>
                <w:color w:val="000000"/>
                <w:lang w:eastAsia="es-CR"/>
              </w:rPr>
              <w:t>161.</w:t>
            </w:r>
            <w:r w:rsidR="005C5C2A" w:rsidRPr="00F02583">
              <w:rPr>
                <w:rFonts w:ascii="Arial" w:eastAsia="Times New Roman" w:hAnsi="Arial" w:cs="Arial"/>
                <w:bCs/>
                <w:color w:val="000000"/>
                <w:lang w:eastAsia="es-CR"/>
              </w:rPr>
              <w:t>438</w:t>
            </w:r>
          </w:p>
        </w:tc>
        <w:tc>
          <w:tcPr>
            <w:tcW w:w="1690"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162</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590</w:t>
            </w:r>
          </w:p>
        </w:tc>
        <w:tc>
          <w:tcPr>
            <w:tcW w:w="1538"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6</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574</w:t>
            </w:r>
          </w:p>
        </w:tc>
        <w:tc>
          <w:tcPr>
            <w:tcW w:w="1716" w:type="dxa"/>
            <w:tcBorders>
              <w:top w:val="nil"/>
              <w:left w:val="nil"/>
              <w:bottom w:val="nil"/>
              <w:right w:val="nil"/>
            </w:tcBorders>
            <w:shd w:val="clear" w:color="auto" w:fill="FFFFFF" w:themeFill="background1"/>
            <w:hideMark/>
          </w:tcPr>
          <w:p w:rsidR="005C5C2A" w:rsidRPr="00F02583" w:rsidRDefault="005C5C2A" w:rsidP="003C6E54">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6</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278</w:t>
            </w:r>
          </w:p>
        </w:tc>
      </w:tr>
      <w:tr w:rsidR="005C5C2A" w:rsidRPr="00F02583" w:rsidTr="00475BBF">
        <w:trPr>
          <w:trHeight w:val="248"/>
        </w:trPr>
        <w:tc>
          <w:tcPr>
            <w:cnfStyle w:val="001000000000" w:firstRow="0" w:lastRow="0" w:firstColumn="1" w:lastColumn="0" w:oddVBand="0" w:evenVBand="0" w:oddHBand="0" w:evenHBand="0" w:firstRowFirstColumn="0" w:firstRowLastColumn="0" w:lastRowFirstColumn="0" w:lastRowLastColumn="0"/>
            <w:tcW w:w="1715" w:type="dxa"/>
            <w:tcBorders>
              <w:top w:val="nil"/>
              <w:left w:val="nil"/>
              <w:bottom w:val="single" w:sz="4" w:space="0" w:color="auto"/>
              <w:right w:val="nil"/>
            </w:tcBorders>
            <w:shd w:val="clear" w:color="auto" w:fill="FFFFFF" w:themeFill="background1"/>
            <w:hideMark/>
          </w:tcPr>
          <w:p w:rsidR="005C5C2A" w:rsidRPr="00F02583" w:rsidRDefault="005C5C2A" w:rsidP="00475BBF">
            <w:pPr>
              <w:spacing w:line="360" w:lineRule="auto"/>
              <w:rPr>
                <w:rFonts w:ascii="Arial" w:eastAsia="Times New Roman" w:hAnsi="Arial" w:cs="Arial"/>
                <w:b w:val="0"/>
                <w:bCs w:val="0"/>
                <w:color w:val="000000"/>
                <w:lang w:eastAsia="es-CR"/>
              </w:rPr>
            </w:pPr>
            <w:r w:rsidRPr="00F02583">
              <w:rPr>
                <w:rFonts w:ascii="Arial" w:eastAsia="Times New Roman" w:hAnsi="Arial" w:cs="Arial"/>
                <w:b w:val="0"/>
                <w:bCs w:val="0"/>
                <w:color w:val="000000"/>
                <w:lang w:eastAsia="es-CR"/>
              </w:rPr>
              <w:t>Limón</w:t>
            </w:r>
          </w:p>
        </w:tc>
        <w:tc>
          <w:tcPr>
            <w:tcW w:w="1942" w:type="dxa"/>
            <w:tcBorders>
              <w:top w:val="nil"/>
              <w:left w:val="nil"/>
              <w:bottom w:val="single" w:sz="4" w:space="0" w:color="auto"/>
              <w:right w:val="nil"/>
            </w:tcBorders>
            <w:shd w:val="clear" w:color="auto" w:fill="FFFFFF" w:themeFill="background1"/>
            <w:hideMark/>
          </w:tcPr>
          <w:p w:rsidR="005C5C2A" w:rsidRPr="00F02583" w:rsidRDefault="003C6E54"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Pr>
                <w:rFonts w:ascii="Arial" w:eastAsia="Times New Roman" w:hAnsi="Arial" w:cs="Arial"/>
                <w:bCs/>
                <w:color w:val="000000"/>
                <w:lang w:eastAsia="es-CR"/>
              </w:rPr>
              <w:t>149.</w:t>
            </w:r>
            <w:r w:rsidR="005C5C2A" w:rsidRPr="00F02583">
              <w:rPr>
                <w:rFonts w:ascii="Arial" w:eastAsia="Times New Roman" w:hAnsi="Arial" w:cs="Arial"/>
                <w:bCs/>
                <w:color w:val="000000"/>
                <w:lang w:eastAsia="es-CR"/>
              </w:rPr>
              <w:t>522</w:t>
            </w:r>
          </w:p>
        </w:tc>
        <w:tc>
          <w:tcPr>
            <w:tcW w:w="1690" w:type="dxa"/>
            <w:tcBorders>
              <w:top w:val="nil"/>
              <w:left w:val="nil"/>
              <w:bottom w:val="single" w:sz="4" w:space="0" w:color="auto"/>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150</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197</w:t>
            </w:r>
          </w:p>
        </w:tc>
        <w:tc>
          <w:tcPr>
            <w:tcW w:w="1538" w:type="dxa"/>
            <w:tcBorders>
              <w:top w:val="nil"/>
              <w:left w:val="nil"/>
              <w:bottom w:val="single" w:sz="4" w:space="0" w:color="auto"/>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5</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665</w:t>
            </w:r>
          </w:p>
        </w:tc>
        <w:tc>
          <w:tcPr>
            <w:tcW w:w="1716" w:type="dxa"/>
            <w:tcBorders>
              <w:top w:val="nil"/>
              <w:left w:val="nil"/>
              <w:bottom w:val="single" w:sz="4" w:space="0" w:color="auto"/>
              <w:right w:val="nil"/>
            </w:tcBorders>
            <w:shd w:val="clear" w:color="auto" w:fill="FFFFFF" w:themeFill="background1"/>
            <w:hideMark/>
          </w:tcPr>
          <w:p w:rsidR="005C5C2A" w:rsidRPr="00F02583" w:rsidRDefault="005C5C2A" w:rsidP="003C6E5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lang w:eastAsia="es-CR"/>
              </w:rPr>
            </w:pPr>
            <w:r w:rsidRPr="00F02583">
              <w:rPr>
                <w:rFonts w:ascii="Arial" w:eastAsia="Times New Roman" w:hAnsi="Arial" w:cs="Arial"/>
                <w:bCs/>
                <w:color w:val="000000"/>
                <w:lang w:eastAsia="es-CR"/>
              </w:rPr>
              <w:t>5</w:t>
            </w:r>
            <w:r w:rsidR="003C6E54">
              <w:rPr>
                <w:rFonts w:ascii="Arial" w:eastAsia="Times New Roman" w:hAnsi="Arial" w:cs="Arial"/>
                <w:bCs/>
                <w:color w:val="000000"/>
                <w:lang w:eastAsia="es-CR"/>
              </w:rPr>
              <w:t>.</w:t>
            </w:r>
            <w:r w:rsidRPr="00F02583">
              <w:rPr>
                <w:rFonts w:ascii="Arial" w:eastAsia="Times New Roman" w:hAnsi="Arial" w:cs="Arial"/>
                <w:bCs/>
                <w:color w:val="000000"/>
                <w:lang w:eastAsia="es-CR"/>
              </w:rPr>
              <w:t>813</w:t>
            </w:r>
          </w:p>
        </w:tc>
      </w:tr>
    </w:tbl>
    <w:p w:rsidR="005C5C2A" w:rsidRPr="00F02583" w:rsidRDefault="005C5C2A" w:rsidP="005C5C2A">
      <w:pPr>
        <w:pStyle w:val="ParaAttribute2"/>
        <w:spacing w:line="360" w:lineRule="auto"/>
        <w:jc w:val="both"/>
        <w:rPr>
          <w:rFonts w:ascii="Arial" w:eastAsia="Arial" w:hAnsi="Arial" w:cs="Arial"/>
          <w:sz w:val="22"/>
          <w:szCs w:val="24"/>
        </w:rPr>
      </w:pPr>
      <w:r w:rsidRPr="002472B1">
        <w:rPr>
          <w:rStyle w:val="CharAttribute28"/>
          <w:rFonts w:hAnsi="Arial" w:cs="Arial"/>
          <w:b/>
          <w:sz w:val="22"/>
          <w:szCs w:val="24"/>
        </w:rPr>
        <w:t>Fuente:</w:t>
      </w:r>
      <w:r w:rsidRPr="00F02583">
        <w:rPr>
          <w:rStyle w:val="CharAttribute28"/>
          <w:rFonts w:hAnsi="Arial" w:cs="Arial"/>
          <w:sz w:val="22"/>
          <w:szCs w:val="24"/>
        </w:rPr>
        <w:t xml:space="preserve"> INEC, Censo de Población 2011.</w:t>
      </w:r>
      <w:r w:rsidR="002472B1">
        <w:rPr>
          <w:rStyle w:val="CharAttribute28"/>
          <w:rFonts w:hAnsi="Arial" w:cs="Arial"/>
          <w:sz w:val="22"/>
          <w:szCs w:val="24"/>
        </w:rPr>
        <w:t xml:space="preserve"> </w:t>
      </w:r>
      <w:r w:rsidR="003C6E54">
        <w:rPr>
          <w:rStyle w:val="CharAttribute28"/>
          <w:rFonts w:hAnsi="Arial" w:cs="Arial"/>
          <w:sz w:val="22"/>
          <w:szCs w:val="24"/>
        </w:rPr>
        <w:t xml:space="preserve">Ministerio de </w:t>
      </w:r>
      <w:r w:rsidR="002472B1">
        <w:rPr>
          <w:rStyle w:val="CharAttribute28"/>
          <w:rFonts w:hAnsi="Arial" w:cs="Arial"/>
          <w:sz w:val="22"/>
          <w:szCs w:val="24"/>
        </w:rPr>
        <w:t>Costa Rica, 2018.</w:t>
      </w:r>
    </w:p>
    <w:p w:rsidR="005C5C2A" w:rsidRPr="00F02583" w:rsidRDefault="005C5C2A" w:rsidP="002472B1">
      <w:pPr>
        <w:pStyle w:val="ParaAttribute8"/>
        <w:spacing w:line="276" w:lineRule="auto"/>
        <w:rPr>
          <w:rFonts w:ascii="Arial" w:eastAsia="Arial" w:hAnsi="Arial" w:cs="Arial"/>
          <w:sz w:val="24"/>
          <w:szCs w:val="24"/>
        </w:rPr>
      </w:pPr>
      <w:r w:rsidRPr="00F02583">
        <w:rPr>
          <w:rStyle w:val="CharAttribute3"/>
          <w:rFonts w:hAnsi="Arial" w:cs="Arial"/>
          <w:szCs w:val="24"/>
        </w:rPr>
        <w:t>Las diferencias siguen siendo evidentes cuando se toma en cuenta el nivel</w:t>
      </w:r>
      <w:r w:rsidR="003C6E54">
        <w:rPr>
          <w:rStyle w:val="CharAttribute3"/>
          <w:rFonts w:hAnsi="Arial" w:cs="Arial"/>
          <w:szCs w:val="24"/>
        </w:rPr>
        <w:t xml:space="preserve"> de instrucción de la población. C</w:t>
      </w:r>
      <w:r w:rsidRPr="00F02583">
        <w:rPr>
          <w:rStyle w:val="CharAttribute3"/>
          <w:rFonts w:hAnsi="Arial" w:cs="Arial"/>
          <w:szCs w:val="24"/>
        </w:rPr>
        <w:t>omo se observa en el siguien</w:t>
      </w:r>
      <w:r w:rsidR="003C6E54">
        <w:rPr>
          <w:rStyle w:val="CharAttribute3"/>
          <w:rFonts w:hAnsi="Arial" w:cs="Arial"/>
          <w:szCs w:val="24"/>
        </w:rPr>
        <w:t xml:space="preserve">te cuadro, la Región Central, </w:t>
      </w:r>
      <w:r w:rsidRPr="00F02583">
        <w:rPr>
          <w:rStyle w:val="CharAttribute3"/>
          <w:rFonts w:hAnsi="Arial" w:cs="Arial"/>
          <w:szCs w:val="24"/>
        </w:rPr>
        <w:t xml:space="preserve">posee mayor cantidad de personas con nivel de instrucción de </w:t>
      </w:r>
      <w:r w:rsidR="003C6E54">
        <w:rPr>
          <w:rStyle w:val="CharAttribute3"/>
          <w:rFonts w:hAnsi="Arial" w:cs="Arial"/>
          <w:szCs w:val="24"/>
        </w:rPr>
        <w:t>s</w:t>
      </w:r>
      <w:r w:rsidRPr="00F02583">
        <w:rPr>
          <w:rStyle w:val="CharAttribute3"/>
          <w:rFonts w:hAnsi="Arial" w:cs="Arial"/>
          <w:szCs w:val="24"/>
        </w:rPr>
        <w:t xml:space="preserve">ecundaria completa y </w:t>
      </w:r>
      <w:r w:rsidR="003C6E54">
        <w:rPr>
          <w:rStyle w:val="CharAttribute3"/>
          <w:rFonts w:hAnsi="Arial" w:cs="Arial"/>
          <w:szCs w:val="24"/>
        </w:rPr>
        <w:t>u</w:t>
      </w:r>
      <w:r w:rsidRPr="00F02583">
        <w:rPr>
          <w:rStyle w:val="CharAttribute3"/>
          <w:rFonts w:hAnsi="Arial" w:cs="Arial"/>
          <w:szCs w:val="24"/>
        </w:rPr>
        <w:t xml:space="preserve">niversitaria, mientras que la </w:t>
      </w:r>
      <w:r w:rsidR="003C6E54">
        <w:rPr>
          <w:rStyle w:val="CharAttribute3"/>
          <w:rFonts w:hAnsi="Arial" w:cs="Arial"/>
          <w:szCs w:val="24"/>
        </w:rPr>
        <w:t>R</w:t>
      </w:r>
      <w:r w:rsidRPr="00F02583">
        <w:rPr>
          <w:rStyle w:val="CharAttribute3"/>
          <w:rFonts w:hAnsi="Arial" w:cs="Arial"/>
          <w:szCs w:val="24"/>
        </w:rPr>
        <w:t xml:space="preserve">egión Huetar Norte posee la menor, lo </w:t>
      </w:r>
      <w:r w:rsidR="003C6E54">
        <w:rPr>
          <w:rStyle w:val="CharAttribute3"/>
          <w:rFonts w:hAnsi="Arial" w:cs="Arial"/>
          <w:szCs w:val="24"/>
        </w:rPr>
        <w:t xml:space="preserve">evidencia </w:t>
      </w:r>
      <w:r w:rsidRPr="00F02583">
        <w:rPr>
          <w:rStyle w:val="CharAttribute3"/>
          <w:rFonts w:hAnsi="Arial" w:cs="Arial"/>
          <w:szCs w:val="24"/>
        </w:rPr>
        <w:t xml:space="preserve">que las zonas urbanas </w:t>
      </w:r>
      <w:r w:rsidR="003C6E54">
        <w:rPr>
          <w:rStyle w:val="CharAttribute3"/>
          <w:rFonts w:hAnsi="Arial" w:cs="Arial"/>
          <w:szCs w:val="24"/>
        </w:rPr>
        <w:t xml:space="preserve">poseen una </w:t>
      </w:r>
      <w:r w:rsidRPr="00F02583">
        <w:rPr>
          <w:rStyle w:val="CharAttribute3"/>
          <w:rFonts w:hAnsi="Arial" w:cs="Arial"/>
          <w:szCs w:val="24"/>
        </w:rPr>
        <w:t xml:space="preserve">mayor ventaja en cuanto al acceso a la educación en comparación </w:t>
      </w:r>
      <w:r w:rsidR="003C6E54">
        <w:rPr>
          <w:rStyle w:val="CharAttribute3"/>
          <w:rFonts w:hAnsi="Arial" w:cs="Arial"/>
          <w:szCs w:val="24"/>
        </w:rPr>
        <w:t>con</w:t>
      </w:r>
      <w:r w:rsidRPr="00F02583">
        <w:rPr>
          <w:rStyle w:val="CharAttribute3"/>
          <w:rFonts w:hAnsi="Arial" w:cs="Arial"/>
          <w:szCs w:val="24"/>
        </w:rPr>
        <w:t xml:space="preserve"> las zonas rurales.</w:t>
      </w:r>
    </w:p>
    <w:p w:rsidR="005C5C2A" w:rsidRDefault="005C5C2A" w:rsidP="005C5C2A">
      <w:pPr>
        <w:pStyle w:val="ParaAttribute8"/>
        <w:spacing w:line="360" w:lineRule="auto"/>
        <w:rPr>
          <w:rStyle w:val="CharAttribute1"/>
          <w:rFonts w:hAnsi="Arial" w:cs="Arial"/>
          <w:szCs w:val="24"/>
        </w:rPr>
      </w:pPr>
    </w:p>
    <w:p w:rsidR="002472B1" w:rsidRDefault="002472B1">
      <w:pPr>
        <w:spacing w:after="160" w:line="259" w:lineRule="auto"/>
        <w:rPr>
          <w:rStyle w:val="CharAttribute1"/>
          <w:rFonts w:hAnsi="Arial" w:cs="Arial"/>
          <w:lang w:val="es-CR" w:eastAsia="es-CR"/>
        </w:rPr>
      </w:pPr>
      <w:r>
        <w:rPr>
          <w:rStyle w:val="CharAttribute1"/>
          <w:rFonts w:hAnsi="Arial" w:cs="Arial"/>
        </w:rPr>
        <w:br w:type="page"/>
      </w:r>
    </w:p>
    <w:p w:rsidR="002472B1" w:rsidRDefault="005C5C2A" w:rsidP="002472B1">
      <w:pPr>
        <w:pStyle w:val="ParaAttribute8"/>
        <w:spacing w:after="0"/>
        <w:jc w:val="center"/>
        <w:rPr>
          <w:rStyle w:val="CharAttribute5"/>
          <w:rFonts w:hAnsi="Arial" w:cs="Arial"/>
          <w:sz w:val="24"/>
          <w:szCs w:val="24"/>
        </w:rPr>
      </w:pPr>
      <w:r w:rsidRPr="00F02583">
        <w:rPr>
          <w:rStyle w:val="CharAttribute5"/>
          <w:rFonts w:hAnsi="Arial" w:cs="Arial"/>
          <w:sz w:val="24"/>
          <w:szCs w:val="24"/>
        </w:rPr>
        <w:lastRenderedPageBreak/>
        <w:t xml:space="preserve">Cuadro </w:t>
      </w:r>
      <w:r w:rsidR="002472B1">
        <w:rPr>
          <w:rStyle w:val="CharAttribute5"/>
          <w:rFonts w:hAnsi="Arial" w:cs="Arial"/>
          <w:sz w:val="24"/>
          <w:szCs w:val="24"/>
        </w:rPr>
        <w:t>8</w:t>
      </w:r>
      <w:r w:rsidRPr="00F02583">
        <w:rPr>
          <w:rStyle w:val="CharAttribute5"/>
          <w:rFonts w:hAnsi="Arial" w:cs="Arial"/>
          <w:sz w:val="24"/>
          <w:szCs w:val="24"/>
        </w:rPr>
        <w:t>.</w:t>
      </w:r>
    </w:p>
    <w:p w:rsidR="002472B1" w:rsidRDefault="005C5C2A" w:rsidP="002472B1">
      <w:pPr>
        <w:pStyle w:val="ParaAttribute8"/>
        <w:spacing w:after="0"/>
        <w:jc w:val="center"/>
        <w:rPr>
          <w:rStyle w:val="CharAttribute5"/>
          <w:rFonts w:hAnsi="Arial" w:cs="Arial"/>
          <w:sz w:val="24"/>
          <w:szCs w:val="24"/>
        </w:rPr>
      </w:pPr>
      <w:r w:rsidRPr="00F02583">
        <w:rPr>
          <w:rStyle w:val="CharAttribute5"/>
          <w:rFonts w:hAnsi="Arial" w:cs="Arial"/>
          <w:sz w:val="24"/>
          <w:szCs w:val="24"/>
        </w:rPr>
        <w:t xml:space="preserve">Población de 15 años y más </w:t>
      </w:r>
      <w:r w:rsidR="003C6E54">
        <w:rPr>
          <w:rStyle w:val="CharAttribute5"/>
          <w:rFonts w:hAnsi="Arial" w:cs="Arial"/>
          <w:sz w:val="24"/>
          <w:szCs w:val="24"/>
        </w:rPr>
        <w:t xml:space="preserve">según </w:t>
      </w:r>
      <w:r w:rsidRPr="00F02583">
        <w:rPr>
          <w:rStyle w:val="CharAttribute5"/>
          <w:rFonts w:hAnsi="Arial" w:cs="Arial"/>
          <w:sz w:val="24"/>
          <w:szCs w:val="24"/>
        </w:rPr>
        <w:t>nivel de instrucción</w:t>
      </w:r>
      <w:r w:rsidR="002472B1">
        <w:rPr>
          <w:rStyle w:val="CharAttribute5"/>
          <w:rFonts w:hAnsi="Arial" w:cs="Arial"/>
          <w:sz w:val="24"/>
          <w:szCs w:val="24"/>
        </w:rPr>
        <w:t>,</w:t>
      </w:r>
    </w:p>
    <w:p w:rsidR="005C5C2A" w:rsidRPr="002472B1" w:rsidRDefault="003C6E54" w:rsidP="002472B1">
      <w:pPr>
        <w:pStyle w:val="ParaAttribute8"/>
        <w:jc w:val="center"/>
        <w:rPr>
          <w:rStyle w:val="CharAttribute29"/>
          <w:rFonts w:hAnsi="Arial" w:cs="Arial"/>
          <w:color w:val="auto"/>
          <w:sz w:val="24"/>
          <w:szCs w:val="24"/>
        </w:rPr>
      </w:pPr>
      <w:r>
        <w:rPr>
          <w:rStyle w:val="CharAttribute5"/>
          <w:rFonts w:hAnsi="Arial" w:cs="Arial"/>
          <w:sz w:val="24"/>
          <w:szCs w:val="24"/>
        </w:rPr>
        <w:t>y</w:t>
      </w:r>
      <w:r w:rsidR="005C5C2A" w:rsidRPr="00F02583">
        <w:rPr>
          <w:rStyle w:val="CharAttribute5"/>
          <w:rFonts w:hAnsi="Arial" w:cs="Arial"/>
          <w:sz w:val="24"/>
          <w:szCs w:val="24"/>
        </w:rPr>
        <w:t xml:space="preserve"> región</w:t>
      </w:r>
      <w:r w:rsidR="002472B1">
        <w:rPr>
          <w:rStyle w:val="CharAttribute5"/>
          <w:rFonts w:hAnsi="Arial" w:cs="Arial"/>
          <w:sz w:val="24"/>
          <w:szCs w:val="24"/>
        </w:rPr>
        <w:t xml:space="preserve">, Costa Rica, </w:t>
      </w:r>
      <w:r w:rsidR="005C5C2A" w:rsidRPr="00F02583">
        <w:rPr>
          <w:rStyle w:val="CharAttribute5"/>
          <w:rFonts w:hAnsi="Arial" w:cs="Arial"/>
          <w:sz w:val="24"/>
          <w:szCs w:val="24"/>
        </w:rPr>
        <w:t>2018.</w:t>
      </w:r>
    </w:p>
    <w:bookmarkStart w:id="12" w:name="_MON_1612788452"/>
    <w:bookmarkEnd w:id="12"/>
    <w:p w:rsidR="005C5C2A" w:rsidRDefault="00F26593" w:rsidP="005C5C2A">
      <w:pPr>
        <w:pStyle w:val="ParaAttribute9"/>
        <w:spacing w:line="360" w:lineRule="auto"/>
        <w:jc w:val="both"/>
        <w:rPr>
          <w:rStyle w:val="CharAttribute32"/>
          <w:rFonts w:hAnsi="Arial" w:cs="Arial"/>
          <w:sz w:val="20"/>
        </w:rPr>
      </w:pPr>
      <w:r w:rsidRPr="003C6E54">
        <w:rPr>
          <w:rFonts w:ascii="Arial" w:eastAsia="Arial" w:hAnsi="Arial" w:cs="Arial"/>
          <w:b/>
          <w:noProof/>
          <w:sz w:val="28"/>
          <w:szCs w:val="28"/>
        </w:rPr>
        <w:object w:dxaOrig="11461" w:dyaOrig="4870">
          <v:shape id="_x0000_i1026" type="#_x0000_t75" alt="" style="width:477.95pt;height:223.45pt;mso-width-percent:0;mso-height-percent:0;mso-width-percent:0;mso-height-percent:0" o:ole="">
            <v:imagedata r:id="rId17" o:title=""/>
          </v:shape>
          <o:OLEObject Type="Embed" ProgID="Excel.Sheet.12" ShapeID="_x0000_i1026" DrawAspect="Content" ObjectID="_1618405700" r:id="rId18"/>
        </w:object>
      </w:r>
      <w:r w:rsidR="005C5C2A" w:rsidRPr="002472B1">
        <w:rPr>
          <w:rStyle w:val="CharAttribute32"/>
          <w:rFonts w:hAnsi="Arial" w:cs="Arial"/>
          <w:sz w:val="20"/>
        </w:rPr>
        <w:t xml:space="preserve">Fuente: </w:t>
      </w:r>
      <w:r w:rsidR="003C6E54" w:rsidRPr="002472B1">
        <w:rPr>
          <w:rStyle w:val="CharAttribute32"/>
          <w:rFonts w:hAnsi="Arial" w:cs="Arial"/>
          <w:sz w:val="20"/>
        </w:rPr>
        <w:t>INEC,</w:t>
      </w:r>
      <w:r w:rsidR="003C6E54">
        <w:rPr>
          <w:rStyle w:val="CharAttribute32"/>
          <w:rFonts w:hAnsi="Arial" w:cs="Arial"/>
          <w:sz w:val="20"/>
        </w:rPr>
        <w:t xml:space="preserve"> </w:t>
      </w:r>
      <w:r w:rsidR="003C6E54" w:rsidRPr="002472B1">
        <w:rPr>
          <w:rStyle w:val="CharAttribute32"/>
          <w:rFonts w:hAnsi="Arial" w:cs="Arial"/>
          <w:sz w:val="20"/>
        </w:rPr>
        <w:t>Encuesta Nacional de Hogares, 2018.</w:t>
      </w:r>
      <w:r w:rsidR="005C5C2A" w:rsidRPr="002472B1">
        <w:rPr>
          <w:rStyle w:val="CharAttribute32"/>
          <w:rFonts w:hAnsi="Arial" w:cs="Arial"/>
          <w:sz w:val="20"/>
        </w:rPr>
        <w:t xml:space="preserve"> </w:t>
      </w:r>
    </w:p>
    <w:p w:rsidR="00F92A47" w:rsidRDefault="00F92A47">
      <w:pPr>
        <w:spacing w:after="160" w:line="259" w:lineRule="auto"/>
        <w:rPr>
          <w:rFonts w:ascii="Arial" w:eastAsia="Arial" w:hAnsi="Arial" w:cs="Arial"/>
          <w:b/>
          <w:lang w:val="es-CR" w:eastAsia="es-CR"/>
        </w:rPr>
      </w:pPr>
      <w:r w:rsidRPr="003A05DB">
        <w:rPr>
          <w:rFonts w:ascii="Arial" w:eastAsia="Arial" w:hAnsi="Arial" w:cs="Arial"/>
          <w:b/>
          <w:lang w:val="es-ES"/>
        </w:rPr>
        <w:br w:type="page"/>
      </w:r>
    </w:p>
    <w:p w:rsidR="004777D8" w:rsidRPr="00F92A47" w:rsidRDefault="00F92A47" w:rsidP="00F92A47">
      <w:pPr>
        <w:pStyle w:val="Ttulo2"/>
        <w:rPr>
          <w:rFonts w:ascii="Arial" w:hAnsi="Arial" w:cs="Arial"/>
          <w:b/>
          <w:color w:val="auto"/>
        </w:rPr>
      </w:pPr>
      <w:bookmarkStart w:id="13" w:name="_Toc7439654"/>
      <w:r w:rsidRPr="00F92A47">
        <w:rPr>
          <w:rFonts w:ascii="Arial" w:hAnsi="Arial" w:cs="Arial"/>
          <w:b/>
          <w:color w:val="auto"/>
        </w:rPr>
        <w:lastRenderedPageBreak/>
        <w:t>Enfermedades no Transmisibles</w:t>
      </w:r>
      <w:bookmarkEnd w:id="13"/>
    </w:p>
    <w:p w:rsidR="004777D8" w:rsidRPr="002472B1" w:rsidRDefault="004777D8" w:rsidP="004777D8">
      <w:pPr>
        <w:rPr>
          <w:rFonts w:ascii="Arial" w:hAnsi="Arial" w:cs="Arial"/>
        </w:rPr>
      </w:pPr>
    </w:p>
    <w:p w:rsidR="004777D8" w:rsidRPr="002472B1" w:rsidRDefault="002472B1" w:rsidP="004777D8">
      <w:pPr>
        <w:pStyle w:val="Ttulo3"/>
        <w:rPr>
          <w:rFonts w:ascii="Arial" w:hAnsi="Arial" w:cs="Arial"/>
          <w:b/>
          <w:color w:val="auto"/>
        </w:rPr>
      </w:pPr>
      <w:bookmarkStart w:id="14" w:name="_Toc506187949"/>
      <w:bookmarkStart w:id="15" w:name="_Toc7439655"/>
      <w:r w:rsidRPr="002472B1">
        <w:rPr>
          <w:rFonts w:ascii="Arial" w:hAnsi="Arial" w:cs="Arial"/>
          <w:b/>
          <w:color w:val="auto"/>
        </w:rPr>
        <w:t>Hipertensión Arterial</w:t>
      </w:r>
      <w:bookmarkEnd w:id="14"/>
      <w:bookmarkEnd w:id="15"/>
    </w:p>
    <w:p w:rsidR="004777D8" w:rsidRPr="002472B1" w:rsidRDefault="004777D8" w:rsidP="004777D8">
      <w:pPr>
        <w:spacing w:line="276" w:lineRule="auto"/>
        <w:jc w:val="both"/>
        <w:rPr>
          <w:rFonts w:ascii="Arial" w:hAnsi="Arial" w:cs="Arial"/>
          <w:lang w:val="es-CR"/>
        </w:rPr>
      </w:pPr>
    </w:p>
    <w:p w:rsidR="0053444F" w:rsidRDefault="004777D8" w:rsidP="0053444F">
      <w:pPr>
        <w:spacing w:after="240" w:line="276" w:lineRule="auto"/>
        <w:jc w:val="both"/>
        <w:rPr>
          <w:rFonts w:ascii="Arial" w:hAnsi="Arial" w:cs="Arial"/>
          <w:lang w:val="es-CR"/>
        </w:rPr>
      </w:pPr>
      <w:r w:rsidRPr="002472B1">
        <w:rPr>
          <w:rFonts w:ascii="Arial" w:hAnsi="Arial" w:cs="Arial"/>
          <w:lang w:val="es-CR"/>
        </w:rPr>
        <w:t xml:space="preserve">La segunda </w:t>
      </w:r>
      <w:r w:rsidR="003C6E54">
        <w:rPr>
          <w:rFonts w:ascii="Arial" w:hAnsi="Arial" w:cs="Arial"/>
          <w:lang w:val="es-CR"/>
        </w:rPr>
        <w:t>“</w:t>
      </w:r>
      <w:r w:rsidR="003C6E54" w:rsidRPr="003C6E54">
        <w:rPr>
          <w:rFonts w:ascii="Arial" w:hAnsi="Arial" w:cs="Arial"/>
          <w:i/>
          <w:lang w:val="es-CR"/>
        </w:rPr>
        <w:t>Encuesta de Factores de Riesgo Cardiovascular</w:t>
      </w:r>
      <w:r w:rsidR="003C6E54">
        <w:rPr>
          <w:rFonts w:ascii="Arial" w:hAnsi="Arial" w:cs="Arial"/>
          <w:lang w:val="es-CR"/>
        </w:rPr>
        <w:t>”</w:t>
      </w:r>
      <w:r w:rsidR="003C6E54" w:rsidRPr="002472B1">
        <w:rPr>
          <w:rFonts w:ascii="Arial" w:hAnsi="Arial" w:cs="Arial"/>
          <w:lang w:val="es-CR"/>
        </w:rPr>
        <w:t xml:space="preserve"> </w:t>
      </w:r>
      <w:r w:rsidR="003C6E54">
        <w:rPr>
          <w:rFonts w:ascii="Arial" w:hAnsi="Arial" w:cs="Arial"/>
          <w:lang w:val="es-CR"/>
        </w:rPr>
        <w:t>(</w:t>
      </w:r>
      <w:r w:rsidRPr="002472B1">
        <w:rPr>
          <w:rFonts w:ascii="Arial" w:hAnsi="Arial" w:cs="Arial"/>
          <w:lang w:val="es-CR"/>
        </w:rPr>
        <w:t>EFRCV</w:t>
      </w:r>
      <w:r w:rsidR="003C6E54">
        <w:rPr>
          <w:rFonts w:ascii="Arial" w:hAnsi="Arial" w:cs="Arial"/>
          <w:lang w:val="es-CR"/>
        </w:rPr>
        <w:t>)</w:t>
      </w:r>
      <w:r w:rsidR="0053444F">
        <w:rPr>
          <w:rFonts w:ascii="Arial" w:hAnsi="Arial" w:cs="Arial"/>
          <w:lang w:val="es-CR"/>
        </w:rPr>
        <w:t xml:space="preserve">realizada por la CCSS en el </w:t>
      </w:r>
      <w:r w:rsidRPr="002472B1">
        <w:rPr>
          <w:rFonts w:ascii="Arial" w:hAnsi="Arial" w:cs="Arial"/>
          <w:lang w:val="es-CR"/>
        </w:rPr>
        <w:t>2014 evidenció que la prevalencia general HTA diagnosticada fue de 31,2%, y la no diagnosticada fue de 5,0%.</w:t>
      </w:r>
      <w:r w:rsidR="0053444F">
        <w:rPr>
          <w:rFonts w:ascii="Arial" w:hAnsi="Arial" w:cs="Arial"/>
          <w:lang w:val="es-CR"/>
        </w:rPr>
        <w:t xml:space="preserve"> L</w:t>
      </w:r>
      <w:r w:rsidRPr="002472B1">
        <w:rPr>
          <w:rFonts w:ascii="Arial" w:hAnsi="Arial" w:cs="Arial"/>
          <w:lang w:val="es-CR"/>
        </w:rPr>
        <w:t xml:space="preserve">a prevalencia de hipertensión arterial diagnosticada en el sexo masculino fue de 28,2% y la no diagnosticada fue de 6,6%. Para el sexo femenino, la prevalencia de hipertensión diagnosticada fue de 34,2% y la no diagnosticada fue de 3,4%. </w:t>
      </w:r>
    </w:p>
    <w:p w:rsidR="004777D8" w:rsidRPr="002472B1" w:rsidRDefault="004777D8" w:rsidP="0053444F">
      <w:pPr>
        <w:spacing w:after="240" w:line="276" w:lineRule="auto"/>
        <w:jc w:val="both"/>
        <w:rPr>
          <w:rFonts w:ascii="Arial" w:hAnsi="Arial" w:cs="Arial"/>
          <w:lang w:val="es-CR"/>
        </w:rPr>
      </w:pPr>
      <w:r w:rsidRPr="002472B1">
        <w:rPr>
          <w:rFonts w:ascii="Arial" w:hAnsi="Arial" w:cs="Arial"/>
          <w:lang w:val="es-CR"/>
        </w:rPr>
        <w:t xml:space="preserve">Se observó que la prevalencia de hipertensión arterial diagnosticada en ambos sexos aumentó según grupos de edad, siendo mayor en el grupo de 65 años y más (en hombres 65,3% y 74,8% en mujeres). En </w:t>
      </w:r>
      <w:r w:rsidR="0053444F">
        <w:rPr>
          <w:rFonts w:ascii="Arial" w:hAnsi="Arial" w:cs="Arial"/>
          <w:lang w:val="es-CR"/>
        </w:rPr>
        <w:t>el cuadro siguiente se muestra</w:t>
      </w:r>
      <w:r w:rsidRPr="002472B1">
        <w:rPr>
          <w:rFonts w:ascii="Arial" w:hAnsi="Arial" w:cs="Arial"/>
          <w:lang w:val="es-CR"/>
        </w:rPr>
        <w:t xml:space="preserve"> la comparación entre los años 2010 y 2014, la cual </w:t>
      </w:r>
      <w:r w:rsidR="0053444F" w:rsidRPr="002472B1">
        <w:rPr>
          <w:rFonts w:ascii="Arial" w:hAnsi="Arial" w:cs="Arial"/>
          <w:lang w:val="es-CR"/>
        </w:rPr>
        <w:t>se ha mantenido estable.</w:t>
      </w:r>
      <w:r w:rsidR="0053444F">
        <w:rPr>
          <w:rFonts w:ascii="Arial" w:hAnsi="Arial" w:cs="Arial"/>
          <w:lang w:val="es-CR"/>
        </w:rPr>
        <w:t xml:space="preserve"> </w:t>
      </w:r>
    </w:p>
    <w:p w:rsidR="0053444F" w:rsidRDefault="0053444F">
      <w:pPr>
        <w:spacing w:after="160" w:line="259" w:lineRule="auto"/>
        <w:rPr>
          <w:rFonts w:ascii="Arial" w:hAnsi="Arial" w:cs="Arial"/>
          <w:highlight w:val="yellow"/>
          <w:lang w:val="es-CR"/>
        </w:rPr>
      </w:pPr>
      <w:r>
        <w:rPr>
          <w:rFonts w:ascii="Arial" w:hAnsi="Arial" w:cs="Arial"/>
          <w:highlight w:val="yellow"/>
          <w:lang w:val="es-CR"/>
        </w:rPr>
        <w:br w:type="page"/>
      </w:r>
    </w:p>
    <w:p w:rsidR="004777D8" w:rsidRPr="0053444F" w:rsidRDefault="002472B1" w:rsidP="004777D8">
      <w:pPr>
        <w:ind w:left="357"/>
        <w:jc w:val="center"/>
        <w:rPr>
          <w:rFonts w:ascii="Arial" w:hAnsi="Arial" w:cs="Arial"/>
          <w:b/>
          <w:lang w:val="es-CR"/>
        </w:rPr>
      </w:pPr>
      <w:r w:rsidRPr="0053444F">
        <w:rPr>
          <w:rFonts w:ascii="Arial" w:hAnsi="Arial" w:cs="Arial"/>
          <w:b/>
          <w:lang w:val="es-CR"/>
        </w:rPr>
        <w:lastRenderedPageBreak/>
        <w:t xml:space="preserve">Cuadro </w:t>
      </w:r>
      <w:r w:rsidR="0053444F" w:rsidRPr="0053444F">
        <w:rPr>
          <w:rFonts w:ascii="Arial" w:hAnsi="Arial" w:cs="Arial"/>
          <w:b/>
          <w:lang w:val="es-CR"/>
        </w:rPr>
        <w:t>9</w:t>
      </w:r>
    </w:p>
    <w:p w:rsidR="002472B1" w:rsidRPr="0053444F" w:rsidRDefault="004777D8" w:rsidP="004777D8">
      <w:pPr>
        <w:ind w:left="357"/>
        <w:jc w:val="center"/>
        <w:rPr>
          <w:rFonts w:ascii="Arial" w:hAnsi="Arial" w:cs="Arial"/>
          <w:b/>
          <w:lang w:val="es-CR"/>
        </w:rPr>
      </w:pPr>
      <w:r w:rsidRPr="0053444F">
        <w:rPr>
          <w:rFonts w:ascii="Arial" w:hAnsi="Arial" w:cs="Arial"/>
          <w:b/>
          <w:lang w:val="es-CR"/>
        </w:rPr>
        <w:t xml:space="preserve">Costa Rica: Prevalencia de </w:t>
      </w:r>
      <w:r w:rsidR="0053444F" w:rsidRPr="0053444F">
        <w:rPr>
          <w:rFonts w:ascii="Arial" w:hAnsi="Arial" w:cs="Arial"/>
          <w:b/>
          <w:lang w:val="es-CR"/>
        </w:rPr>
        <w:t>h</w:t>
      </w:r>
      <w:r w:rsidRPr="0053444F">
        <w:rPr>
          <w:rFonts w:ascii="Arial" w:hAnsi="Arial" w:cs="Arial"/>
          <w:b/>
          <w:lang w:val="es-CR"/>
        </w:rPr>
        <w:t xml:space="preserve">ipertensión </w:t>
      </w:r>
      <w:r w:rsidR="0053444F" w:rsidRPr="0053444F">
        <w:rPr>
          <w:rFonts w:ascii="Arial" w:hAnsi="Arial" w:cs="Arial"/>
          <w:b/>
          <w:lang w:val="es-CR"/>
        </w:rPr>
        <w:t>a</w:t>
      </w:r>
      <w:r w:rsidRPr="0053444F">
        <w:rPr>
          <w:rFonts w:ascii="Arial" w:hAnsi="Arial" w:cs="Arial"/>
          <w:b/>
          <w:lang w:val="es-CR"/>
        </w:rPr>
        <w:t>rterial en la población mayor</w:t>
      </w:r>
    </w:p>
    <w:p w:rsidR="004777D8" w:rsidRPr="0053444F" w:rsidRDefault="004777D8" w:rsidP="004777D8">
      <w:pPr>
        <w:ind w:left="357"/>
        <w:jc w:val="center"/>
        <w:rPr>
          <w:rFonts w:ascii="Arial" w:hAnsi="Arial" w:cs="Arial"/>
          <w:b/>
          <w:lang w:val="es-CR"/>
        </w:rPr>
      </w:pPr>
      <w:r w:rsidRPr="0053444F">
        <w:rPr>
          <w:rFonts w:ascii="Arial" w:hAnsi="Arial" w:cs="Arial"/>
          <w:b/>
          <w:lang w:val="es-CR"/>
        </w:rPr>
        <w:t>de 19 años según sexo, 2010 y 2014</w:t>
      </w:r>
    </w:p>
    <w:tbl>
      <w:tblPr>
        <w:tblW w:w="9520" w:type="dxa"/>
        <w:jc w:val="center"/>
        <w:tblCellMar>
          <w:left w:w="70" w:type="dxa"/>
          <w:right w:w="70" w:type="dxa"/>
        </w:tblCellMar>
        <w:tblLook w:val="0420" w:firstRow="1" w:lastRow="0" w:firstColumn="0" w:lastColumn="0" w:noHBand="0" w:noVBand="1"/>
      </w:tblPr>
      <w:tblGrid>
        <w:gridCol w:w="2320"/>
        <w:gridCol w:w="1200"/>
        <w:gridCol w:w="1200"/>
        <w:gridCol w:w="1200"/>
        <w:gridCol w:w="1200"/>
        <w:gridCol w:w="1200"/>
        <w:gridCol w:w="1200"/>
      </w:tblGrid>
      <w:tr w:rsidR="004777D8" w:rsidRPr="00F92A47" w:rsidTr="00376406">
        <w:trPr>
          <w:trHeight w:val="300"/>
          <w:jc w:val="center"/>
        </w:trPr>
        <w:tc>
          <w:tcPr>
            <w:tcW w:w="2320"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Hipertensión Arterial</w:t>
            </w:r>
          </w:p>
        </w:tc>
        <w:tc>
          <w:tcPr>
            <w:tcW w:w="2400"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 xml:space="preserve">Población </w:t>
            </w:r>
          </w:p>
        </w:tc>
        <w:tc>
          <w:tcPr>
            <w:tcW w:w="2400"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Hombres</w:t>
            </w:r>
          </w:p>
        </w:tc>
        <w:tc>
          <w:tcPr>
            <w:tcW w:w="2400"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Mujeres</w:t>
            </w:r>
          </w:p>
        </w:tc>
      </w:tr>
      <w:tr w:rsidR="004777D8" w:rsidRPr="00F92A47" w:rsidTr="00376406">
        <w:trPr>
          <w:trHeight w:val="300"/>
          <w:jc w:val="center"/>
        </w:trPr>
        <w:tc>
          <w:tcPr>
            <w:tcW w:w="2320" w:type="dxa"/>
            <w:vMerge/>
            <w:tcBorders>
              <w:top w:val="single" w:sz="4" w:space="0" w:color="auto"/>
              <w:left w:val="nil"/>
              <w:bottom w:val="single" w:sz="4" w:space="0" w:color="000000"/>
              <w:right w:val="nil"/>
            </w:tcBorders>
            <w:shd w:val="clear" w:color="auto" w:fill="D5DCE4" w:themeFill="text2" w:themeFillTint="33"/>
            <w:vAlign w:val="center"/>
            <w:hideMark/>
          </w:tcPr>
          <w:p w:rsidR="004777D8" w:rsidRPr="00F92A47" w:rsidRDefault="004777D8" w:rsidP="00475BBF">
            <w:pPr>
              <w:rPr>
                <w:rFonts w:ascii="Arial" w:eastAsia="Times New Roman" w:hAnsi="Arial" w:cs="Arial"/>
                <w:b/>
                <w:bCs/>
                <w:color w:val="000000"/>
                <w:sz w:val="20"/>
                <w:szCs w:val="20"/>
                <w:lang w:eastAsia="es-PA"/>
              </w:rPr>
            </w:pPr>
          </w:p>
        </w:tc>
        <w:tc>
          <w:tcPr>
            <w:tcW w:w="120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2010</w:t>
            </w:r>
          </w:p>
        </w:tc>
        <w:tc>
          <w:tcPr>
            <w:tcW w:w="120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2014</w:t>
            </w:r>
          </w:p>
        </w:tc>
        <w:tc>
          <w:tcPr>
            <w:tcW w:w="120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2010</w:t>
            </w:r>
          </w:p>
        </w:tc>
        <w:tc>
          <w:tcPr>
            <w:tcW w:w="120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2014</w:t>
            </w:r>
          </w:p>
        </w:tc>
        <w:tc>
          <w:tcPr>
            <w:tcW w:w="120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2010</w:t>
            </w:r>
          </w:p>
        </w:tc>
        <w:tc>
          <w:tcPr>
            <w:tcW w:w="120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Arial" w:eastAsia="Times New Roman" w:hAnsi="Arial" w:cs="Arial"/>
                <w:b/>
                <w:bCs/>
                <w:color w:val="000000"/>
                <w:sz w:val="20"/>
                <w:szCs w:val="20"/>
                <w:lang w:eastAsia="es-PA"/>
              </w:rPr>
            </w:pPr>
            <w:r w:rsidRPr="00F92A47">
              <w:rPr>
                <w:rFonts w:ascii="Arial" w:eastAsia="Times New Roman" w:hAnsi="Arial" w:cs="Arial"/>
                <w:b/>
                <w:bCs/>
                <w:color w:val="000000"/>
                <w:sz w:val="20"/>
                <w:szCs w:val="20"/>
                <w:lang w:eastAsia="es-PA"/>
              </w:rPr>
              <w:t>2014</w:t>
            </w:r>
          </w:p>
        </w:tc>
      </w:tr>
      <w:tr w:rsidR="004777D8" w:rsidRPr="00F92A47" w:rsidTr="00475BBF">
        <w:trPr>
          <w:trHeight w:val="300"/>
          <w:jc w:val="center"/>
        </w:trPr>
        <w:tc>
          <w:tcPr>
            <w:tcW w:w="2320" w:type="dxa"/>
            <w:tcBorders>
              <w:top w:val="nil"/>
              <w:left w:val="nil"/>
              <w:bottom w:val="nil"/>
              <w:right w:val="nil"/>
            </w:tcBorders>
            <w:shd w:val="clear" w:color="000000" w:fill="FFFFFF"/>
            <w:noWrap/>
            <w:vAlign w:val="bottom"/>
            <w:hideMark/>
          </w:tcPr>
          <w:p w:rsidR="004777D8" w:rsidRPr="00F92A47" w:rsidRDefault="004777D8" w:rsidP="00475BBF">
            <w:pP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Diagnosticada</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31.50%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31.20%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27.70%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28.20%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35.40%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34.20%</w:t>
            </w:r>
          </w:p>
        </w:tc>
      </w:tr>
      <w:tr w:rsidR="004777D8" w:rsidRPr="00F92A47" w:rsidTr="00475BBF">
        <w:trPr>
          <w:trHeight w:val="300"/>
          <w:jc w:val="center"/>
        </w:trPr>
        <w:tc>
          <w:tcPr>
            <w:tcW w:w="2320" w:type="dxa"/>
            <w:tcBorders>
              <w:top w:val="nil"/>
              <w:left w:val="nil"/>
              <w:bottom w:val="nil"/>
              <w:right w:val="nil"/>
            </w:tcBorders>
            <w:shd w:val="clear" w:color="000000" w:fill="FFFFFF"/>
            <w:noWrap/>
            <w:vAlign w:val="bottom"/>
            <w:hideMark/>
          </w:tcPr>
          <w:p w:rsidR="004777D8" w:rsidRPr="00F92A47" w:rsidRDefault="004777D8" w:rsidP="00475BBF">
            <w:pP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No diagnosticada</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6.30%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5.00%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7.30%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6.60%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5.20%</w:t>
            </w:r>
          </w:p>
        </w:tc>
        <w:tc>
          <w:tcPr>
            <w:tcW w:w="120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3.40%</w:t>
            </w:r>
          </w:p>
        </w:tc>
      </w:tr>
      <w:tr w:rsidR="004777D8" w:rsidRPr="00F92A47" w:rsidTr="00475BBF">
        <w:trPr>
          <w:trHeight w:val="300"/>
          <w:jc w:val="center"/>
        </w:trPr>
        <w:tc>
          <w:tcPr>
            <w:tcW w:w="2320" w:type="dxa"/>
            <w:tcBorders>
              <w:top w:val="nil"/>
              <w:left w:val="nil"/>
              <w:bottom w:val="single" w:sz="4" w:space="0" w:color="auto"/>
              <w:right w:val="nil"/>
            </w:tcBorders>
            <w:shd w:val="clear" w:color="000000" w:fill="FFFFFF"/>
            <w:noWrap/>
            <w:vAlign w:val="bottom"/>
            <w:hideMark/>
          </w:tcPr>
          <w:p w:rsidR="004777D8" w:rsidRPr="00F92A47" w:rsidRDefault="004777D8" w:rsidP="00475BBF">
            <w:pP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Prevalencia General</w:t>
            </w:r>
          </w:p>
        </w:tc>
        <w:tc>
          <w:tcPr>
            <w:tcW w:w="120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37,8</w:t>
            </w:r>
          </w:p>
        </w:tc>
        <w:tc>
          <w:tcPr>
            <w:tcW w:w="120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36.20%</w:t>
            </w:r>
          </w:p>
        </w:tc>
        <w:tc>
          <w:tcPr>
            <w:tcW w:w="120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35.00%</w:t>
            </w:r>
          </w:p>
        </w:tc>
        <w:tc>
          <w:tcPr>
            <w:tcW w:w="120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34.80%</w:t>
            </w:r>
          </w:p>
        </w:tc>
        <w:tc>
          <w:tcPr>
            <w:tcW w:w="120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40.60%</w:t>
            </w:r>
          </w:p>
        </w:tc>
        <w:tc>
          <w:tcPr>
            <w:tcW w:w="120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Arial" w:eastAsia="Times New Roman" w:hAnsi="Arial" w:cs="Arial"/>
                <w:color w:val="000000"/>
                <w:sz w:val="20"/>
                <w:szCs w:val="20"/>
                <w:lang w:eastAsia="es-PA"/>
              </w:rPr>
            </w:pPr>
            <w:r w:rsidRPr="00F92A47">
              <w:rPr>
                <w:rFonts w:ascii="Arial" w:eastAsia="Times New Roman" w:hAnsi="Arial" w:cs="Arial"/>
                <w:color w:val="000000"/>
                <w:sz w:val="20"/>
                <w:szCs w:val="20"/>
                <w:lang w:eastAsia="es-PA"/>
              </w:rPr>
              <w:t>37.60%</w:t>
            </w:r>
          </w:p>
        </w:tc>
      </w:tr>
    </w:tbl>
    <w:p w:rsidR="004777D8" w:rsidRPr="0053444F" w:rsidRDefault="004777D8" w:rsidP="002472B1">
      <w:pPr>
        <w:ind w:left="357"/>
        <w:jc w:val="right"/>
        <w:rPr>
          <w:rFonts w:ascii="Arial" w:hAnsi="Arial" w:cs="Arial"/>
          <w:sz w:val="18"/>
          <w:lang w:val="es-CR"/>
        </w:rPr>
      </w:pPr>
      <w:r w:rsidRPr="0053444F">
        <w:rPr>
          <w:rFonts w:ascii="Arial" w:hAnsi="Arial" w:cs="Arial"/>
          <w:b/>
          <w:sz w:val="18"/>
          <w:lang w:val="es-CR"/>
        </w:rPr>
        <w:t>Fuente:</w:t>
      </w:r>
      <w:r w:rsidRPr="0053444F">
        <w:rPr>
          <w:rFonts w:ascii="Arial" w:hAnsi="Arial" w:cs="Arial"/>
          <w:sz w:val="18"/>
          <w:lang w:val="es-CR"/>
        </w:rPr>
        <w:t xml:space="preserve"> Encuesta Nacional de Factores de Riesgo Cardiovasculares, 2010, 2014 CCSS</w:t>
      </w:r>
    </w:p>
    <w:p w:rsidR="004777D8" w:rsidRPr="0053444F" w:rsidRDefault="004777D8" w:rsidP="002472B1">
      <w:pPr>
        <w:ind w:left="357"/>
        <w:jc w:val="right"/>
        <w:rPr>
          <w:rFonts w:ascii="Arial" w:hAnsi="Arial" w:cs="Arial"/>
          <w:sz w:val="18"/>
          <w:lang w:val="es-CR"/>
        </w:rPr>
      </w:pPr>
      <w:r w:rsidRPr="0053444F">
        <w:rPr>
          <w:rFonts w:ascii="Arial" w:hAnsi="Arial" w:cs="Arial"/>
          <w:sz w:val="18"/>
          <w:lang w:val="es-CR"/>
        </w:rPr>
        <w:t>Dirección de Vigilancia de la Salud</w:t>
      </w:r>
      <w:r w:rsidR="0053444F">
        <w:rPr>
          <w:rFonts w:ascii="Arial" w:hAnsi="Arial" w:cs="Arial"/>
          <w:sz w:val="18"/>
          <w:lang w:val="es-CR"/>
        </w:rPr>
        <w:t>, Ministerio de Salud, 2018.</w:t>
      </w:r>
    </w:p>
    <w:p w:rsidR="004777D8" w:rsidRDefault="004777D8" w:rsidP="004777D8">
      <w:pPr>
        <w:ind w:left="357"/>
        <w:jc w:val="center"/>
        <w:rPr>
          <w:rFonts w:ascii="Arial" w:hAnsi="Arial" w:cs="Arial"/>
          <w:sz w:val="18"/>
          <w:lang w:val="es-CR"/>
        </w:rPr>
      </w:pPr>
    </w:p>
    <w:p w:rsidR="0053444F" w:rsidRPr="0053444F" w:rsidRDefault="0053444F" w:rsidP="004777D8">
      <w:pPr>
        <w:ind w:left="357"/>
        <w:jc w:val="center"/>
        <w:rPr>
          <w:rFonts w:ascii="Arial" w:hAnsi="Arial" w:cs="Arial"/>
          <w:lang w:val="es-CR"/>
        </w:rPr>
      </w:pPr>
    </w:p>
    <w:p w:rsidR="004777D8" w:rsidRPr="00AE5059" w:rsidRDefault="004777D8" w:rsidP="004777D8">
      <w:pPr>
        <w:jc w:val="both"/>
        <w:rPr>
          <w:rFonts w:ascii="Arial" w:hAnsi="Arial" w:cs="Arial"/>
          <w:lang w:val="es-CR"/>
        </w:rPr>
      </w:pPr>
      <w:r w:rsidRPr="00AE5059">
        <w:rPr>
          <w:rFonts w:ascii="Arial" w:hAnsi="Arial" w:cs="Arial"/>
          <w:lang w:val="es-CR"/>
        </w:rPr>
        <w:t>En el quinquenio 2014-</w:t>
      </w:r>
      <w:r w:rsidR="0053444F">
        <w:rPr>
          <w:rFonts w:ascii="Arial" w:hAnsi="Arial" w:cs="Arial"/>
          <w:lang w:val="es-CR"/>
        </w:rPr>
        <w:t>2</w:t>
      </w:r>
      <w:r w:rsidRPr="00AE5059">
        <w:rPr>
          <w:rFonts w:ascii="Arial" w:hAnsi="Arial" w:cs="Arial"/>
          <w:lang w:val="es-CR"/>
        </w:rPr>
        <w:t>018 se han notificado en promedio 14</w:t>
      </w:r>
      <w:r w:rsidR="0053444F">
        <w:rPr>
          <w:rFonts w:ascii="Arial" w:hAnsi="Arial" w:cs="Arial"/>
          <w:lang w:val="es-CR"/>
        </w:rPr>
        <w:t>.</w:t>
      </w:r>
      <w:r w:rsidRPr="00AE5059">
        <w:rPr>
          <w:rFonts w:ascii="Arial" w:hAnsi="Arial" w:cs="Arial"/>
          <w:lang w:val="es-CR"/>
        </w:rPr>
        <w:t xml:space="preserve">378 casos de </w:t>
      </w:r>
      <w:r w:rsidR="00176962">
        <w:rPr>
          <w:rFonts w:ascii="Arial" w:hAnsi="Arial" w:cs="Arial"/>
          <w:lang w:val="es-CR"/>
        </w:rPr>
        <w:t>h</w:t>
      </w:r>
      <w:r w:rsidRPr="00AE5059">
        <w:rPr>
          <w:rFonts w:ascii="Arial" w:hAnsi="Arial" w:cs="Arial"/>
          <w:lang w:val="es-CR"/>
        </w:rPr>
        <w:t>ipertensión arterial por año, con una tasa promedio de 294,2 casos por 100.000 habitantes</w:t>
      </w:r>
      <w:r w:rsidR="00176962">
        <w:rPr>
          <w:rFonts w:ascii="Arial" w:hAnsi="Arial" w:cs="Arial"/>
          <w:lang w:val="es-CR"/>
        </w:rPr>
        <w:t>.</w:t>
      </w:r>
    </w:p>
    <w:p w:rsidR="004777D8" w:rsidRPr="00176962" w:rsidRDefault="004777D8" w:rsidP="004777D8">
      <w:pPr>
        <w:ind w:left="357"/>
        <w:jc w:val="center"/>
        <w:rPr>
          <w:rFonts w:ascii="Arial" w:hAnsi="Arial" w:cs="Arial"/>
          <w:lang w:val="es-CR"/>
        </w:rPr>
      </w:pPr>
    </w:p>
    <w:p w:rsidR="004777D8" w:rsidRDefault="004777D8" w:rsidP="004777D8">
      <w:pPr>
        <w:spacing w:line="276" w:lineRule="auto"/>
        <w:jc w:val="both"/>
        <w:rPr>
          <w:rFonts w:ascii="Arial" w:hAnsi="Arial" w:cs="Arial"/>
          <w:lang w:val="es-CR"/>
        </w:rPr>
      </w:pPr>
      <w:r>
        <w:rPr>
          <w:rFonts w:ascii="Arial" w:hAnsi="Arial" w:cs="Arial"/>
          <w:lang w:val="es-CR"/>
        </w:rPr>
        <w:t>La incidencia de esta enfermedad aumenta con la edad, a partir de los 40 años, representa el 75% del total de los casos, es mayor en el grupo</w:t>
      </w:r>
      <w:r w:rsidR="001A43E0">
        <w:rPr>
          <w:rFonts w:ascii="Arial" w:hAnsi="Arial" w:cs="Arial"/>
          <w:lang w:val="es-CR"/>
        </w:rPr>
        <w:t xml:space="preserve"> de </w:t>
      </w:r>
      <w:r>
        <w:rPr>
          <w:rFonts w:ascii="Arial" w:hAnsi="Arial" w:cs="Arial"/>
          <w:lang w:val="es-CR"/>
        </w:rPr>
        <w:t>65 a 69 años con una tasa promedio de 814,2 casos por 100.000 habitantes</w:t>
      </w:r>
      <w:r w:rsidR="001A43E0">
        <w:rPr>
          <w:rFonts w:ascii="Arial" w:hAnsi="Arial" w:cs="Arial"/>
          <w:lang w:val="es-CR"/>
        </w:rPr>
        <w:t>. A</w:t>
      </w:r>
      <w:r>
        <w:rPr>
          <w:rFonts w:ascii="Arial" w:hAnsi="Arial" w:cs="Arial"/>
          <w:lang w:val="es-CR"/>
        </w:rPr>
        <w:t xml:space="preserve">fecta más a las mujeres que a los hombres con una tasa promedio de 314,7 casos por 100.000 mujeres y 273,8 casos por 100.000 hombres. </w:t>
      </w:r>
    </w:p>
    <w:p w:rsidR="00176962" w:rsidRDefault="00176962" w:rsidP="004777D8">
      <w:pPr>
        <w:spacing w:line="276" w:lineRule="auto"/>
        <w:jc w:val="both"/>
        <w:rPr>
          <w:rFonts w:ascii="Arial" w:hAnsi="Arial" w:cs="Arial"/>
          <w:lang w:val="es-CR"/>
        </w:rPr>
      </w:pPr>
    </w:p>
    <w:p w:rsidR="00176962" w:rsidRDefault="00176962" w:rsidP="004777D8">
      <w:pPr>
        <w:spacing w:line="276" w:lineRule="auto"/>
        <w:jc w:val="both"/>
        <w:rPr>
          <w:rFonts w:ascii="Arial" w:hAnsi="Arial" w:cs="Arial"/>
          <w:lang w:val="es-CR"/>
        </w:rPr>
      </w:pPr>
    </w:p>
    <w:p w:rsidR="00176962" w:rsidRDefault="00176962">
      <w:pPr>
        <w:spacing w:after="160" w:line="259" w:lineRule="auto"/>
        <w:rPr>
          <w:rFonts w:ascii="Arial" w:hAnsi="Arial" w:cs="Arial"/>
          <w:lang w:val="es-CR"/>
        </w:rPr>
      </w:pPr>
      <w:r>
        <w:rPr>
          <w:rFonts w:ascii="Arial" w:hAnsi="Arial" w:cs="Arial"/>
          <w:lang w:val="es-CR"/>
        </w:rPr>
        <w:br w:type="page"/>
      </w:r>
    </w:p>
    <w:p w:rsidR="004777D8" w:rsidRPr="00176962" w:rsidRDefault="001A43E0" w:rsidP="00176962">
      <w:pPr>
        <w:ind w:left="357"/>
        <w:jc w:val="center"/>
        <w:rPr>
          <w:rFonts w:ascii="Arial" w:hAnsi="Arial" w:cs="Arial"/>
          <w:b/>
          <w:lang w:val="es-CR"/>
        </w:rPr>
      </w:pPr>
      <w:r>
        <w:rPr>
          <w:rFonts w:ascii="Arial" w:hAnsi="Arial" w:cs="Arial"/>
          <w:b/>
          <w:lang w:val="es-CR"/>
        </w:rPr>
        <w:lastRenderedPageBreak/>
        <w:t>Gráfico</w:t>
      </w:r>
      <w:r w:rsidR="00176962" w:rsidRPr="00176962">
        <w:rPr>
          <w:rFonts w:ascii="Arial" w:hAnsi="Arial" w:cs="Arial"/>
          <w:b/>
          <w:lang w:val="es-CR"/>
        </w:rPr>
        <w:t xml:space="preserve"> </w:t>
      </w:r>
      <w:r w:rsidR="00F92A47">
        <w:rPr>
          <w:rFonts w:ascii="Arial" w:hAnsi="Arial" w:cs="Arial"/>
          <w:b/>
          <w:lang w:val="es-CR"/>
        </w:rPr>
        <w:t>5</w:t>
      </w:r>
    </w:p>
    <w:p w:rsidR="00176962" w:rsidRDefault="004777D8" w:rsidP="00176962">
      <w:pPr>
        <w:jc w:val="center"/>
        <w:rPr>
          <w:rFonts w:ascii="Arial" w:hAnsi="Arial" w:cs="Arial"/>
          <w:b/>
          <w:lang w:val="es-CR"/>
        </w:rPr>
      </w:pPr>
      <w:r w:rsidRPr="00176962">
        <w:rPr>
          <w:rFonts w:ascii="Arial" w:hAnsi="Arial" w:cs="Arial"/>
          <w:b/>
          <w:lang w:val="es-CR"/>
        </w:rPr>
        <w:t xml:space="preserve">Costa Rica: Morbilidad por </w:t>
      </w:r>
      <w:r w:rsidR="001A43E0">
        <w:rPr>
          <w:rFonts w:ascii="Arial" w:hAnsi="Arial" w:cs="Arial"/>
          <w:b/>
          <w:lang w:val="es-CR"/>
        </w:rPr>
        <w:t>h</w:t>
      </w:r>
      <w:r w:rsidRPr="00176962">
        <w:rPr>
          <w:rFonts w:ascii="Arial" w:hAnsi="Arial" w:cs="Arial"/>
          <w:b/>
          <w:lang w:val="es-CR"/>
        </w:rPr>
        <w:t xml:space="preserve">ipertensión </w:t>
      </w:r>
      <w:r w:rsidR="001A43E0">
        <w:rPr>
          <w:rFonts w:ascii="Arial" w:hAnsi="Arial" w:cs="Arial"/>
          <w:b/>
          <w:lang w:val="es-CR"/>
        </w:rPr>
        <w:t>a</w:t>
      </w:r>
      <w:r w:rsidRPr="00176962">
        <w:rPr>
          <w:rFonts w:ascii="Arial" w:hAnsi="Arial" w:cs="Arial"/>
          <w:b/>
          <w:lang w:val="es-CR"/>
        </w:rPr>
        <w:t>rterial, según grupo</w:t>
      </w:r>
    </w:p>
    <w:p w:rsidR="001A43E0" w:rsidRDefault="004777D8" w:rsidP="001A43E0">
      <w:pPr>
        <w:spacing w:after="240"/>
        <w:jc w:val="center"/>
        <w:rPr>
          <w:rFonts w:ascii="Arial" w:hAnsi="Arial" w:cs="Arial"/>
          <w:b/>
          <w:lang w:val="es-CR"/>
        </w:rPr>
      </w:pPr>
      <w:r w:rsidRPr="00176962">
        <w:rPr>
          <w:rFonts w:ascii="Arial" w:hAnsi="Arial" w:cs="Arial"/>
          <w:b/>
          <w:lang w:val="es-CR"/>
        </w:rPr>
        <w:t xml:space="preserve"> de edad</w:t>
      </w:r>
      <w:r w:rsidR="00176962">
        <w:rPr>
          <w:rFonts w:ascii="Arial" w:hAnsi="Arial" w:cs="Arial"/>
          <w:b/>
          <w:lang w:val="es-CR"/>
        </w:rPr>
        <w:t xml:space="preserve"> </w:t>
      </w:r>
      <w:r w:rsidR="001A43E0">
        <w:rPr>
          <w:rFonts w:ascii="Arial" w:hAnsi="Arial" w:cs="Arial"/>
          <w:b/>
          <w:lang w:val="es-CR"/>
        </w:rPr>
        <w:t xml:space="preserve">y sexo, </w:t>
      </w:r>
      <w:r w:rsidRPr="00176962">
        <w:rPr>
          <w:rFonts w:ascii="Arial" w:hAnsi="Arial" w:cs="Arial"/>
          <w:b/>
          <w:lang w:val="es-CR"/>
        </w:rPr>
        <w:t>2014-2018</w:t>
      </w:r>
    </w:p>
    <w:p w:rsidR="004777D8" w:rsidRPr="00176962" w:rsidRDefault="004777D8" w:rsidP="001A43E0">
      <w:pPr>
        <w:spacing w:after="240"/>
        <w:jc w:val="center"/>
        <w:rPr>
          <w:rFonts w:ascii="Arial" w:hAnsi="Arial" w:cs="Arial"/>
          <w:b/>
          <w:sz w:val="20"/>
          <w:szCs w:val="20"/>
          <w:lang w:val="es-CR"/>
        </w:rPr>
      </w:pPr>
      <w:r w:rsidRPr="001A43E0">
        <w:rPr>
          <w:rFonts w:ascii="Arial" w:hAnsi="Arial" w:cs="Arial"/>
          <w:sz w:val="20"/>
          <w:szCs w:val="20"/>
          <w:lang w:val="es-CR"/>
        </w:rPr>
        <w:t>(tasa promedio quinquenal por 100.000 habitantes)</w:t>
      </w:r>
    </w:p>
    <w:p w:rsidR="004777D8" w:rsidRDefault="004777D8" w:rsidP="004777D8">
      <w:pPr>
        <w:spacing w:line="276" w:lineRule="auto"/>
        <w:jc w:val="center"/>
        <w:rPr>
          <w:rFonts w:ascii="Arial" w:hAnsi="Arial" w:cs="Arial"/>
          <w:highlight w:val="yellow"/>
          <w:lang w:val="es-CR"/>
        </w:rPr>
      </w:pPr>
      <w:r>
        <w:rPr>
          <w:noProof/>
          <w:lang w:val="es-CR" w:eastAsia="es-CR"/>
        </w:rPr>
        <w:drawing>
          <wp:inline distT="0" distB="0" distL="0" distR="0" wp14:anchorId="3614A886" wp14:editId="5191FCF6">
            <wp:extent cx="4572000" cy="2971800"/>
            <wp:effectExtent l="0" t="0" r="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777D8" w:rsidRPr="00D01D58" w:rsidRDefault="004777D8" w:rsidP="00376406">
      <w:pPr>
        <w:spacing w:line="276" w:lineRule="auto"/>
        <w:jc w:val="center"/>
        <w:rPr>
          <w:rFonts w:ascii="Arial" w:hAnsi="Arial" w:cs="Arial"/>
          <w:sz w:val="18"/>
          <w:lang w:val="es-CR"/>
        </w:rPr>
      </w:pPr>
      <w:r w:rsidRPr="00176962">
        <w:rPr>
          <w:rFonts w:ascii="Arial" w:hAnsi="Arial" w:cs="Arial"/>
          <w:b/>
          <w:sz w:val="18"/>
          <w:lang w:val="es-CR"/>
        </w:rPr>
        <w:t>Fuente:</w:t>
      </w:r>
      <w:r w:rsidRPr="009B62DD">
        <w:rPr>
          <w:rFonts w:ascii="Arial" w:hAnsi="Arial" w:cs="Arial"/>
          <w:sz w:val="18"/>
          <w:lang w:val="es-CR"/>
        </w:rPr>
        <w:t xml:space="preserve"> Dirección Vigilancia de la Salud, Ministerio de Salud</w:t>
      </w:r>
      <w:r w:rsidR="00376406">
        <w:rPr>
          <w:rFonts w:ascii="Arial" w:hAnsi="Arial" w:cs="Arial"/>
          <w:sz w:val="18"/>
          <w:lang w:val="es-CR"/>
        </w:rPr>
        <w:t>, 2019</w:t>
      </w:r>
    </w:p>
    <w:p w:rsidR="004777D8" w:rsidRDefault="004777D8" w:rsidP="004777D8">
      <w:pPr>
        <w:spacing w:line="276" w:lineRule="auto"/>
        <w:jc w:val="both"/>
        <w:rPr>
          <w:rFonts w:ascii="Arial" w:hAnsi="Arial" w:cs="Arial"/>
          <w:lang w:val="es-CR"/>
        </w:rPr>
      </w:pPr>
    </w:p>
    <w:p w:rsidR="004777D8" w:rsidRDefault="004777D8" w:rsidP="004777D8">
      <w:pPr>
        <w:spacing w:line="276" w:lineRule="auto"/>
        <w:jc w:val="both"/>
        <w:rPr>
          <w:rFonts w:ascii="Arial" w:hAnsi="Arial" w:cs="Arial"/>
          <w:highlight w:val="yellow"/>
          <w:lang w:val="es-CR"/>
        </w:rPr>
      </w:pPr>
      <w:r w:rsidRPr="001A0B1E">
        <w:rPr>
          <w:rFonts w:ascii="Arial" w:hAnsi="Arial" w:cs="Arial"/>
          <w:lang w:val="es-CR"/>
        </w:rPr>
        <w:t>La provincia que presenta mayor incidencia en el per</w:t>
      </w:r>
      <w:r w:rsidR="001A43E0">
        <w:rPr>
          <w:rFonts w:ascii="Arial" w:hAnsi="Arial" w:cs="Arial"/>
          <w:lang w:val="es-CR"/>
        </w:rPr>
        <w:t>í</w:t>
      </w:r>
      <w:r w:rsidRPr="001A0B1E">
        <w:rPr>
          <w:rFonts w:ascii="Arial" w:hAnsi="Arial" w:cs="Arial"/>
          <w:lang w:val="es-CR"/>
        </w:rPr>
        <w:t>odo es Puntarenas con 366,9 casos por 100.000 habitantes, seguid</w:t>
      </w:r>
      <w:r w:rsidR="001A43E0">
        <w:rPr>
          <w:rFonts w:ascii="Arial" w:hAnsi="Arial" w:cs="Arial"/>
          <w:lang w:val="es-CR"/>
        </w:rPr>
        <w:t>a</w:t>
      </w:r>
      <w:r w:rsidRPr="001A0B1E">
        <w:rPr>
          <w:rFonts w:ascii="Arial" w:hAnsi="Arial" w:cs="Arial"/>
          <w:lang w:val="es-CR"/>
        </w:rPr>
        <w:t xml:space="preserve"> de San José y Cartago con 352,2 y 315,3 casos por 100.00 habitantes, todas con tasas que superan la tasa nacional.</w:t>
      </w:r>
    </w:p>
    <w:p w:rsidR="004777D8" w:rsidRDefault="004777D8" w:rsidP="004777D8">
      <w:pPr>
        <w:spacing w:line="276" w:lineRule="auto"/>
        <w:jc w:val="both"/>
        <w:rPr>
          <w:rFonts w:ascii="Arial" w:hAnsi="Arial" w:cs="Arial"/>
          <w:highlight w:val="yellow"/>
          <w:lang w:val="es-CR"/>
        </w:rPr>
      </w:pPr>
    </w:p>
    <w:p w:rsidR="004777D8" w:rsidRPr="001A43E0" w:rsidRDefault="00176962" w:rsidP="004777D8">
      <w:pPr>
        <w:spacing w:line="276" w:lineRule="auto"/>
        <w:jc w:val="center"/>
        <w:rPr>
          <w:rFonts w:ascii="Arial" w:hAnsi="Arial" w:cs="Arial"/>
          <w:b/>
          <w:lang w:val="es-CR"/>
        </w:rPr>
      </w:pPr>
      <w:r w:rsidRPr="001A43E0">
        <w:rPr>
          <w:rFonts w:ascii="Arial" w:hAnsi="Arial" w:cs="Arial"/>
          <w:b/>
          <w:lang w:val="es-CR"/>
        </w:rPr>
        <w:t>Gráfico</w:t>
      </w:r>
      <w:r w:rsidR="001A43E0" w:rsidRPr="001A43E0">
        <w:rPr>
          <w:rFonts w:ascii="Arial" w:hAnsi="Arial" w:cs="Arial"/>
          <w:b/>
          <w:lang w:val="es-CR"/>
        </w:rPr>
        <w:t xml:space="preserve"> </w:t>
      </w:r>
      <w:r w:rsidR="00F92A47">
        <w:rPr>
          <w:rFonts w:ascii="Arial" w:hAnsi="Arial" w:cs="Arial"/>
          <w:b/>
          <w:lang w:val="es-CR"/>
        </w:rPr>
        <w:t>6</w:t>
      </w:r>
    </w:p>
    <w:p w:rsidR="001A43E0" w:rsidRDefault="004777D8" w:rsidP="004777D8">
      <w:pPr>
        <w:spacing w:line="276" w:lineRule="auto"/>
        <w:jc w:val="center"/>
        <w:rPr>
          <w:rFonts w:ascii="Arial" w:hAnsi="Arial" w:cs="Arial"/>
          <w:lang w:val="es-CR"/>
        </w:rPr>
      </w:pPr>
      <w:r w:rsidRPr="001A43E0">
        <w:rPr>
          <w:rFonts w:ascii="Arial" w:hAnsi="Arial" w:cs="Arial"/>
          <w:b/>
          <w:lang w:val="es-CR"/>
        </w:rPr>
        <w:t xml:space="preserve">Costa Rica: Morbilidad por </w:t>
      </w:r>
      <w:r w:rsidR="001A43E0" w:rsidRPr="001A43E0">
        <w:rPr>
          <w:rFonts w:ascii="Arial" w:hAnsi="Arial" w:cs="Arial"/>
          <w:b/>
          <w:lang w:val="es-CR"/>
        </w:rPr>
        <w:t>h</w:t>
      </w:r>
      <w:r w:rsidRPr="001A43E0">
        <w:rPr>
          <w:rFonts w:ascii="Arial" w:hAnsi="Arial" w:cs="Arial"/>
          <w:b/>
          <w:lang w:val="es-CR"/>
        </w:rPr>
        <w:t xml:space="preserve">ipertensión </w:t>
      </w:r>
      <w:r w:rsidR="001A43E0" w:rsidRPr="001A43E0">
        <w:rPr>
          <w:rFonts w:ascii="Arial" w:hAnsi="Arial" w:cs="Arial"/>
          <w:b/>
          <w:lang w:val="es-CR"/>
        </w:rPr>
        <w:t>a</w:t>
      </w:r>
      <w:r w:rsidRPr="001A43E0">
        <w:rPr>
          <w:rFonts w:ascii="Arial" w:hAnsi="Arial" w:cs="Arial"/>
          <w:b/>
          <w:lang w:val="es-CR"/>
        </w:rPr>
        <w:t>rterial, según provincia,</w:t>
      </w:r>
      <w:r w:rsidR="001A43E0">
        <w:rPr>
          <w:rFonts w:ascii="Arial" w:hAnsi="Arial" w:cs="Arial"/>
          <w:b/>
          <w:lang w:val="es-CR"/>
        </w:rPr>
        <w:t xml:space="preserve"> </w:t>
      </w:r>
      <w:r w:rsidRPr="001A43E0">
        <w:rPr>
          <w:rFonts w:ascii="Arial" w:hAnsi="Arial" w:cs="Arial"/>
          <w:b/>
          <w:lang w:val="es-CR"/>
        </w:rPr>
        <w:t xml:space="preserve">2014-2018 </w:t>
      </w:r>
    </w:p>
    <w:p w:rsidR="004777D8" w:rsidRPr="001A43E0" w:rsidRDefault="004777D8" w:rsidP="004777D8">
      <w:pPr>
        <w:spacing w:line="276" w:lineRule="auto"/>
        <w:jc w:val="center"/>
        <w:rPr>
          <w:rFonts w:ascii="Arial" w:hAnsi="Arial" w:cs="Arial"/>
          <w:sz w:val="20"/>
          <w:szCs w:val="20"/>
          <w:lang w:val="es-CR"/>
        </w:rPr>
      </w:pPr>
      <w:r w:rsidRPr="001A43E0">
        <w:rPr>
          <w:rFonts w:ascii="Arial" w:hAnsi="Arial" w:cs="Arial"/>
          <w:sz w:val="20"/>
          <w:szCs w:val="20"/>
          <w:lang w:val="es-CR"/>
        </w:rPr>
        <w:t>(tasa promedio quinquenal por 100.000 habitantes)</w:t>
      </w:r>
    </w:p>
    <w:p w:rsidR="004777D8" w:rsidRDefault="004777D8" w:rsidP="004777D8">
      <w:pPr>
        <w:spacing w:line="276" w:lineRule="auto"/>
        <w:jc w:val="center"/>
        <w:rPr>
          <w:rFonts w:ascii="Arial" w:hAnsi="Arial" w:cs="Arial"/>
          <w:highlight w:val="yellow"/>
          <w:lang w:val="es-CR"/>
        </w:rPr>
      </w:pPr>
      <w:r>
        <w:rPr>
          <w:noProof/>
          <w:lang w:val="es-CR" w:eastAsia="es-CR"/>
        </w:rPr>
        <w:drawing>
          <wp:inline distT="0" distB="0" distL="0" distR="0" wp14:anchorId="68A252DD" wp14:editId="3651DEE6">
            <wp:extent cx="3880236" cy="2305878"/>
            <wp:effectExtent l="0" t="0" r="6350" b="0"/>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777D8" w:rsidRPr="00D01D58" w:rsidRDefault="004777D8" w:rsidP="004777D8">
      <w:pPr>
        <w:spacing w:line="276" w:lineRule="auto"/>
        <w:jc w:val="center"/>
        <w:rPr>
          <w:rFonts w:ascii="Arial" w:hAnsi="Arial" w:cs="Arial"/>
          <w:sz w:val="18"/>
          <w:lang w:val="es-CR"/>
        </w:rPr>
      </w:pPr>
      <w:r w:rsidRPr="00F92A47">
        <w:rPr>
          <w:rFonts w:ascii="Arial" w:hAnsi="Arial" w:cs="Arial"/>
          <w:b/>
          <w:sz w:val="18"/>
          <w:lang w:val="es-CR"/>
        </w:rPr>
        <w:t>Fuente:</w:t>
      </w:r>
      <w:r w:rsidRPr="009B62DD">
        <w:rPr>
          <w:rFonts w:ascii="Arial" w:hAnsi="Arial" w:cs="Arial"/>
          <w:sz w:val="18"/>
          <w:lang w:val="es-CR"/>
        </w:rPr>
        <w:t xml:space="preserve"> Dirección Vigilancia de la Salud, Ministerio de Salud</w:t>
      </w:r>
      <w:r w:rsidR="001A43E0">
        <w:rPr>
          <w:rFonts w:ascii="Arial" w:hAnsi="Arial" w:cs="Arial"/>
          <w:sz w:val="18"/>
          <w:lang w:val="es-CR"/>
        </w:rPr>
        <w:t>, 201</w:t>
      </w:r>
      <w:r w:rsidR="00376406">
        <w:rPr>
          <w:rFonts w:ascii="Arial" w:hAnsi="Arial" w:cs="Arial"/>
          <w:sz w:val="18"/>
          <w:lang w:val="es-CR"/>
        </w:rPr>
        <w:t>9</w:t>
      </w:r>
      <w:r w:rsidR="001A43E0">
        <w:rPr>
          <w:rFonts w:ascii="Arial" w:hAnsi="Arial" w:cs="Arial"/>
          <w:sz w:val="18"/>
          <w:lang w:val="es-CR"/>
        </w:rPr>
        <w:t>.</w:t>
      </w:r>
    </w:p>
    <w:p w:rsidR="004777D8" w:rsidRDefault="004777D8" w:rsidP="004777D8">
      <w:pPr>
        <w:spacing w:line="276" w:lineRule="auto"/>
        <w:jc w:val="both"/>
        <w:rPr>
          <w:rFonts w:ascii="Arial" w:hAnsi="Arial" w:cs="Arial"/>
          <w:lang w:val="es-CR"/>
        </w:rPr>
      </w:pPr>
      <w:r w:rsidRPr="000D3551">
        <w:rPr>
          <w:rFonts w:ascii="Arial" w:hAnsi="Arial" w:cs="Arial"/>
          <w:lang w:val="es-CR"/>
        </w:rPr>
        <w:lastRenderedPageBreak/>
        <w:t xml:space="preserve">La tasa de mortalidad general por </w:t>
      </w:r>
      <w:r w:rsidR="001A43E0">
        <w:rPr>
          <w:rFonts w:ascii="Arial" w:hAnsi="Arial" w:cs="Arial"/>
          <w:lang w:val="es-CR"/>
        </w:rPr>
        <w:t>h</w:t>
      </w:r>
      <w:r w:rsidRPr="000D3551">
        <w:rPr>
          <w:rFonts w:ascii="Arial" w:hAnsi="Arial" w:cs="Arial"/>
          <w:lang w:val="es-CR"/>
        </w:rPr>
        <w:t xml:space="preserve">ipertensión </w:t>
      </w:r>
      <w:r w:rsidR="001A43E0">
        <w:rPr>
          <w:rFonts w:ascii="Arial" w:hAnsi="Arial" w:cs="Arial"/>
          <w:lang w:val="es-CR"/>
        </w:rPr>
        <w:t>a</w:t>
      </w:r>
      <w:r w:rsidRPr="000D3551">
        <w:rPr>
          <w:rFonts w:ascii="Arial" w:hAnsi="Arial" w:cs="Arial"/>
          <w:lang w:val="es-CR"/>
        </w:rPr>
        <w:t>rterial (I10.X) para el 2014 fue de 1,4 muertes (x 100 mi</w:t>
      </w:r>
      <w:r>
        <w:rPr>
          <w:rFonts w:ascii="Arial" w:hAnsi="Arial" w:cs="Arial"/>
          <w:lang w:val="es-CR"/>
        </w:rPr>
        <w:t>l hab.), en el 2015 fue de 2,3,</w:t>
      </w:r>
      <w:r w:rsidRPr="000D3551">
        <w:rPr>
          <w:rFonts w:ascii="Arial" w:hAnsi="Arial" w:cs="Arial"/>
          <w:lang w:val="es-CR"/>
        </w:rPr>
        <w:t xml:space="preserve"> en el 2016 </w:t>
      </w:r>
      <w:r>
        <w:rPr>
          <w:rFonts w:ascii="Arial" w:hAnsi="Arial" w:cs="Arial"/>
          <w:lang w:val="es-CR"/>
        </w:rPr>
        <w:t xml:space="preserve">y 2017 </w:t>
      </w:r>
      <w:r w:rsidRPr="000D3551">
        <w:rPr>
          <w:rFonts w:ascii="Arial" w:hAnsi="Arial" w:cs="Arial"/>
          <w:lang w:val="es-CR"/>
        </w:rPr>
        <w:t>la tasa fue de 2,4</w:t>
      </w:r>
      <w:r>
        <w:rPr>
          <w:rFonts w:ascii="Arial" w:hAnsi="Arial" w:cs="Arial"/>
          <w:lang w:val="es-CR"/>
        </w:rPr>
        <w:t>, siendo mayor la mortalidad en las mujeres en todo el periodo</w:t>
      </w:r>
      <w:r w:rsidRPr="000D3551">
        <w:rPr>
          <w:rFonts w:ascii="Arial" w:hAnsi="Arial" w:cs="Arial"/>
          <w:lang w:val="es-CR"/>
        </w:rPr>
        <w:t>. Sin embargo, es muy importante recordar que estas cifras no reflejan de manera real la relevancia de la HTA como causal de mortalidad en nuestra población, por lo que estos datos deben ser analizados a la luz del conocimiento sobre el rol de la HTA en la mortalidad por otras enfermedades no transmisibles.</w:t>
      </w:r>
    </w:p>
    <w:p w:rsidR="004777D8" w:rsidRDefault="004777D8" w:rsidP="004777D8">
      <w:pPr>
        <w:spacing w:line="276" w:lineRule="auto"/>
        <w:jc w:val="both"/>
        <w:rPr>
          <w:rFonts w:ascii="Arial" w:hAnsi="Arial" w:cs="Arial"/>
          <w:lang w:val="es-CR"/>
        </w:rPr>
      </w:pPr>
    </w:p>
    <w:p w:rsidR="004777D8" w:rsidRPr="00E144A3" w:rsidRDefault="004777D8" w:rsidP="004777D8">
      <w:pPr>
        <w:jc w:val="center"/>
        <w:rPr>
          <w:rFonts w:ascii="Arial" w:hAnsi="Arial" w:cs="Arial"/>
          <w:b/>
          <w:lang w:val="es-CR"/>
        </w:rPr>
      </w:pPr>
      <w:r w:rsidRPr="00E144A3">
        <w:rPr>
          <w:rFonts w:ascii="Arial" w:hAnsi="Arial" w:cs="Arial"/>
          <w:b/>
          <w:lang w:val="es-CR"/>
        </w:rPr>
        <w:t xml:space="preserve">Gráfico </w:t>
      </w:r>
      <w:r w:rsidR="00F92A47">
        <w:rPr>
          <w:rFonts w:ascii="Arial" w:hAnsi="Arial" w:cs="Arial"/>
          <w:b/>
          <w:lang w:val="es-CR"/>
        </w:rPr>
        <w:t>7</w:t>
      </w:r>
    </w:p>
    <w:p w:rsidR="004777D8" w:rsidRPr="00E144A3" w:rsidRDefault="004777D8" w:rsidP="004777D8">
      <w:pPr>
        <w:jc w:val="center"/>
        <w:rPr>
          <w:rFonts w:ascii="Arial" w:hAnsi="Arial" w:cs="Arial"/>
          <w:b/>
          <w:lang w:val="es-CR"/>
        </w:rPr>
      </w:pPr>
      <w:r w:rsidRPr="00E144A3">
        <w:rPr>
          <w:rFonts w:ascii="Arial" w:hAnsi="Arial" w:cs="Arial"/>
          <w:b/>
          <w:lang w:val="es-CR"/>
        </w:rPr>
        <w:t xml:space="preserve">Costa Rica: Mortalidad por </w:t>
      </w:r>
      <w:r w:rsidR="00604F1B" w:rsidRPr="00E144A3">
        <w:rPr>
          <w:rFonts w:ascii="Arial" w:hAnsi="Arial" w:cs="Arial"/>
          <w:b/>
          <w:lang w:val="es-CR"/>
        </w:rPr>
        <w:t>h</w:t>
      </w:r>
      <w:r w:rsidRPr="00E144A3">
        <w:rPr>
          <w:rFonts w:ascii="Arial" w:hAnsi="Arial" w:cs="Arial"/>
          <w:b/>
          <w:lang w:val="es-CR"/>
        </w:rPr>
        <w:t xml:space="preserve">ipertensión </w:t>
      </w:r>
      <w:r w:rsidR="00604F1B" w:rsidRPr="00E144A3">
        <w:rPr>
          <w:rFonts w:ascii="Arial" w:hAnsi="Arial" w:cs="Arial"/>
          <w:b/>
          <w:lang w:val="es-CR"/>
        </w:rPr>
        <w:t>a</w:t>
      </w:r>
      <w:r w:rsidRPr="00E144A3">
        <w:rPr>
          <w:rFonts w:ascii="Arial" w:hAnsi="Arial" w:cs="Arial"/>
          <w:b/>
          <w:lang w:val="es-CR"/>
        </w:rPr>
        <w:t>rterial</w:t>
      </w:r>
      <w:r w:rsidR="00604F1B" w:rsidRPr="00E144A3">
        <w:rPr>
          <w:rFonts w:ascii="Arial" w:hAnsi="Arial" w:cs="Arial"/>
          <w:b/>
          <w:lang w:val="es-CR"/>
        </w:rPr>
        <w:t xml:space="preserve"> </w:t>
      </w:r>
      <w:r w:rsidRPr="00E144A3">
        <w:rPr>
          <w:rFonts w:ascii="Arial" w:hAnsi="Arial" w:cs="Arial"/>
          <w:b/>
          <w:lang w:val="es-CR"/>
        </w:rPr>
        <w:t>según sexo, 2014-2017</w:t>
      </w:r>
    </w:p>
    <w:p w:rsidR="004777D8" w:rsidRPr="00604F1B" w:rsidRDefault="004777D8" w:rsidP="004777D8">
      <w:pPr>
        <w:jc w:val="center"/>
        <w:rPr>
          <w:rFonts w:ascii="Arial" w:hAnsi="Arial" w:cs="Arial"/>
          <w:sz w:val="18"/>
          <w:szCs w:val="18"/>
          <w:lang w:val="es-CR"/>
        </w:rPr>
      </w:pPr>
      <w:r w:rsidRPr="00604F1B">
        <w:rPr>
          <w:rFonts w:ascii="Arial" w:hAnsi="Arial" w:cs="Arial"/>
          <w:sz w:val="18"/>
          <w:szCs w:val="18"/>
          <w:lang w:val="es-CR"/>
        </w:rPr>
        <w:t>(tasas por 100.000 habitantes)</w:t>
      </w:r>
    </w:p>
    <w:p w:rsidR="004777D8" w:rsidRDefault="004777D8" w:rsidP="004777D8">
      <w:pPr>
        <w:spacing w:line="276" w:lineRule="auto"/>
        <w:jc w:val="center"/>
        <w:rPr>
          <w:rFonts w:ascii="Arial" w:hAnsi="Arial" w:cs="Arial"/>
          <w:lang w:val="es-CR"/>
        </w:rPr>
      </w:pPr>
      <w:r>
        <w:rPr>
          <w:noProof/>
          <w:lang w:val="es-CR" w:eastAsia="es-CR"/>
        </w:rPr>
        <w:drawing>
          <wp:inline distT="0" distB="0" distL="0" distR="0" wp14:anchorId="7DE0E5A2" wp14:editId="37D66E04">
            <wp:extent cx="3643952" cy="2162810"/>
            <wp:effectExtent l="0" t="0" r="13970" b="889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777D8" w:rsidRPr="00604F1B" w:rsidRDefault="004777D8" w:rsidP="004777D8">
      <w:pPr>
        <w:pStyle w:val="Encabezado"/>
        <w:spacing w:line="276" w:lineRule="auto"/>
        <w:jc w:val="center"/>
        <w:rPr>
          <w:rFonts w:ascii="Arial" w:hAnsi="Arial" w:cs="Arial"/>
          <w:sz w:val="18"/>
          <w:szCs w:val="18"/>
          <w:lang w:val="es-CR"/>
        </w:rPr>
      </w:pPr>
      <w:r w:rsidRPr="00F92A47">
        <w:rPr>
          <w:rFonts w:ascii="Arial" w:hAnsi="Arial" w:cs="Arial"/>
          <w:b/>
          <w:sz w:val="18"/>
          <w:szCs w:val="18"/>
          <w:lang w:val="es-CR"/>
        </w:rPr>
        <w:t>Fuente:</w:t>
      </w:r>
      <w:r w:rsidRPr="00604F1B">
        <w:rPr>
          <w:rFonts w:ascii="Arial" w:hAnsi="Arial" w:cs="Arial"/>
          <w:sz w:val="18"/>
          <w:szCs w:val="18"/>
          <w:lang w:val="es-CR"/>
        </w:rPr>
        <w:t xml:space="preserve"> INEC</w:t>
      </w:r>
      <w:r w:rsidR="00604F1B">
        <w:rPr>
          <w:rFonts w:ascii="Arial" w:hAnsi="Arial" w:cs="Arial"/>
          <w:sz w:val="18"/>
          <w:szCs w:val="18"/>
          <w:lang w:val="es-CR"/>
        </w:rPr>
        <w:t xml:space="preserve">, </w:t>
      </w:r>
      <w:r w:rsidRPr="00604F1B">
        <w:rPr>
          <w:rFonts w:ascii="Arial" w:hAnsi="Arial" w:cs="Arial"/>
          <w:sz w:val="18"/>
          <w:szCs w:val="18"/>
          <w:lang w:val="es-CR"/>
        </w:rPr>
        <w:t>Dirección de Vigilancia de la Salud, Ministerio de Salud.</w:t>
      </w:r>
      <w:r w:rsidR="00604F1B">
        <w:rPr>
          <w:rFonts w:ascii="Arial" w:hAnsi="Arial" w:cs="Arial"/>
          <w:sz w:val="18"/>
          <w:szCs w:val="18"/>
          <w:lang w:val="es-CR"/>
        </w:rPr>
        <w:t xml:space="preserve"> 201</w:t>
      </w:r>
      <w:r w:rsidR="00DA36A6">
        <w:rPr>
          <w:rFonts w:ascii="Arial" w:hAnsi="Arial" w:cs="Arial"/>
          <w:sz w:val="18"/>
          <w:szCs w:val="18"/>
          <w:lang w:val="es-CR"/>
        </w:rPr>
        <w:t>9</w:t>
      </w:r>
      <w:r w:rsidR="00604F1B">
        <w:rPr>
          <w:rFonts w:ascii="Arial" w:hAnsi="Arial" w:cs="Arial"/>
          <w:sz w:val="18"/>
          <w:szCs w:val="18"/>
          <w:lang w:val="es-CR"/>
        </w:rPr>
        <w:t>.</w:t>
      </w:r>
    </w:p>
    <w:p w:rsidR="004777D8" w:rsidRPr="00604F1B" w:rsidRDefault="004777D8" w:rsidP="004777D8">
      <w:pPr>
        <w:spacing w:line="276" w:lineRule="auto"/>
        <w:jc w:val="both"/>
        <w:rPr>
          <w:rFonts w:ascii="Arial" w:hAnsi="Arial" w:cs="Arial"/>
          <w:sz w:val="18"/>
          <w:szCs w:val="18"/>
          <w:lang w:val="es-CR"/>
        </w:rPr>
      </w:pPr>
    </w:p>
    <w:p w:rsidR="004777D8" w:rsidRPr="00F92A47" w:rsidRDefault="004777D8" w:rsidP="00F92A47">
      <w:pPr>
        <w:pStyle w:val="Ttulo3"/>
        <w:rPr>
          <w:rFonts w:ascii="Arial" w:hAnsi="Arial" w:cs="Arial"/>
          <w:b/>
          <w:color w:val="auto"/>
        </w:rPr>
      </w:pPr>
      <w:bookmarkStart w:id="16" w:name="_Toc506187950"/>
      <w:bookmarkStart w:id="17" w:name="_Toc7439656"/>
      <w:r w:rsidRPr="00F92A47">
        <w:rPr>
          <w:rFonts w:ascii="Arial" w:hAnsi="Arial" w:cs="Arial"/>
          <w:b/>
          <w:color w:val="auto"/>
        </w:rPr>
        <w:t>D</w:t>
      </w:r>
      <w:r w:rsidR="00604F1B" w:rsidRPr="00F92A47">
        <w:rPr>
          <w:rFonts w:ascii="Arial" w:hAnsi="Arial" w:cs="Arial"/>
          <w:b/>
          <w:color w:val="auto"/>
        </w:rPr>
        <w:t>iabetes melli</w:t>
      </w:r>
      <w:bookmarkEnd w:id="16"/>
      <w:r w:rsidR="00604F1B" w:rsidRPr="00F92A47">
        <w:rPr>
          <w:rFonts w:ascii="Arial" w:hAnsi="Arial" w:cs="Arial"/>
          <w:b/>
          <w:color w:val="auto"/>
        </w:rPr>
        <w:t>tus</w:t>
      </w:r>
      <w:bookmarkEnd w:id="17"/>
      <w:r w:rsidRPr="00F92A47">
        <w:rPr>
          <w:rFonts w:ascii="Arial" w:hAnsi="Arial" w:cs="Arial"/>
          <w:b/>
          <w:color w:val="auto"/>
        </w:rPr>
        <w:t xml:space="preserve"> </w:t>
      </w:r>
    </w:p>
    <w:p w:rsidR="004777D8" w:rsidRDefault="004777D8" w:rsidP="004777D8">
      <w:pPr>
        <w:spacing w:line="276" w:lineRule="auto"/>
        <w:jc w:val="both"/>
        <w:rPr>
          <w:rFonts w:ascii="Arial" w:hAnsi="Arial" w:cs="Arial"/>
          <w:lang w:val="es-CR"/>
        </w:rPr>
      </w:pPr>
    </w:p>
    <w:p w:rsidR="004777D8" w:rsidRDefault="004777D8" w:rsidP="00604F1B">
      <w:pPr>
        <w:spacing w:after="240" w:line="276" w:lineRule="auto"/>
        <w:jc w:val="both"/>
        <w:rPr>
          <w:rFonts w:ascii="Arial" w:hAnsi="Arial" w:cs="Arial"/>
          <w:lang w:val="es-CR"/>
        </w:rPr>
      </w:pPr>
      <w:r w:rsidRPr="000D3551">
        <w:rPr>
          <w:rFonts w:ascii="Arial" w:hAnsi="Arial" w:cs="Arial"/>
          <w:lang w:val="es-CR"/>
        </w:rPr>
        <w:t xml:space="preserve">Según la Organización Mundial de la Salud, la prevalencia de </w:t>
      </w:r>
      <w:r w:rsidRPr="00604F1B">
        <w:rPr>
          <w:rFonts w:ascii="Arial" w:hAnsi="Arial" w:cs="Arial"/>
          <w:i/>
          <w:lang w:val="es-CR"/>
        </w:rPr>
        <w:t xml:space="preserve">Diabetes </w:t>
      </w:r>
      <w:r w:rsidR="00604F1B" w:rsidRPr="00604F1B">
        <w:rPr>
          <w:rFonts w:ascii="Arial" w:hAnsi="Arial" w:cs="Arial"/>
          <w:i/>
          <w:lang w:val="es-CR"/>
        </w:rPr>
        <w:t>m</w:t>
      </w:r>
      <w:r w:rsidRPr="00604F1B">
        <w:rPr>
          <w:rFonts w:ascii="Arial" w:hAnsi="Arial" w:cs="Arial"/>
          <w:i/>
          <w:lang w:val="es-CR"/>
        </w:rPr>
        <w:t>ellitus</w:t>
      </w:r>
      <w:r w:rsidRPr="000D3551">
        <w:rPr>
          <w:rFonts w:ascii="Arial" w:hAnsi="Arial" w:cs="Arial"/>
          <w:lang w:val="es-CR"/>
        </w:rPr>
        <w:t xml:space="preserve"> ha aumentado el doble en los últimos 20 años</w:t>
      </w:r>
      <w:r w:rsidR="00604F1B">
        <w:rPr>
          <w:rFonts w:ascii="Arial" w:hAnsi="Arial" w:cs="Arial"/>
          <w:lang w:val="es-CR"/>
        </w:rPr>
        <w:t xml:space="preserve">, principalmente </w:t>
      </w:r>
      <w:r w:rsidRPr="000D3551">
        <w:rPr>
          <w:rFonts w:ascii="Arial" w:hAnsi="Arial" w:cs="Arial"/>
          <w:lang w:val="es-CR"/>
        </w:rPr>
        <w:t xml:space="preserve">en los países de ingresos bajos y medios, </w:t>
      </w:r>
      <w:r w:rsidR="00604F1B">
        <w:rPr>
          <w:rFonts w:ascii="Arial" w:hAnsi="Arial" w:cs="Arial"/>
          <w:lang w:val="es-CR"/>
        </w:rPr>
        <w:t xml:space="preserve">debido </w:t>
      </w:r>
      <w:r w:rsidRPr="000D3551">
        <w:rPr>
          <w:rFonts w:ascii="Arial" w:hAnsi="Arial" w:cs="Arial"/>
          <w:lang w:val="es-CR"/>
        </w:rPr>
        <w:t>en gran medida</w:t>
      </w:r>
      <w:r w:rsidR="00604F1B">
        <w:rPr>
          <w:rFonts w:ascii="Arial" w:hAnsi="Arial" w:cs="Arial"/>
          <w:lang w:val="es-CR"/>
        </w:rPr>
        <w:t>,</w:t>
      </w:r>
      <w:r w:rsidRPr="000D3551">
        <w:rPr>
          <w:rFonts w:ascii="Arial" w:hAnsi="Arial" w:cs="Arial"/>
          <w:lang w:val="es-CR"/>
        </w:rPr>
        <w:t xml:space="preserve"> a la obesidad y la falta de actividad física en las personas. </w:t>
      </w:r>
    </w:p>
    <w:p w:rsidR="004777D8" w:rsidRDefault="004777D8" w:rsidP="00604F1B">
      <w:pPr>
        <w:spacing w:after="240" w:line="276" w:lineRule="auto"/>
        <w:jc w:val="both"/>
        <w:rPr>
          <w:rFonts w:ascii="Arial" w:hAnsi="Arial" w:cs="Arial"/>
          <w:lang w:val="es-CR"/>
        </w:rPr>
      </w:pPr>
      <w:r w:rsidRPr="000D3551">
        <w:rPr>
          <w:rFonts w:ascii="Arial" w:hAnsi="Arial" w:cs="Arial"/>
          <w:lang w:val="es-CR"/>
        </w:rPr>
        <w:t xml:space="preserve">Según </w:t>
      </w:r>
      <w:r w:rsidR="00604F1B">
        <w:rPr>
          <w:rFonts w:ascii="Arial" w:hAnsi="Arial" w:cs="Arial"/>
          <w:lang w:val="es-CR"/>
        </w:rPr>
        <w:t>d</w:t>
      </w:r>
      <w:r w:rsidRPr="000D3551">
        <w:rPr>
          <w:rFonts w:ascii="Arial" w:hAnsi="Arial" w:cs="Arial"/>
          <w:lang w:val="es-CR"/>
        </w:rPr>
        <w:t xml:space="preserve">atos de la </w:t>
      </w:r>
      <w:r w:rsidR="00604F1B">
        <w:rPr>
          <w:rFonts w:ascii="Arial" w:hAnsi="Arial" w:cs="Arial"/>
          <w:lang w:val="es-CR"/>
        </w:rPr>
        <w:t>“</w:t>
      </w:r>
      <w:r w:rsidR="00604F1B" w:rsidRPr="00604F1B">
        <w:rPr>
          <w:rFonts w:ascii="Arial" w:hAnsi="Arial" w:cs="Arial"/>
          <w:i/>
          <w:lang w:val="es-CR"/>
        </w:rPr>
        <w:t>E</w:t>
      </w:r>
      <w:r w:rsidRPr="00604F1B">
        <w:rPr>
          <w:rFonts w:ascii="Arial" w:hAnsi="Arial" w:cs="Arial"/>
          <w:i/>
          <w:lang w:val="es-CR"/>
        </w:rPr>
        <w:t xml:space="preserve">ncuesta de </w:t>
      </w:r>
      <w:r w:rsidR="00604F1B" w:rsidRPr="00604F1B">
        <w:rPr>
          <w:rFonts w:ascii="Arial" w:hAnsi="Arial" w:cs="Arial"/>
          <w:i/>
          <w:lang w:val="es-CR"/>
        </w:rPr>
        <w:t>F</w:t>
      </w:r>
      <w:r w:rsidRPr="00604F1B">
        <w:rPr>
          <w:rFonts w:ascii="Arial" w:hAnsi="Arial" w:cs="Arial"/>
          <w:i/>
          <w:lang w:val="es-CR"/>
        </w:rPr>
        <w:t xml:space="preserve">actores de </w:t>
      </w:r>
      <w:r w:rsidR="00604F1B" w:rsidRPr="00604F1B">
        <w:rPr>
          <w:rFonts w:ascii="Arial" w:hAnsi="Arial" w:cs="Arial"/>
          <w:i/>
          <w:lang w:val="es-CR"/>
        </w:rPr>
        <w:t>R</w:t>
      </w:r>
      <w:r w:rsidRPr="00604F1B">
        <w:rPr>
          <w:rFonts w:ascii="Arial" w:hAnsi="Arial" w:cs="Arial"/>
          <w:i/>
          <w:lang w:val="es-CR"/>
        </w:rPr>
        <w:t xml:space="preserve">iesgo </w:t>
      </w:r>
      <w:r w:rsidR="00604F1B" w:rsidRPr="00604F1B">
        <w:rPr>
          <w:rFonts w:ascii="Arial" w:hAnsi="Arial" w:cs="Arial"/>
          <w:i/>
          <w:lang w:val="es-CR"/>
        </w:rPr>
        <w:t>C</w:t>
      </w:r>
      <w:r w:rsidRPr="00604F1B">
        <w:rPr>
          <w:rFonts w:ascii="Arial" w:hAnsi="Arial" w:cs="Arial"/>
          <w:i/>
          <w:lang w:val="es-CR"/>
        </w:rPr>
        <w:t>ardiovascular</w:t>
      </w:r>
      <w:r w:rsidR="00604F1B">
        <w:rPr>
          <w:rFonts w:ascii="Arial" w:hAnsi="Arial" w:cs="Arial"/>
          <w:lang w:val="es-CR"/>
        </w:rPr>
        <w:t>”</w:t>
      </w:r>
      <w:r w:rsidRPr="000D3551">
        <w:rPr>
          <w:rFonts w:ascii="Arial" w:hAnsi="Arial" w:cs="Arial"/>
          <w:lang w:val="es-CR"/>
        </w:rPr>
        <w:t xml:space="preserve"> </w:t>
      </w:r>
      <w:r w:rsidR="00604F1B">
        <w:rPr>
          <w:rFonts w:ascii="Arial" w:hAnsi="Arial" w:cs="Arial"/>
          <w:lang w:val="es-CR"/>
        </w:rPr>
        <w:t>d</w:t>
      </w:r>
      <w:r w:rsidRPr="000D3551">
        <w:rPr>
          <w:rFonts w:ascii="Arial" w:hAnsi="Arial" w:cs="Arial"/>
          <w:lang w:val="es-CR"/>
        </w:rPr>
        <w:t xml:space="preserve">el 2014 </w:t>
      </w:r>
      <w:r w:rsidR="00604F1B">
        <w:rPr>
          <w:rFonts w:ascii="Arial" w:hAnsi="Arial" w:cs="Arial"/>
          <w:lang w:val="es-CR"/>
        </w:rPr>
        <w:t xml:space="preserve">de </w:t>
      </w:r>
      <w:r w:rsidRPr="000D3551">
        <w:rPr>
          <w:rFonts w:ascii="Arial" w:hAnsi="Arial" w:cs="Arial"/>
          <w:lang w:val="es-CR"/>
        </w:rPr>
        <w:t xml:space="preserve">la Caja Costarricense del Seguro Social, </w:t>
      </w:r>
      <w:r>
        <w:rPr>
          <w:rFonts w:ascii="Arial" w:hAnsi="Arial" w:cs="Arial"/>
          <w:lang w:val="es-CR"/>
        </w:rPr>
        <w:t>l</w:t>
      </w:r>
      <w:r w:rsidRPr="000D3551">
        <w:rPr>
          <w:rFonts w:ascii="Arial" w:hAnsi="Arial" w:cs="Arial"/>
          <w:lang w:val="es-CR"/>
        </w:rPr>
        <w:t xml:space="preserve">a prevalencia de la diabetes diagnosticada en la población general fue de 10,0% y la </w:t>
      </w:r>
      <w:r w:rsidR="00604F1B">
        <w:rPr>
          <w:rFonts w:ascii="Arial" w:hAnsi="Arial" w:cs="Arial"/>
          <w:lang w:val="es-CR"/>
        </w:rPr>
        <w:t xml:space="preserve">de </w:t>
      </w:r>
      <w:r w:rsidRPr="000D3551">
        <w:rPr>
          <w:rFonts w:ascii="Arial" w:hAnsi="Arial" w:cs="Arial"/>
          <w:lang w:val="es-CR"/>
        </w:rPr>
        <w:t>diabetes no diagnosticada fue de 2,8%</w:t>
      </w:r>
      <w:r w:rsidR="00604F1B">
        <w:rPr>
          <w:rFonts w:ascii="Arial" w:hAnsi="Arial" w:cs="Arial"/>
          <w:lang w:val="es-CR"/>
        </w:rPr>
        <w:t>.</w:t>
      </w:r>
      <w:r w:rsidRPr="000D3551">
        <w:rPr>
          <w:rFonts w:ascii="Arial" w:hAnsi="Arial" w:cs="Arial"/>
          <w:lang w:val="es-CR"/>
        </w:rPr>
        <w:t xml:space="preserve"> </w:t>
      </w:r>
      <w:r w:rsidR="00604F1B">
        <w:rPr>
          <w:rFonts w:ascii="Arial" w:hAnsi="Arial" w:cs="Arial"/>
          <w:lang w:val="es-CR"/>
        </w:rPr>
        <w:t>C</w:t>
      </w:r>
      <w:r w:rsidRPr="000D3551">
        <w:rPr>
          <w:rFonts w:ascii="Arial" w:hAnsi="Arial" w:cs="Arial"/>
          <w:lang w:val="es-CR"/>
        </w:rPr>
        <w:t>omparando la</w:t>
      </w:r>
      <w:r w:rsidR="00604F1B">
        <w:rPr>
          <w:rFonts w:ascii="Arial" w:hAnsi="Arial" w:cs="Arial"/>
          <w:lang w:val="es-CR"/>
        </w:rPr>
        <w:t xml:space="preserve"> información con la obtenida en la </w:t>
      </w:r>
      <w:r w:rsidRPr="000D3551">
        <w:rPr>
          <w:rFonts w:ascii="Arial" w:hAnsi="Arial" w:cs="Arial"/>
          <w:lang w:val="es-CR"/>
        </w:rPr>
        <w:t xml:space="preserve">encuesta </w:t>
      </w:r>
      <w:r w:rsidR="00604F1B">
        <w:rPr>
          <w:rFonts w:ascii="Arial" w:hAnsi="Arial" w:cs="Arial"/>
          <w:lang w:val="es-CR"/>
        </w:rPr>
        <w:t>e</w:t>
      </w:r>
      <w:r w:rsidRPr="000D3551">
        <w:rPr>
          <w:rFonts w:ascii="Arial" w:hAnsi="Arial" w:cs="Arial"/>
          <w:lang w:val="es-CR"/>
        </w:rPr>
        <w:t xml:space="preserve">n el 2011 </w:t>
      </w:r>
      <w:r w:rsidR="00604F1B">
        <w:rPr>
          <w:rFonts w:ascii="Arial" w:hAnsi="Arial" w:cs="Arial"/>
          <w:lang w:val="es-CR"/>
        </w:rPr>
        <w:t xml:space="preserve">se observa una disminución en </w:t>
      </w:r>
      <w:r w:rsidR="00604F1B" w:rsidRPr="000D3551">
        <w:rPr>
          <w:rFonts w:ascii="Arial" w:hAnsi="Arial" w:cs="Arial"/>
          <w:lang w:val="es-CR"/>
        </w:rPr>
        <w:t xml:space="preserve">la prevalencia de diabetes mellitus </w:t>
      </w:r>
      <w:r w:rsidR="00604F1B">
        <w:rPr>
          <w:rFonts w:ascii="Arial" w:hAnsi="Arial" w:cs="Arial"/>
          <w:lang w:val="es-CR"/>
        </w:rPr>
        <w:t>del</w:t>
      </w:r>
      <w:r w:rsidR="00604F1B" w:rsidRPr="000D3551">
        <w:rPr>
          <w:rFonts w:ascii="Arial" w:hAnsi="Arial" w:cs="Arial"/>
          <w:lang w:val="es-CR"/>
        </w:rPr>
        <w:t xml:space="preserve"> 0.</w:t>
      </w:r>
      <w:r w:rsidR="00604F1B">
        <w:rPr>
          <w:rFonts w:ascii="Arial" w:hAnsi="Arial" w:cs="Arial"/>
          <w:lang w:val="es-CR"/>
        </w:rPr>
        <w:t>5</w:t>
      </w:r>
      <w:r w:rsidR="00604F1B" w:rsidRPr="000D3551">
        <w:rPr>
          <w:rFonts w:ascii="Arial" w:hAnsi="Arial" w:cs="Arial"/>
          <w:lang w:val="es-CR"/>
        </w:rPr>
        <w:t xml:space="preserve">%. </w:t>
      </w:r>
    </w:p>
    <w:p w:rsidR="00604F1B" w:rsidRDefault="00604F1B">
      <w:pPr>
        <w:spacing w:after="160" w:line="259" w:lineRule="auto"/>
        <w:rPr>
          <w:rFonts w:ascii="Arial" w:hAnsi="Arial" w:cs="Arial"/>
          <w:b/>
          <w:lang w:val="es-CR"/>
        </w:rPr>
      </w:pPr>
      <w:r>
        <w:rPr>
          <w:rFonts w:ascii="Arial" w:hAnsi="Arial" w:cs="Arial"/>
          <w:b/>
          <w:lang w:val="es-CR"/>
        </w:rPr>
        <w:br w:type="page"/>
      </w:r>
    </w:p>
    <w:p w:rsidR="004777D8" w:rsidRPr="00604F1B" w:rsidRDefault="00604F1B" w:rsidP="004777D8">
      <w:pPr>
        <w:ind w:left="357"/>
        <w:jc w:val="center"/>
        <w:rPr>
          <w:rFonts w:ascii="Arial" w:hAnsi="Arial" w:cs="Arial"/>
          <w:b/>
          <w:lang w:val="es-CR"/>
        </w:rPr>
      </w:pPr>
      <w:r w:rsidRPr="00604F1B">
        <w:rPr>
          <w:rFonts w:ascii="Arial" w:hAnsi="Arial" w:cs="Arial"/>
          <w:b/>
          <w:lang w:val="es-CR"/>
        </w:rPr>
        <w:lastRenderedPageBreak/>
        <w:t xml:space="preserve">Cuadro </w:t>
      </w:r>
      <w:r w:rsidR="00E144A3">
        <w:rPr>
          <w:rFonts w:ascii="Arial" w:hAnsi="Arial" w:cs="Arial"/>
          <w:b/>
          <w:lang w:val="es-CR"/>
        </w:rPr>
        <w:t>10</w:t>
      </w:r>
    </w:p>
    <w:p w:rsidR="00E144A3" w:rsidRDefault="004777D8" w:rsidP="004777D8">
      <w:pPr>
        <w:ind w:left="357"/>
        <w:jc w:val="center"/>
        <w:rPr>
          <w:rFonts w:ascii="Arial" w:hAnsi="Arial" w:cs="Arial"/>
          <w:b/>
          <w:lang w:val="es-CR"/>
        </w:rPr>
      </w:pPr>
      <w:r w:rsidRPr="000902D4">
        <w:rPr>
          <w:rFonts w:ascii="Arial" w:hAnsi="Arial" w:cs="Arial"/>
          <w:b/>
          <w:lang w:val="es-CR"/>
        </w:rPr>
        <w:t xml:space="preserve">Costa Rica: Prevalencia de </w:t>
      </w:r>
      <w:r w:rsidR="005549E4">
        <w:rPr>
          <w:rFonts w:ascii="Arial" w:hAnsi="Arial" w:cs="Arial"/>
          <w:b/>
          <w:lang w:val="es-CR"/>
        </w:rPr>
        <w:t>d</w:t>
      </w:r>
      <w:r>
        <w:rPr>
          <w:rFonts w:ascii="Arial" w:hAnsi="Arial" w:cs="Arial"/>
          <w:b/>
          <w:lang w:val="es-CR"/>
        </w:rPr>
        <w:t xml:space="preserve">iabetes </w:t>
      </w:r>
      <w:r w:rsidR="00604F1B">
        <w:rPr>
          <w:rFonts w:ascii="Arial" w:hAnsi="Arial" w:cs="Arial"/>
          <w:b/>
          <w:lang w:val="es-CR"/>
        </w:rPr>
        <w:t>m</w:t>
      </w:r>
      <w:r>
        <w:rPr>
          <w:rFonts w:ascii="Arial" w:hAnsi="Arial" w:cs="Arial"/>
          <w:b/>
          <w:lang w:val="es-CR"/>
        </w:rPr>
        <w:t>ellitus</w:t>
      </w:r>
      <w:r w:rsidRPr="000902D4">
        <w:rPr>
          <w:rFonts w:ascii="Arial" w:hAnsi="Arial" w:cs="Arial"/>
          <w:b/>
          <w:lang w:val="es-CR"/>
        </w:rPr>
        <w:t xml:space="preserve"> en la población</w:t>
      </w:r>
    </w:p>
    <w:p w:rsidR="004777D8" w:rsidRDefault="004777D8" w:rsidP="004777D8">
      <w:pPr>
        <w:ind w:left="357"/>
        <w:jc w:val="center"/>
        <w:rPr>
          <w:rFonts w:ascii="Arial" w:hAnsi="Arial" w:cs="Arial"/>
          <w:b/>
          <w:lang w:val="es-CR"/>
        </w:rPr>
      </w:pPr>
      <w:r w:rsidRPr="000902D4">
        <w:rPr>
          <w:rFonts w:ascii="Arial" w:hAnsi="Arial" w:cs="Arial"/>
          <w:b/>
          <w:lang w:val="es-CR"/>
        </w:rPr>
        <w:t xml:space="preserve"> mayor de 19 años</w:t>
      </w:r>
      <w:r>
        <w:rPr>
          <w:rFonts w:ascii="Arial" w:hAnsi="Arial" w:cs="Arial"/>
          <w:b/>
          <w:lang w:val="es-CR"/>
        </w:rPr>
        <w:t xml:space="preserve"> según sexo</w:t>
      </w:r>
      <w:r w:rsidRPr="000902D4">
        <w:rPr>
          <w:rFonts w:ascii="Arial" w:hAnsi="Arial" w:cs="Arial"/>
          <w:b/>
          <w:lang w:val="es-CR"/>
        </w:rPr>
        <w:t>, 2010, 2014</w:t>
      </w:r>
    </w:p>
    <w:p w:rsidR="00604F1B" w:rsidRPr="000902D4" w:rsidRDefault="00604F1B" w:rsidP="004777D8">
      <w:pPr>
        <w:ind w:left="357"/>
        <w:jc w:val="center"/>
        <w:rPr>
          <w:rFonts w:ascii="Arial" w:hAnsi="Arial" w:cs="Arial"/>
          <w:b/>
          <w:lang w:val="es-CR"/>
        </w:rPr>
      </w:pPr>
    </w:p>
    <w:tbl>
      <w:tblPr>
        <w:tblW w:w="8260" w:type="dxa"/>
        <w:jc w:val="center"/>
        <w:tblCellMar>
          <w:left w:w="70" w:type="dxa"/>
          <w:right w:w="70" w:type="dxa"/>
        </w:tblCellMar>
        <w:tblLook w:val="0420" w:firstRow="1" w:lastRow="0" w:firstColumn="0" w:lastColumn="0" w:noHBand="0" w:noVBand="1"/>
      </w:tblPr>
      <w:tblGrid>
        <w:gridCol w:w="2500"/>
        <w:gridCol w:w="960"/>
        <w:gridCol w:w="960"/>
        <w:gridCol w:w="876"/>
        <w:gridCol w:w="1044"/>
        <w:gridCol w:w="960"/>
        <w:gridCol w:w="960"/>
      </w:tblGrid>
      <w:tr w:rsidR="004777D8" w:rsidRPr="00F92A47" w:rsidTr="00E144A3">
        <w:trPr>
          <w:trHeight w:val="300"/>
          <w:jc w:val="center"/>
        </w:trPr>
        <w:tc>
          <w:tcPr>
            <w:tcW w:w="2500"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Diabetes</w:t>
            </w:r>
          </w:p>
        </w:tc>
        <w:tc>
          <w:tcPr>
            <w:tcW w:w="1920"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Población</w:t>
            </w:r>
          </w:p>
        </w:tc>
        <w:tc>
          <w:tcPr>
            <w:tcW w:w="1920"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Hombres</w:t>
            </w:r>
          </w:p>
        </w:tc>
        <w:tc>
          <w:tcPr>
            <w:tcW w:w="1920"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Mujeres</w:t>
            </w:r>
          </w:p>
        </w:tc>
      </w:tr>
      <w:tr w:rsidR="004777D8" w:rsidRPr="00F92A47" w:rsidTr="00E144A3">
        <w:trPr>
          <w:trHeight w:val="300"/>
          <w:jc w:val="center"/>
        </w:trPr>
        <w:tc>
          <w:tcPr>
            <w:tcW w:w="2500" w:type="dxa"/>
            <w:vMerge/>
            <w:tcBorders>
              <w:top w:val="single" w:sz="4" w:space="0" w:color="auto"/>
              <w:left w:val="nil"/>
              <w:bottom w:val="single" w:sz="4" w:space="0" w:color="000000"/>
              <w:right w:val="nil"/>
            </w:tcBorders>
            <w:shd w:val="clear" w:color="auto" w:fill="D5DCE4" w:themeFill="text2" w:themeFillTint="33"/>
            <w:vAlign w:val="center"/>
            <w:hideMark/>
          </w:tcPr>
          <w:p w:rsidR="004777D8" w:rsidRPr="00F92A47" w:rsidRDefault="004777D8" w:rsidP="00475BBF">
            <w:pPr>
              <w:rPr>
                <w:rFonts w:ascii="Calibri" w:eastAsia="Times New Roman" w:hAnsi="Calibri"/>
                <w:b/>
                <w:bCs/>
                <w:color w:val="000000"/>
                <w:sz w:val="20"/>
                <w:szCs w:val="20"/>
                <w:lang w:eastAsia="es-PA"/>
              </w:rPr>
            </w:pPr>
          </w:p>
        </w:tc>
        <w:tc>
          <w:tcPr>
            <w:tcW w:w="96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2010</w:t>
            </w:r>
          </w:p>
        </w:tc>
        <w:tc>
          <w:tcPr>
            <w:tcW w:w="96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2014</w:t>
            </w:r>
          </w:p>
        </w:tc>
        <w:tc>
          <w:tcPr>
            <w:tcW w:w="876"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2010</w:t>
            </w:r>
          </w:p>
        </w:tc>
        <w:tc>
          <w:tcPr>
            <w:tcW w:w="1044"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2014</w:t>
            </w:r>
          </w:p>
        </w:tc>
        <w:tc>
          <w:tcPr>
            <w:tcW w:w="96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2010</w:t>
            </w:r>
          </w:p>
        </w:tc>
        <w:tc>
          <w:tcPr>
            <w:tcW w:w="960" w:type="dxa"/>
            <w:tcBorders>
              <w:top w:val="nil"/>
              <w:left w:val="nil"/>
              <w:bottom w:val="single" w:sz="4" w:space="0" w:color="auto"/>
              <w:right w:val="nil"/>
            </w:tcBorders>
            <w:shd w:val="clear" w:color="auto" w:fill="D5DCE4" w:themeFill="text2" w:themeFillTint="33"/>
            <w:noWrap/>
            <w:vAlign w:val="bottom"/>
            <w:hideMark/>
          </w:tcPr>
          <w:p w:rsidR="004777D8" w:rsidRPr="00F92A47" w:rsidRDefault="004777D8" w:rsidP="00475BBF">
            <w:pPr>
              <w:jc w:val="center"/>
              <w:rPr>
                <w:rFonts w:ascii="Calibri" w:eastAsia="Times New Roman" w:hAnsi="Calibri"/>
                <w:b/>
                <w:bCs/>
                <w:color w:val="000000"/>
                <w:sz w:val="20"/>
                <w:szCs w:val="20"/>
                <w:lang w:eastAsia="es-PA"/>
              </w:rPr>
            </w:pPr>
            <w:r w:rsidRPr="00F92A47">
              <w:rPr>
                <w:rFonts w:ascii="Calibri" w:eastAsia="Times New Roman" w:hAnsi="Calibri"/>
                <w:b/>
                <w:bCs/>
                <w:color w:val="000000"/>
                <w:sz w:val="20"/>
                <w:szCs w:val="20"/>
                <w:lang w:eastAsia="es-PA"/>
              </w:rPr>
              <w:t>2014</w:t>
            </w:r>
          </w:p>
        </w:tc>
      </w:tr>
      <w:tr w:rsidR="004777D8" w:rsidRPr="00F92A47" w:rsidTr="00475BBF">
        <w:trPr>
          <w:trHeight w:val="300"/>
          <w:jc w:val="center"/>
        </w:trPr>
        <w:tc>
          <w:tcPr>
            <w:tcW w:w="2500" w:type="dxa"/>
            <w:tcBorders>
              <w:top w:val="nil"/>
              <w:left w:val="nil"/>
              <w:bottom w:val="nil"/>
              <w:right w:val="nil"/>
            </w:tcBorders>
            <w:shd w:val="clear" w:color="000000" w:fill="FFFFFF"/>
            <w:noWrap/>
            <w:vAlign w:val="bottom"/>
            <w:hideMark/>
          </w:tcPr>
          <w:p w:rsidR="004777D8" w:rsidRPr="00F92A47" w:rsidRDefault="004777D8" w:rsidP="00475BBF">
            <w:pP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Diagnosticada</w:t>
            </w:r>
          </w:p>
        </w:tc>
        <w:tc>
          <w:tcPr>
            <w:tcW w:w="96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9.50%</w:t>
            </w:r>
          </w:p>
        </w:tc>
        <w:tc>
          <w:tcPr>
            <w:tcW w:w="96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10.0%</w:t>
            </w:r>
          </w:p>
        </w:tc>
        <w:tc>
          <w:tcPr>
            <w:tcW w:w="876"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8.40%</w:t>
            </w:r>
          </w:p>
        </w:tc>
        <w:tc>
          <w:tcPr>
            <w:tcW w:w="1044"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8.40%</w:t>
            </w:r>
          </w:p>
        </w:tc>
        <w:tc>
          <w:tcPr>
            <w:tcW w:w="96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10.50%</w:t>
            </w:r>
          </w:p>
        </w:tc>
        <w:tc>
          <w:tcPr>
            <w:tcW w:w="96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11.60%</w:t>
            </w:r>
          </w:p>
        </w:tc>
      </w:tr>
      <w:tr w:rsidR="004777D8" w:rsidRPr="00F92A47" w:rsidTr="00475BBF">
        <w:trPr>
          <w:trHeight w:val="300"/>
          <w:jc w:val="center"/>
        </w:trPr>
        <w:tc>
          <w:tcPr>
            <w:tcW w:w="2500" w:type="dxa"/>
            <w:tcBorders>
              <w:top w:val="nil"/>
              <w:left w:val="nil"/>
              <w:bottom w:val="nil"/>
              <w:right w:val="nil"/>
            </w:tcBorders>
            <w:shd w:val="clear" w:color="000000" w:fill="FFFFFF"/>
            <w:noWrap/>
            <w:vAlign w:val="bottom"/>
            <w:hideMark/>
          </w:tcPr>
          <w:p w:rsidR="004777D8" w:rsidRPr="00F92A47" w:rsidRDefault="004777D8" w:rsidP="00475BBF">
            <w:pP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No diagnosticada</w:t>
            </w:r>
          </w:p>
        </w:tc>
        <w:tc>
          <w:tcPr>
            <w:tcW w:w="96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1.30%</w:t>
            </w:r>
          </w:p>
        </w:tc>
        <w:tc>
          <w:tcPr>
            <w:tcW w:w="96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2.80%</w:t>
            </w:r>
          </w:p>
        </w:tc>
        <w:tc>
          <w:tcPr>
            <w:tcW w:w="876"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1.10%</w:t>
            </w:r>
          </w:p>
        </w:tc>
        <w:tc>
          <w:tcPr>
            <w:tcW w:w="1044"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2.10%</w:t>
            </w:r>
          </w:p>
        </w:tc>
        <w:tc>
          <w:tcPr>
            <w:tcW w:w="96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1.40%</w:t>
            </w:r>
          </w:p>
        </w:tc>
        <w:tc>
          <w:tcPr>
            <w:tcW w:w="960" w:type="dxa"/>
            <w:tcBorders>
              <w:top w:val="nil"/>
              <w:left w:val="nil"/>
              <w:bottom w:val="nil"/>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3.30%</w:t>
            </w:r>
          </w:p>
        </w:tc>
      </w:tr>
      <w:tr w:rsidR="004777D8" w:rsidRPr="00F92A47" w:rsidTr="00475BBF">
        <w:trPr>
          <w:trHeight w:val="300"/>
          <w:jc w:val="center"/>
        </w:trPr>
        <w:tc>
          <w:tcPr>
            <w:tcW w:w="2500" w:type="dxa"/>
            <w:tcBorders>
              <w:top w:val="nil"/>
              <w:left w:val="nil"/>
              <w:bottom w:val="single" w:sz="4" w:space="0" w:color="auto"/>
              <w:right w:val="nil"/>
            </w:tcBorders>
            <w:shd w:val="clear" w:color="000000" w:fill="FFFFFF"/>
            <w:noWrap/>
            <w:vAlign w:val="bottom"/>
            <w:hideMark/>
          </w:tcPr>
          <w:p w:rsidR="004777D8" w:rsidRPr="00F92A47" w:rsidRDefault="004777D8" w:rsidP="00475BBF">
            <w:pP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Prevalencia General</w:t>
            </w:r>
          </w:p>
        </w:tc>
        <w:tc>
          <w:tcPr>
            <w:tcW w:w="96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10.80%</w:t>
            </w:r>
          </w:p>
        </w:tc>
        <w:tc>
          <w:tcPr>
            <w:tcW w:w="96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12.80%</w:t>
            </w:r>
          </w:p>
        </w:tc>
        <w:tc>
          <w:tcPr>
            <w:tcW w:w="876"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9.50%</w:t>
            </w:r>
          </w:p>
        </w:tc>
        <w:tc>
          <w:tcPr>
            <w:tcW w:w="1044"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10.50%</w:t>
            </w:r>
          </w:p>
        </w:tc>
        <w:tc>
          <w:tcPr>
            <w:tcW w:w="96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11.90%</w:t>
            </w:r>
          </w:p>
        </w:tc>
        <w:tc>
          <w:tcPr>
            <w:tcW w:w="960" w:type="dxa"/>
            <w:tcBorders>
              <w:top w:val="nil"/>
              <w:left w:val="nil"/>
              <w:bottom w:val="single" w:sz="4" w:space="0" w:color="auto"/>
              <w:right w:val="nil"/>
            </w:tcBorders>
            <w:shd w:val="clear" w:color="000000" w:fill="FFFFFF"/>
            <w:noWrap/>
            <w:vAlign w:val="bottom"/>
            <w:hideMark/>
          </w:tcPr>
          <w:p w:rsidR="004777D8" w:rsidRPr="00F92A47" w:rsidRDefault="004777D8" w:rsidP="00475BBF">
            <w:pPr>
              <w:jc w:val="center"/>
              <w:rPr>
                <w:rFonts w:ascii="Calibri" w:eastAsia="Times New Roman" w:hAnsi="Calibri"/>
                <w:color w:val="000000"/>
                <w:sz w:val="20"/>
                <w:szCs w:val="20"/>
                <w:lang w:eastAsia="es-PA"/>
              </w:rPr>
            </w:pPr>
            <w:r w:rsidRPr="00F92A47">
              <w:rPr>
                <w:rFonts w:ascii="Calibri" w:eastAsia="Times New Roman" w:hAnsi="Calibri"/>
                <w:color w:val="000000"/>
                <w:sz w:val="20"/>
                <w:szCs w:val="20"/>
                <w:lang w:eastAsia="es-PA"/>
              </w:rPr>
              <w:t>14.90%</w:t>
            </w:r>
          </w:p>
        </w:tc>
      </w:tr>
    </w:tbl>
    <w:p w:rsidR="004777D8" w:rsidRPr="0054447E" w:rsidRDefault="004777D8" w:rsidP="005549E4">
      <w:pPr>
        <w:jc w:val="right"/>
        <w:rPr>
          <w:rFonts w:ascii="Arial" w:hAnsi="Arial" w:cs="Arial"/>
          <w:sz w:val="16"/>
          <w:lang w:val="es-CR"/>
        </w:rPr>
      </w:pPr>
      <w:r w:rsidRPr="005549E4">
        <w:rPr>
          <w:rFonts w:ascii="Arial" w:hAnsi="Arial" w:cs="Arial"/>
          <w:b/>
          <w:sz w:val="16"/>
          <w:lang w:val="es-CR"/>
        </w:rPr>
        <w:t>Fuente</w:t>
      </w:r>
      <w:r w:rsidRPr="0054447E">
        <w:rPr>
          <w:rFonts w:ascii="Arial" w:hAnsi="Arial" w:cs="Arial"/>
          <w:sz w:val="16"/>
          <w:lang w:val="es-CR"/>
        </w:rPr>
        <w:t>: Encuesta Nacional de Factores de Riesgo Cardiovasculares, 2010, 2014 CCSS</w:t>
      </w:r>
    </w:p>
    <w:p w:rsidR="004777D8" w:rsidRDefault="004777D8" w:rsidP="005549E4">
      <w:pPr>
        <w:jc w:val="right"/>
        <w:rPr>
          <w:rFonts w:ascii="Arial" w:hAnsi="Arial" w:cs="Arial"/>
          <w:sz w:val="16"/>
          <w:lang w:val="es-CR"/>
        </w:rPr>
      </w:pPr>
      <w:r w:rsidRPr="0054447E">
        <w:rPr>
          <w:rFonts w:ascii="Arial" w:hAnsi="Arial" w:cs="Arial"/>
          <w:sz w:val="16"/>
          <w:lang w:val="es-CR"/>
        </w:rPr>
        <w:t>Dir</w:t>
      </w:r>
      <w:r>
        <w:rPr>
          <w:rFonts w:ascii="Arial" w:hAnsi="Arial" w:cs="Arial"/>
          <w:sz w:val="16"/>
          <w:lang w:val="es-CR"/>
        </w:rPr>
        <w:t>ección de Vigilancia de la Salud</w:t>
      </w:r>
      <w:r w:rsidR="005549E4">
        <w:rPr>
          <w:rFonts w:ascii="Arial" w:hAnsi="Arial" w:cs="Arial"/>
          <w:sz w:val="16"/>
          <w:lang w:val="es-CR"/>
        </w:rPr>
        <w:t>, Mministerio de Salud. 201</w:t>
      </w:r>
      <w:r w:rsidR="00DA36A6">
        <w:rPr>
          <w:rFonts w:ascii="Arial" w:hAnsi="Arial" w:cs="Arial"/>
          <w:sz w:val="16"/>
          <w:lang w:val="es-CR"/>
        </w:rPr>
        <w:t>9</w:t>
      </w:r>
      <w:r w:rsidR="005549E4">
        <w:rPr>
          <w:rFonts w:ascii="Arial" w:hAnsi="Arial" w:cs="Arial"/>
          <w:sz w:val="16"/>
          <w:lang w:val="es-CR"/>
        </w:rPr>
        <w:t>.</w:t>
      </w:r>
    </w:p>
    <w:p w:rsidR="005549E4" w:rsidRPr="00102D16" w:rsidRDefault="005549E4" w:rsidP="005549E4">
      <w:pPr>
        <w:jc w:val="right"/>
        <w:rPr>
          <w:rFonts w:ascii="Arial" w:hAnsi="Arial" w:cs="Arial"/>
          <w:sz w:val="16"/>
          <w:lang w:val="es-CR"/>
        </w:rPr>
      </w:pPr>
    </w:p>
    <w:p w:rsidR="005549E4" w:rsidRDefault="005549E4" w:rsidP="004777D8">
      <w:pPr>
        <w:spacing w:line="276" w:lineRule="auto"/>
        <w:jc w:val="both"/>
        <w:rPr>
          <w:rFonts w:ascii="Arial" w:hAnsi="Arial" w:cs="Arial"/>
          <w:lang w:val="es-CR"/>
        </w:rPr>
      </w:pPr>
    </w:p>
    <w:p w:rsidR="004777D8" w:rsidRDefault="004777D8" w:rsidP="004777D8">
      <w:pPr>
        <w:spacing w:line="276" w:lineRule="auto"/>
        <w:jc w:val="both"/>
        <w:rPr>
          <w:rFonts w:ascii="Arial" w:hAnsi="Arial" w:cs="Arial"/>
          <w:lang w:val="es-CR"/>
        </w:rPr>
      </w:pPr>
      <w:r w:rsidRPr="00940273">
        <w:rPr>
          <w:rFonts w:ascii="Arial" w:hAnsi="Arial" w:cs="Arial"/>
          <w:lang w:val="es-CR"/>
        </w:rPr>
        <w:t>Según los datos reportados al Ministerio de Salud</w:t>
      </w:r>
      <w:r>
        <w:rPr>
          <w:rFonts w:ascii="Arial" w:hAnsi="Arial" w:cs="Arial"/>
          <w:lang w:val="es-CR"/>
        </w:rPr>
        <w:t xml:space="preserve">, en el quinquenio </w:t>
      </w:r>
      <w:r w:rsidRPr="00940273">
        <w:rPr>
          <w:rFonts w:ascii="Arial" w:hAnsi="Arial" w:cs="Arial"/>
          <w:lang w:val="es-CR"/>
        </w:rPr>
        <w:t>2014</w:t>
      </w:r>
      <w:r w:rsidR="005549E4">
        <w:rPr>
          <w:rFonts w:ascii="Arial" w:hAnsi="Arial" w:cs="Arial"/>
          <w:lang w:val="es-CR"/>
        </w:rPr>
        <w:t>-</w:t>
      </w:r>
      <w:r w:rsidRPr="00940273">
        <w:rPr>
          <w:rFonts w:ascii="Arial" w:hAnsi="Arial" w:cs="Arial"/>
          <w:lang w:val="es-CR"/>
        </w:rPr>
        <w:t xml:space="preserve">2018 se </w:t>
      </w:r>
      <w:r w:rsidR="005549E4">
        <w:rPr>
          <w:rFonts w:ascii="Arial" w:hAnsi="Arial" w:cs="Arial"/>
          <w:lang w:val="es-CR"/>
        </w:rPr>
        <w:t xml:space="preserve">notificaron </w:t>
      </w:r>
      <w:r w:rsidRPr="00940273">
        <w:rPr>
          <w:rFonts w:ascii="Arial" w:hAnsi="Arial" w:cs="Arial"/>
          <w:lang w:val="es-CR"/>
        </w:rPr>
        <w:t>en promedio 8</w:t>
      </w:r>
      <w:r w:rsidR="005549E4">
        <w:rPr>
          <w:rFonts w:ascii="Arial" w:hAnsi="Arial" w:cs="Arial"/>
          <w:lang w:val="es-CR"/>
        </w:rPr>
        <w:t>.</w:t>
      </w:r>
      <w:r w:rsidRPr="00940273">
        <w:rPr>
          <w:rFonts w:ascii="Arial" w:hAnsi="Arial" w:cs="Arial"/>
          <w:lang w:val="es-CR"/>
        </w:rPr>
        <w:t xml:space="preserve">851 casos por año, con una tasa </w:t>
      </w:r>
      <w:r w:rsidR="005549E4">
        <w:rPr>
          <w:rFonts w:ascii="Arial" w:hAnsi="Arial" w:cs="Arial"/>
          <w:lang w:val="es-CR"/>
        </w:rPr>
        <w:t>d</w:t>
      </w:r>
      <w:r w:rsidRPr="00940273">
        <w:rPr>
          <w:rFonts w:ascii="Arial" w:hAnsi="Arial" w:cs="Arial"/>
          <w:lang w:val="es-CR"/>
        </w:rPr>
        <w:t>e 181,0 casos por 100.000 habitantes.</w:t>
      </w:r>
      <w:r w:rsidRPr="000D3551">
        <w:rPr>
          <w:rFonts w:ascii="Arial" w:hAnsi="Arial" w:cs="Arial"/>
          <w:lang w:val="es-CR"/>
        </w:rPr>
        <w:t xml:space="preserve"> </w:t>
      </w:r>
      <w:r w:rsidR="005549E4">
        <w:rPr>
          <w:rFonts w:ascii="Arial" w:hAnsi="Arial" w:cs="Arial"/>
          <w:lang w:val="es-CR"/>
        </w:rPr>
        <w:t>L</w:t>
      </w:r>
      <w:r>
        <w:rPr>
          <w:rFonts w:ascii="Arial" w:hAnsi="Arial" w:cs="Arial"/>
          <w:lang w:val="es-CR"/>
        </w:rPr>
        <w:t xml:space="preserve">as provincias con tasa mayor a la nacional son Puntarenas, San José y Cartago con tasas de 261.2, 205.4 y </w:t>
      </w:r>
      <w:r w:rsidRPr="009A2ACC">
        <w:rPr>
          <w:rFonts w:ascii="Arial" w:hAnsi="Arial" w:cs="Arial"/>
          <w:lang w:val="es-CR"/>
        </w:rPr>
        <w:t>198.2</w:t>
      </w:r>
      <w:r>
        <w:rPr>
          <w:rFonts w:ascii="Arial" w:hAnsi="Arial" w:cs="Arial"/>
          <w:lang w:val="es-CR"/>
        </w:rPr>
        <w:t xml:space="preserve"> casos por 100.000 habitantes</w:t>
      </w:r>
      <w:r w:rsidR="005549E4">
        <w:rPr>
          <w:rFonts w:ascii="Arial" w:hAnsi="Arial" w:cs="Arial"/>
          <w:lang w:val="es-CR"/>
        </w:rPr>
        <w:t xml:space="preserve"> respectivamente</w:t>
      </w:r>
      <w:r>
        <w:rPr>
          <w:rFonts w:ascii="Arial" w:hAnsi="Arial" w:cs="Arial"/>
          <w:lang w:val="es-CR"/>
        </w:rPr>
        <w:t>. L</w:t>
      </w:r>
      <w:r w:rsidRPr="000D3551">
        <w:rPr>
          <w:rFonts w:ascii="Arial" w:hAnsi="Arial" w:cs="Arial"/>
          <w:lang w:val="es-CR"/>
        </w:rPr>
        <w:t xml:space="preserve">os cantones con mayor tasa de incidencia fueron Acosta con una </w:t>
      </w:r>
      <w:r w:rsidR="005549E4">
        <w:rPr>
          <w:rFonts w:ascii="Arial" w:hAnsi="Arial" w:cs="Arial"/>
          <w:lang w:val="es-CR"/>
        </w:rPr>
        <w:t>(</w:t>
      </w:r>
      <w:r w:rsidRPr="000D3551">
        <w:rPr>
          <w:rFonts w:ascii="Arial" w:hAnsi="Arial" w:cs="Arial"/>
          <w:lang w:val="es-CR"/>
        </w:rPr>
        <w:t xml:space="preserve">tasa de </w:t>
      </w:r>
      <w:r>
        <w:rPr>
          <w:rFonts w:ascii="Arial" w:hAnsi="Arial" w:cs="Arial"/>
          <w:lang w:val="es-CR"/>
        </w:rPr>
        <w:t>425.5</w:t>
      </w:r>
      <w:r w:rsidRPr="000D3551">
        <w:rPr>
          <w:rFonts w:ascii="Arial" w:hAnsi="Arial" w:cs="Arial"/>
          <w:lang w:val="es-CR"/>
        </w:rPr>
        <w:t xml:space="preserve"> por cada 100.000 habitantes</w:t>
      </w:r>
      <w:r w:rsidR="005549E4">
        <w:rPr>
          <w:rFonts w:ascii="Arial" w:hAnsi="Arial" w:cs="Arial"/>
          <w:lang w:val="es-CR"/>
        </w:rPr>
        <w:t>)</w:t>
      </w:r>
      <w:r w:rsidRPr="000D3551">
        <w:rPr>
          <w:rFonts w:ascii="Arial" w:hAnsi="Arial" w:cs="Arial"/>
          <w:lang w:val="es-CR"/>
        </w:rPr>
        <w:t xml:space="preserve">, seguido de </w:t>
      </w:r>
      <w:r>
        <w:rPr>
          <w:rFonts w:ascii="Arial" w:hAnsi="Arial" w:cs="Arial"/>
          <w:lang w:val="es-CR"/>
        </w:rPr>
        <w:t>Palmares</w:t>
      </w:r>
      <w:r w:rsidRPr="000D3551">
        <w:rPr>
          <w:rFonts w:ascii="Arial" w:hAnsi="Arial" w:cs="Arial"/>
          <w:lang w:val="es-CR"/>
        </w:rPr>
        <w:t xml:space="preserve"> </w:t>
      </w:r>
      <w:r w:rsidR="005549E4">
        <w:rPr>
          <w:rFonts w:ascii="Arial" w:hAnsi="Arial" w:cs="Arial"/>
          <w:lang w:val="es-CR"/>
        </w:rPr>
        <w:t>(</w:t>
      </w:r>
      <w:r w:rsidRPr="000D3551">
        <w:rPr>
          <w:rFonts w:ascii="Arial" w:hAnsi="Arial" w:cs="Arial"/>
          <w:lang w:val="es-CR"/>
        </w:rPr>
        <w:t xml:space="preserve">tasa de </w:t>
      </w:r>
      <w:r>
        <w:rPr>
          <w:rFonts w:ascii="Arial" w:hAnsi="Arial" w:cs="Arial"/>
          <w:lang w:val="es-CR"/>
        </w:rPr>
        <w:t>404,4</w:t>
      </w:r>
      <w:r w:rsidR="005549E4">
        <w:rPr>
          <w:rFonts w:ascii="Arial" w:hAnsi="Arial" w:cs="Arial"/>
          <w:lang w:val="es-CR"/>
        </w:rPr>
        <w:t>)</w:t>
      </w:r>
      <w:r w:rsidRPr="000D3551">
        <w:rPr>
          <w:rFonts w:ascii="Arial" w:hAnsi="Arial" w:cs="Arial"/>
          <w:lang w:val="es-CR"/>
        </w:rPr>
        <w:t xml:space="preserve"> y en tercer lugar </w:t>
      </w:r>
      <w:r>
        <w:rPr>
          <w:rFonts w:ascii="Arial" w:hAnsi="Arial" w:cs="Arial"/>
          <w:lang w:val="es-CR"/>
        </w:rPr>
        <w:t>Parrita</w:t>
      </w:r>
      <w:r w:rsidRPr="000D3551">
        <w:rPr>
          <w:rFonts w:ascii="Arial" w:hAnsi="Arial" w:cs="Arial"/>
          <w:lang w:val="es-CR"/>
        </w:rPr>
        <w:t xml:space="preserve"> </w:t>
      </w:r>
      <w:r w:rsidR="005549E4">
        <w:rPr>
          <w:rFonts w:ascii="Arial" w:hAnsi="Arial" w:cs="Arial"/>
          <w:lang w:val="es-CR"/>
        </w:rPr>
        <w:t>(</w:t>
      </w:r>
      <w:r w:rsidRPr="000D3551">
        <w:rPr>
          <w:rFonts w:ascii="Arial" w:hAnsi="Arial" w:cs="Arial"/>
          <w:lang w:val="es-CR"/>
        </w:rPr>
        <w:t xml:space="preserve">tasa de </w:t>
      </w:r>
      <w:r>
        <w:rPr>
          <w:rFonts w:ascii="Arial" w:hAnsi="Arial" w:cs="Arial"/>
          <w:lang w:val="es-CR"/>
        </w:rPr>
        <w:t>369,1</w:t>
      </w:r>
      <w:r w:rsidR="005549E4">
        <w:rPr>
          <w:rFonts w:ascii="Arial" w:hAnsi="Arial" w:cs="Arial"/>
          <w:lang w:val="es-CR"/>
        </w:rPr>
        <w:t>)</w:t>
      </w:r>
      <w:r w:rsidRPr="000D3551">
        <w:rPr>
          <w:rFonts w:ascii="Arial" w:hAnsi="Arial" w:cs="Arial"/>
          <w:lang w:val="es-CR"/>
        </w:rPr>
        <w:t xml:space="preserve">. </w:t>
      </w:r>
      <w:r>
        <w:rPr>
          <w:rFonts w:ascii="Arial" w:hAnsi="Arial" w:cs="Arial"/>
          <w:lang w:val="es-CR"/>
        </w:rPr>
        <w:t>Los cantones con menor tasa promedio en el per</w:t>
      </w:r>
      <w:r w:rsidR="005549E4">
        <w:rPr>
          <w:rFonts w:ascii="Arial" w:hAnsi="Arial" w:cs="Arial"/>
          <w:lang w:val="es-CR"/>
        </w:rPr>
        <w:t>í</w:t>
      </w:r>
      <w:r>
        <w:rPr>
          <w:rFonts w:ascii="Arial" w:hAnsi="Arial" w:cs="Arial"/>
          <w:lang w:val="es-CR"/>
        </w:rPr>
        <w:t xml:space="preserve">odo </w:t>
      </w:r>
      <w:r w:rsidR="005549E4">
        <w:rPr>
          <w:rFonts w:ascii="Arial" w:hAnsi="Arial" w:cs="Arial"/>
          <w:lang w:val="es-CR"/>
        </w:rPr>
        <w:t xml:space="preserve">fueron </w:t>
      </w:r>
      <w:r>
        <w:rPr>
          <w:rFonts w:ascii="Arial" w:hAnsi="Arial" w:cs="Arial"/>
          <w:lang w:val="es-CR"/>
        </w:rPr>
        <w:t xml:space="preserve">Alajuela, Talamanca y Atenas. </w:t>
      </w:r>
    </w:p>
    <w:p w:rsidR="005549E4" w:rsidRDefault="005549E4" w:rsidP="004777D8">
      <w:pPr>
        <w:spacing w:line="276" w:lineRule="auto"/>
        <w:jc w:val="both"/>
        <w:rPr>
          <w:rFonts w:ascii="Arial" w:hAnsi="Arial" w:cs="Arial"/>
          <w:lang w:val="es-CR"/>
        </w:rPr>
      </w:pPr>
    </w:p>
    <w:p w:rsidR="004777D8" w:rsidRPr="005549E4" w:rsidRDefault="005549E4" w:rsidP="004777D8">
      <w:pPr>
        <w:spacing w:line="276" w:lineRule="auto"/>
        <w:jc w:val="center"/>
        <w:rPr>
          <w:rFonts w:ascii="Arial" w:hAnsi="Arial" w:cs="Arial"/>
          <w:b/>
          <w:lang w:val="es-CR"/>
        </w:rPr>
      </w:pPr>
      <w:r w:rsidRPr="005549E4">
        <w:rPr>
          <w:rFonts w:ascii="Arial" w:hAnsi="Arial" w:cs="Arial"/>
          <w:b/>
          <w:lang w:val="es-CR"/>
        </w:rPr>
        <w:t xml:space="preserve">Gráfico </w:t>
      </w:r>
      <w:r w:rsidR="00F92A47">
        <w:rPr>
          <w:rFonts w:ascii="Arial" w:hAnsi="Arial" w:cs="Arial"/>
          <w:b/>
          <w:lang w:val="es-CR"/>
        </w:rPr>
        <w:t>8</w:t>
      </w:r>
    </w:p>
    <w:p w:rsidR="004777D8" w:rsidRPr="00A701DC" w:rsidRDefault="004777D8" w:rsidP="004777D8">
      <w:pPr>
        <w:spacing w:line="276" w:lineRule="auto"/>
        <w:jc w:val="center"/>
        <w:rPr>
          <w:rFonts w:ascii="Arial" w:hAnsi="Arial" w:cs="Arial"/>
          <w:lang w:val="es-CR"/>
        </w:rPr>
      </w:pPr>
      <w:r w:rsidRPr="005549E4">
        <w:rPr>
          <w:rFonts w:ascii="Arial" w:hAnsi="Arial" w:cs="Arial"/>
          <w:b/>
          <w:lang w:val="es-CR"/>
        </w:rPr>
        <w:t xml:space="preserve">Costa Rica: Morbilidad por </w:t>
      </w:r>
      <w:r w:rsidR="005549E4">
        <w:rPr>
          <w:rFonts w:ascii="Arial" w:hAnsi="Arial" w:cs="Arial"/>
          <w:b/>
          <w:lang w:val="es-CR"/>
        </w:rPr>
        <w:t>d</w:t>
      </w:r>
      <w:r w:rsidRPr="005549E4">
        <w:rPr>
          <w:rFonts w:ascii="Arial" w:hAnsi="Arial" w:cs="Arial"/>
          <w:b/>
          <w:lang w:val="es-CR"/>
        </w:rPr>
        <w:t xml:space="preserve">iabetes </w:t>
      </w:r>
      <w:r w:rsidR="005549E4">
        <w:rPr>
          <w:rFonts w:ascii="Arial" w:hAnsi="Arial" w:cs="Arial"/>
          <w:b/>
          <w:lang w:val="es-CR"/>
        </w:rPr>
        <w:t>m</w:t>
      </w:r>
      <w:r w:rsidRPr="005549E4">
        <w:rPr>
          <w:rFonts w:ascii="Arial" w:hAnsi="Arial" w:cs="Arial"/>
          <w:b/>
          <w:lang w:val="es-CR"/>
        </w:rPr>
        <w:t>ellitus, según provincia, 2014-2018</w:t>
      </w:r>
      <w:r>
        <w:rPr>
          <w:rFonts w:ascii="Arial" w:hAnsi="Arial" w:cs="Arial"/>
          <w:lang w:val="es-CR"/>
        </w:rPr>
        <w:t xml:space="preserve"> (tasa promedio quinquenal por 100.000 habitantes)</w:t>
      </w:r>
    </w:p>
    <w:p w:rsidR="004777D8" w:rsidRDefault="004777D8" w:rsidP="004777D8">
      <w:pPr>
        <w:spacing w:line="276" w:lineRule="auto"/>
        <w:jc w:val="both"/>
        <w:rPr>
          <w:rFonts w:ascii="Arial" w:hAnsi="Arial" w:cs="Arial"/>
          <w:lang w:val="es-CR"/>
        </w:rPr>
      </w:pPr>
    </w:p>
    <w:p w:rsidR="004777D8" w:rsidRDefault="004777D8" w:rsidP="004777D8">
      <w:pPr>
        <w:spacing w:line="276" w:lineRule="auto"/>
        <w:jc w:val="both"/>
        <w:rPr>
          <w:rFonts w:ascii="Arial" w:hAnsi="Arial" w:cs="Arial"/>
          <w:lang w:val="es-CR"/>
        </w:rPr>
      </w:pPr>
    </w:p>
    <w:p w:rsidR="004777D8" w:rsidRDefault="004777D8" w:rsidP="004777D8">
      <w:pPr>
        <w:spacing w:line="276" w:lineRule="auto"/>
        <w:jc w:val="center"/>
        <w:rPr>
          <w:rFonts w:ascii="Arial" w:hAnsi="Arial" w:cs="Arial"/>
          <w:lang w:val="es-CR"/>
        </w:rPr>
      </w:pPr>
      <w:r>
        <w:rPr>
          <w:noProof/>
          <w:lang w:val="es-CR" w:eastAsia="es-CR"/>
        </w:rPr>
        <w:drawing>
          <wp:inline distT="0" distB="0" distL="0" distR="0" wp14:anchorId="3847542A" wp14:editId="23749864">
            <wp:extent cx="4333876" cy="2743200"/>
            <wp:effectExtent l="0" t="0" r="0" b="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777D8" w:rsidRPr="00D01D58" w:rsidRDefault="004777D8" w:rsidP="004777D8">
      <w:pPr>
        <w:spacing w:line="276" w:lineRule="auto"/>
        <w:jc w:val="center"/>
        <w:rPr>
          <w:rFonts w:ascii="Arial" w:hAnsi="Arial" w:cs="Arial"/>
          <w:sz w:val="18"/>
          <w:lang w:val="es-CR"/>
        </w:rPr>
      </w:pPr>
      <w:r w:rsidRPr="00E144A3">
        <w:rPr>
          <w:rFonts w:ascii="Arial" w:hAnsi="Arial" w:cs="Arial"/>
          <w:b/>
          <w:sz w:val="18"/>
          <w:lang w:val="es-CR"/>
        </w:rPr>
        <w:t>Fuente:</w:t>
      </w:r>
      <w:r w:rsidRPr="009B62DD">
        <w:rPr>
          <w:rFonts w:ascii="Arial" w:hAnsi="Arial" w:cs="Arial"/>
          <w:sz w:val="18"/>
          <w:lang w:val="es-CR"/>
        </w:rPr>
        <w:t xml:space="preserve"> Dirección Vigilancia de la Salud, Ministerio de Salud</w:t>
      </w:r>
      <w:r w:rsidR="005549E4">
        <w:rPr>
          <w:rFonts w:ascii="Arial" w:hAnsi="Arial" w:cs="Arial"/>
          <w:sz w:val="18"/>
          <w:lang w:val="es-CR"/>
        </w:rPr>
        <w:t>, 201</w:t>
      </w:r>
      <w:r w:rsidR="00E144A3">
        <w:rPr>
          <w:rFonts w:ascii="Arial" w:hAnsi="Arial" w:cs="Arial"/>
          <w:sz w:val="18"/>
          <w:lang w:val="es-CR"/>
        </w:rPr>
        <w:t>9</w:t>
      </w:r>
      <w:r w:rsidR="005549E4">
        <w:rPr>
          <w:rFonts w:ascii="Arial" w:hAnsi="Arial" w:cs="Arial"/>
          <w:sz w:val="18"/>
          <w:lang w:val="es-CR"/>
        </w:rPr>
        <w:t>.</w:t>
      </w:r>
    </w:p>
    <w:p w:rsidR="004777D8" w:rsidRDefault="004777D8" w:rsidP="004777D8">
      <w:pPr>
        <w:spacing w:line="276" w:lineRule="auto"/>
        <w:jc w:val="both"/>
        <w:rPr>
          <w:rFonts w:ascii="Arial" w:hAnsi="Arial" w:cs="Arial"/>
          <w:lang w:val="es-CR"/>
        </w:rPr>
      </w:pPr>
    </w:p>
    <w:p w:rsidR="004777D8" w:rsidRDefault="004777D8" w:rsidP="004777D8">
      <w:pPr>
        <w:spacing w:line="276" w:lineRule="auto"/>
        <w:jc w:val="both"/>
        <w:rPr>
          <w:rFonts w:ascii="Arial" w:hAnsi="Arial" w:cs="Arial"/>
          <w:lang w:val="es-CR"/>
        </w:rPr>
      </w:pPr>
      <w:r>
        <w:rPr>
          <w:rFonts w:ascii="Arial" w:hAnsi="Arial" w:cs="Arial"/>
          <w:lang w:val="es-CR"/>
        </w:rPr>
        <w:lastRenderedPageBreak/>
        <w:t xml:space="preserve">La incidencia </w:t>
      </w:r>
      <w:r w:rsidR="000F5720">
        <w:rPr>
          <w:rFonts w:ascii="Arial" w:hAnsi="Arial" w:cs="Arial"/>
          <w:lang w:val="es-CR"/>
        </w:rPr>
        <w:t xml:space="preserve">de DM </w:t>
      </w:r>
      <w:r>
        <w:rPr>
          <w:rFonts w:ascii="Arial" w:hAnsi="Arial" w:cs="Arial"/>
          <w:lang w:val="es-CR"/>
        </w:rPr>
        <w:t xml:space="preserve">aumenta </w:t>
      </w:r>
      <w:r w:rsidR="000F5720">
        <w:rPr>
          <w:rFonts w:ascii="Arial" w:hAnsi="Arial" w:cs="Arial"/>
          <w:lang w:val="es-CR"/>
        </w:rPr>
        <w:t>a</w:t>
      </w:r>
      <w:r>
        <w:rPr>
          <w:rFonts w:ascii="Arial" w:hAnsi="Arial" w:cs="Arial"/>
          <w:lang w:val="es-CR"/>
        </w:rPr>
        <w:t xml:space="preserve"> partir de los 40 años y la mayor </w:t>
      </w:r>
      <w:r w:rsidR="000F5720">
        <w:rPr>
          <w:rFonts w:ascii="Arial" w:hAnsi="Arial" w:cs="Arial"/>
          <w:lang w:val="es-CR"/>
        </w:rPr>
        <w:t xml:space="preserve">se presenta </w:t>
      </w:r>
      <w:r>
        <w:rPr>
          <w:rFonts w:ascii="Arial" w:hAnsi="Arial" w:cs="Arial"/>
          <w:lang w:val="es-CR"/>
        </w:rPr>
        <w:t>en el grupo de 65 a 69 años con una tasa de 647,2 casos por 100.000 habitantes</w:t>
      </w:r>
      <w:r w:rsidRPr="000D3551">
        <w:rPr>
          <w:rFonts w:ascii="Arial" w:hAnsi="Arial" w:cs="Arial"/>
          <w:lang w:val="es-CR"/>
        </w:rPr>
        <w:t xml:space="preserve"> y afecta generalmente </w:t>
      </w:r>
      <w:r>
        <w:rPr>
          <w:rFonts w:ascii="Arial" w:hAnsi="Arial" w:cs="Arial"/>
          <w:lang w:val="es-CR"/>
        </w:rPr>
        <w:t xml:space="preserve">a las mujeres. </w:t>
      </w:r>
    </w:p>
    <w:p w:rsidR="005549E4" w:rsidRDefault="005549E4" w:rsidP="004777D8">
      <w:pPr>
        <w:spacing w:line="276" w:lineRule="auto"/>
        <w:jc w:val="both"/>
        <w:rPr>
          <w:rFonts w:ascii="Arial" w:hAnsi="Arial" w:cs="Arial"/>
          <w:lang w:val="es-CR"/>
        </w:rPr>
      </w:pPr>
    </w:p>
    <w:p w:rsidR="004777D8" w:rsidRPr="00D01D58" w:rsidRDefault="004777D8" w:rsidP="004777D8">
      <w:pPr>
        <w:spacing w:line="276" w:lineRule="auto"/>
        <w:jc w:val="both"/>
        <w:rPr>
          <w:rFonts w:ascii="Arial" w:hAnsi="Arial" w:cs="Arial"/>
          <w:lang w:val="es-CR"/>
        </w:rPr>
      </w:pPr>
    </w:p>
    <w:p w:rsidR="004777D8" w:rsidRPr="00DA36A6" w:rsidRDefault="005549E4" w:rsidP="004777D8">
      <w:pPr>
        <w:ind w:left="357"/>
        <w:jc w:val="center"/>
        <w:rPr>
          <w:rFonts w:ascii="Arial" w:hAnsi="Arial" w:cs="Arial"/>
          <w:b/>
          <w:lang w:val="es-CR"/>
        </w:rPr>
      </w:pPr>
      <w:r w:rsidRPr="00DA36A6">
        <w:rPr>
          <w:rFonts w:ascii="Arial" w:hAnsi="Arial" w:cs="Arial"/>
          <w:b/>
          <w:lang w:val="es-CR"/>
        </w:rPr>
        <w:t xml:space="preserve">Gráfico </w:t>
      </w:r>
      <w:r w:rsidR="00845B3F">
        <w:rPr>
          <w:rFonts w:ascii="Arial" w:hAnsi="Arial" w:cs="Arial"/>
          <w:b/>
          <w:lang w:val="es-CR"/>
        </w:rPr>
        <w:t>9</w:t>
      </w:r>
    </w:p>
    <w:p w:rsidR="000F5720" w:rsidRPr="00DA36A6" w:rsidRDefault="004777D8" w:rsidP="004777D8">
      <w:pPr>
        <w:spacing w:line="276" w:lineRule="auto"/>
        <w:jc w:val="center"/>
        <w:rPr>
          <w:rFonts w:ascii="Arial" w:hAnsi="Arial" w:cs="Arial"/>
          <w:b/>
          <w:lang w:val="es-CR"/>
        </w:rPr>
      </w:pPr>
      <w:r w:rsidRPr="00DA36A6">
        <w:rPr>
          <w:rFonts w:ascii="Arial" w:hAnsi="Arial" w:cs="Arial"/>
          <w:b/>
          <w:lang w:val="es-CR"/>
        </w:rPr>
        <w:t xml:space="preserve">Costa Rica: Morbilidad por </w:t>
      </w:r>
      <w:r w:rsidR="005549E4" w:rsidRPr="00DA36A6">
        <w:rPr>
          <w:rFonts w:ascii="Arial" w:hAnsi="Arial" w:cs="Arial"/>
          <w:b/>
          <w:lang w:val="es-CR"/>
        </w:rPr>
        <w:t>d</w:t>
      </w:r>
      <w:r w:rsidRPr="00DA36A6">
        <w:rPr>
          <w:rFonts w:ascii="Arial" w:hAnsi="Arial" w:cs="Arial"/>
          <w:b/>
          <w:lang w:val="es-CR"/>
        </w:rPr>
        <w:t xml:space="preserve">iabetes </w:t>
      </w:r>
      <w:r w:rsidR="005549E4" w:rsidRPr="00DA36A6">
        <w:rPr>
          <w:rFonts w:ascii="Arial" w:hAnsi="Arial" w:cs="Arial"/>
          <w:b/>
          <w:lang w:val="es-CR"/>
        </w:rPr>
        <w:t>m</w:t>
      </w:r>
      <w:r w:rsidRPr="00DA36A6">
        <w:rPr>
          <w:rFonts w:ascii="Arial" w:hAnsi="Arial" w:cs="Arial"/>
          <w:b/>
          <w:lang w:val="es-CR"/>
        </w:rPr>
        <w:t xml:space="preserve">ellitus, según </w:t>
      </w:r>
    </w:p>
    <w:p w:rsidR="005549E4" w:rsidRPr="00DA36A6" w:rsidRDefault="004777D8" w:rsidP="004777D8">
      <w:pPr>
        <w:spacing w:line="276" w:lineRule="auto"/>
        <w:jc w:val="center"/>
        <w:rPr>
          <w:rFonts w:ascii="Arial" w:hAnsi="Arial" w:cs="Arial"/>
          <w:b/>
          <w:lang w:val="es-CR"/>
        </w:rPr>
      </w:pPr>
      <w:r w:rsidRPr="00DA36A6">
        <w:rPr>
          <w:rFonts w:ascii="Arial" w:hAnsi="Arial" w:cs="Arial"/>
          <w:b/>
          <w:lang w:val="es-CR"/>
        </w:rPr>
        <w:t>grupo de edad y sexo</w:t>
      </w:r>
      <w:r w:rsidR="000F5720" w:rsidRPr="00DA36A6">
        <w:rPr>
          <w:rFonts w:ascii="Arial" w:hAnsi="Arial" w:cs="Arial"/>
          <w:b/>
          <w:lang w:val="es-CR"/>
        </w:rPr>
        <w:t>,</w:t>
      </w:r>
      <w:r w:rsidRPr="00DA36A6">
        <w:rPr>
          <w:rFonts w:ascii="Arial" w:hAnsi="Arial" w:cs="Arial"/>
          <w:b/>
          <w:lang w:val="es-CR"/>
        </w:rPr>
        <w:t xml:space="preserve"> 2014-2018 </w:t>
      </w:r>
      <w:r w:rsidR="000F5720" w:rsidRPr="00DA36A6">
        <w:rPr>
          <w:rFonts w:ascii="Arial" w:hAnsi="Arial" w:cs="Arial"/>
          <w:b/>
          <w:lang w:val="es-CR"/>
        </w:rPr>
        <w:t>.</w:t>
      </w:r>
    </w:p>
    <w:p w:rsidR="004777D8" w:rsidRPr="00DA6AEA" w:rsidRDefault="004777D8" w:rsidP="004777D8">
      <w:pPr>
        <w:spacing w:line="276" w:lineRule="auto"/>
        <w:jc w:val="center"/>
        <w:rPr>
          <w:rFonts w:ascii="Arial" w:hAnsi="Arial" w:cs="Arial"/>
          <w:lang w:val="es-CR"/>
        </w:rPr>
      </w:pPr>
      <w:r>
        <w:rPr>
          <w:rFonts w:ascii="Arial" w:hAnsi="Arial" w:cs="Arial"/>
          <w:lang w:val="es-CR"/>
        </w:rPr>
        <w:t>(</w:t>
      </w:r>
      <w:r w:rsidRPr="000F5720">
        <w:rPr>
          <w:rFonts w:ascii="Arial" w:hAnsi="Arial" w:cs="Arial"/>
          <w:sz w:val="20"/>
          <w:szCs w:val="20"/>
          <w:lang w:val="es-CR"/>
        </w:rPr>
        <w:t>tasa promedio quinquenal por 100.000 habitantes</w:t>
      </w:r>
      <w:r>
        <w:rPr>
          <w:rFonts w:ascii="Arial" w:hAnsi="Arial" w:cs="Arial"/>
          <w:lang w:val="es-CR"/>
        </w:rPr>
        <w:t>)</w:t>
      </w:r>
    </w:p>
    <w:p w:rsidR="004777D8" w:rsidRDefault="004777D8" w:rsidP="004777D8">
      <w:pPr>
        <w:spacing w:line="276" w:lineRule="auto"/>
        <w:jc w:val="center"/>
        <w:rPr>
          <w:rFonts w:ascii="Arial" w:hAnsi="Arial" w:cs="Arial"/>
          <w:b/>
          <w:lang w:val="es-CR"/>
        </w:rPr>
      </w:pPr>
      <w:r>
        <w:rPr>
          <w:noProof/>
          <w:lang w:val="es-CR" w:eastAsia="es-CR"/>
        </w:rPr>
        <w:drawing>
          <wp:inline distT="0" distB="0" distL="0" distR="0" wp14:anchorId="4B06F298" wp14:editId="649588E2">
            <wp:extent cx="4389120" cy="2448560"/>
            <wp:effectExtent l="0" t="0" r="0" b="889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777D8" w:rsidRDefault="004777D8" w:rsidP="004777D8">
      <w:pPr>
        <w:spacing w:line="276" w:lineRule="auto"/>
        <w:jc w:val="center"/>
        <w:rPr>
          <w:rFonts w:ascii="Arial" w:hAnsi="Arial" w:cs="Arial"/>
          <w:b/>
          <w:lang w:val="es-CR"/>
        </w:rPr>
      </w:pPr>
      <w:r w:rsidRPr="00DA36A6">
        <w:rPr>
          <w:rFonts w:ascii="Arial" w:hAnsi="Arial" w:cs="Arial"/>
          <w:b/>
          <w:sz w:val="18"/>
          <w:lang w:val="es-CR"/>
        </w:rPr>
        <w:t>Fuente:</w:t>
      </w:r>
      <w:r w:rsidRPr="009B62DD">
        <w:rPr>
          <w:rFonts w:ascii="Arial" w:hAnsi="Arial" w:cs="Arial"/>
          <w:sz w:val="18"/>
          <w:lang w:val="es-CR"/>
        </w:rPr>
        <w:t xml:space="preserve"> Dirección Vigilancia de la Salud, Ministerio de Salud</w:t>
      </w:r>
      <w:r w:rsidR="00DA36A6">
        <w:rPr>
          <w:rFonts w:ascii="Arial" w:hAnsi="Arial" w:cs="Arial"/>
          <w:sz w:val="18"/>
          <w:lang w:val="es-CR"/>
        </w:rPr>
        <w:t>, 2019.</w:t>
      </w:r>
    </w:p>
    <w:p w:rsidR="000F5720" w:rsidRDefault="000F5720" w:rsidP="004777D8">
      <w:pPr>
        <w:spacing w:line="276" w:lineRule="auto"/>
        <w:rPr>
          <w:rFonts w:ascii="Arial" w:hAnsi="Arial" w:cs="Arial"/>
          <w:b/>
          <w:lang w:val="es-CR"/>
        </w:rPr>
      </w:pPr>
    </w:p>
    <w:p w:rsidR="000F5720" w:rsidRDefault="000F5720" w:rsidP="004777D8">
      <w:pPr>
        <w:spacing w:line="276" w:lineRule="auto"/>
        <w:rPr>
          <w:rFonts w:ascii="Arial" w:hAnsi="Arial" w:cs="Arial"/>
          <w:b/>
          <w:lang w:val="es-CR"/>
        </w:rPr>
      </w:pPr>
    </w:p>
    <w:p w:rsidR="004777D8" w:rsidRDefault="00C32EAD" w:rsidP="004777D8">
      <w:pPr>
        <w:spacing w:line="276" w:lineRule="auto"/>
        <w:jc w:val="both"/>
        <w:rPr>
          <w:rFonts w:ascii="Arial" w:hAnsi="Arial" w:cs="Arial"/>
          <w:lang w:val="es-CR"/>
        </w:rPr>
      </w:pPr>
      <w:r>
        <w:rPr>
          <w:rFonts w:ascii="Arial" w:hAnsi="Arial" w:cs="Arial"/>
          <w:lang w:val="es-CR"/>
        </w:rPr>
        <w:t>En</w:t>
      </w:r>
      <w:r w:rsidR="004777D8" w:rsidRPr="000D3551">
        <w:rPr>
          <w:rFonts w:ascii="Arial" w:hAnsi="Arial" w:cs="Arial"/>
          <w:lang w:val="es-CR"/>
        </w:rPr>
        <w:t xml:space="preserve"> relación </w:t>
      </w:r>
      <w:r>
        <w:rPr>
          <w:rFonts w:ascii="Arial" w:hAnsi="Arial" w:cs="Arial"/>
          <w:lang w:val="es-CR"/>
        </w:rPr>
        <w:t xml:space="preserve">con </w:t>
      </w:r>
      <w:r w:rsidR="004777D8" w:rsidRPr="000D3551">
        <w:rPr>
          <w:rFonts w:ascii="Arial" w:hAnsi="Arial" w:cs="Arial"/>
          <w:lang w:val="es-CR"/>
        </w:rPr>
        <w:t xml:space="preserve">la mortalidad </w:t>
      </w:r>
      <w:r>
        <w:rPr>
          <w:rFonts w:ascii="Arial" w:hAnsi="Arial" w:cs="Arial"/>
          <w:lang w:val="es-CR"/>
        </w:rPr>
        <w:t>por DM</w:t>
      </w:r>
      <w:r w:rsidR="004777D8" w:rsidRPr="000D3551">
        <w:rPr>
          <w:rFonts w:ascii="Arial" w:hAnsi="Arial" w:cs="Arial"/>
          <w:lang w:val="es-CR"/>
        </w:rPr>
        <w:t xml:space="preserve"> durante el año 2016</w:t>
      </w:r>
      <w:r w:rsidR="004777D8">
        <w:rPr>
          <w:rFonts w:ascii="Arial" w:hAnsi="Arial" w:cs="Arial"/>
          <w:lang w:val="es-CR"/>
        </w:rPr>
        <w:t>,</w:t>
      </w:r>
      <w:r w:rsidR="004777D8" w:rsidRPr="000D3551">
        <w:rPr>
          <w:rFonts w:ascii="Arial" w:hAnsi="Arial" w:cs="Arial"/>
          <w:lang w:val="es-CR"/>
        </w:rPr>
        <w:t xml:space="preserve"> 1</w:t>
      </w:r>
      <w:r w:rsidR="000F5720">
        <w:rPr>
          <w:rFonts w:ascii="Arial" w:hAnsi="Arial" w:cs="Arial"/>
          <w:lang w:val="es-CR"/>
        </w:rPr>
        <w:t>.</w:t>
      </w:r>
      <w:r w:rsidR="004777D8">
        <w:rPr>
          <w:rFonts w:ascii="Arial" w:hAnsi="Arial" w:cs="Arial"/>
          <w:lang w:val="es-CR"/>
        </w:rPr>
        <w:t>299</w:t>
      </w:r>
      <w:r w:rsidR="004777D8" w:rsidRPr="000D3551">
        <w:rPr>
          <w:rFonts w:ascii="Arial" w:hAnsi="Arial" w:cs="Arial"/>
          <w:lang w:val="es-CR"/>
        </w:rPr>
        <w:t xml:space="preserve"> personas fallecieron </w:t>
      </w:r>
      <w:r>
        <w:rPr>
          <w:rFonts w:ascii="Arial" w:hAnsi="Arial" w:cs="Arial"/>
          <w:lang w:val="es-CR"/>
        </w:rPr>
        <w:t xml:space="preserve">por esta </w:t>
      </w:r>
      <w:r w:rsidR="004777D8" w:rsidRPr="000D3551">
        <w:rPr>
          <w:rFonts w:ascii="Arial" w:hAnsi="Arial" w:cs="Arial"/>
          <w:lang w:val="es-CR"/>
        </w:rPr>
        <w:t xml:space="preserve">causa en nuestro país, para una tasa de mortalidad de </w:t>
      </w:r>
      <w:r w:rsidR="004777D8">
        <w:rPr>
          <w:rFonts w:ascii="Arial" w:hAnsi="Arial" w:cs="Arial"/>
          <w:lang w:val="es-CR"/>
        </w:rPr>
        <w:t>26,3 por 100.000 habitantes</w:t>
      </w:r>
      <w:r>
        <w:rPr>
          <w:rFonts w:ascii="Arial" w:hAnsi="Arial" w:cs="Arial"/>
          <w:lang w:val="es-CR"/>
        </w:rPr>
        <w:t>. La</w:t>
      </w:r>
      <w:r w:rsidR="004777D8">
        <w:rPr>
          <w:rFonts w:ascii="Arial" w:hAnsi="Arial" w:cs="Arial"/>
          <w:lang w:val="es-CR"/>
        </w:rPr>
        <w:t xml:space="preserve"> mayor tasa de mortalidad </w:t>
      </w:r>
      <w:r>
        <w:rPr>
          <w:rFonts w:ascii="Arial" w:hAnsi="Arial" w:cs="Arial"/>
          <w:lang w:val="es-CR"/>
        </w:rPr>
        <w:t xml:space="preserve">se presentó </w:t>
      </w:r>
      <w:r w:rsidR="004777D8">
        <w:rPr>
          <w:rFonts w:ascii="Arial" w:hAnsi="Arial" w:cs="Arial"/>
          <w:lang w:val="es-CR"/>
        </w:rPr>
        <w:t xml:space="preserve">en el grupo de 65 años </w:t>
      </w:r>
      <w:r>
        <w:rPr>
          <w:rFonts w:ascii="Arial" w:hAnsi="Arial" w:cs="Arial"/>
          <w:lang w:val="es-CR"/>
        </w:rPr>
        <w:t xml:space="preserve">y más </w:t>
      </w:r>
      <w:r w:rsidR="004777D8">
        <w:rPr>
          <w:rFonts w:ascii="Arial" w:hAnsi="Arial" w:cs="Arial"/>
          <w:lang w:val="es-CR"/>
        </w:rPr>
        <w:t>con 443,5 casos por 100.000 habitantes.</w:t>
      </w:r>
    </w:p>
    <w:p w:rsidR="00C32EAD" w:rsidRDefault="00C32EAD">
      <w:pPr>
        <w:spacing w:after="160" w:line="259" w:lineRule="auto"/>
        <w:rPr>
          <w:rFonts w:ascii="Arial" w:hAnsi="Arial" w:cs="Arial"/>
          <w:lang w:val="es-CR"/>
        </w:rPr>
      </w:pPr>
    </w:p>
    <w:p w:rsidR="00E12726" w:rsidRDefault="00E12726">
      <w:pPr>
        <w:spacing w:after="160" w:line="259" w:lineRule="auto"/>
        <w:rPr>
          <w:rFonts w:ascii="Arial" w:hAnsi="Arial" w:cs="Arial"/>
          <w:lang w:val="es-CR"/>
        </w:rPr>
      </w:pPr>
      <w:r>
        <w:rPr>
          <w:rFonts w:ascii="Arial" w:hAnsi="Arial" w:cs="Arial"/>
          <w:lang w:val="es-CR"/>
        </w:rPr>
        <w:br w:type="page"/>
      </w:r>
    </w:p>
    <w:p w:rsidR="004777D8" w:rsidRDefault="004777D8" w:rsidP="004777D8">
      <w:pPr>
        <w:spacing w:line="276" w:lineRule="auto"/>
        <w:jc w:val="both"/>
        <w:rPr>
          <w:rFonts w:ascii="Arial" w:hAnsi="Arial" w:cs="Arial"/>
          <w:lang w:val="es-CR"/>
        </w:rPr>
      </w:pPr>
    </w:p>
    <w:p w:rsidR="004777D8" w:rsidRPr="00A35423" w:rsidRDefault="004777D8" w:rsidP="004777D8">
      <w:pPr>
        <w:jc w:val="center"/>
        <w:rPr>
          <w:rFonts w:ascii="Arial" w:hAnsi="Arial" w:cs="Arial"/>
          <w:b/>
          <w:lang w:val="es-CR"/>
        </w:rPr>
      </w:pPr>
      <w:r w:rsidRPr="00A35423">
        <w:rPr>
          <w:rFonts w:ascii="Arial" w:hAnsi="Arial" w:cs="Arial"/>
          <w:b/>
          <w:lang w:val="es-CR"/>
        </w:rPr>
        <w:t xml:space="preserve">Gráfico </w:t>
      </w:r>
      <w:r w:rsidR="00DA36A6">
        <w:rPr>
          <w:rFonts w:ascii="Arial" w:hAnsi="Arial" w:cs="Arial"/>
          <w:b/>
          <w:lang w:val="es-CR"/>
        </w:rPr>
        <w:t>1</w:t>
      </w:r>
      <w:r w:rsidR="00845B3F">
        <w:rPr>
          <w:rFonts w:ascii="Arial" w:hAnsi="Arial" w:cs="Arial"/>
          <w:b/>
          <w:lang w:val="es-CR"/>
        </w:rPr>
        <w:t>0</w:t>
      </w:r>
    </w:p>
    <w:p w:rsidR="004777D8" w:rsidRPr="00E12726" w:rsidRDefault="004777D8" w:rsidP="004777D8">
      <w:pPr>
        <w:jc w:val="center"/>
        <w:rPr>
          <w:rFonts w:ascii="Arial" w:hAnsi="Arial" w:cs="Arial"/>
          <w:b/>
          <w:lang w:val="es-CR"/>
        </w:rPr>
      </w:pPr>
      <w:r w:rsidRPr="00E12726">
        <w:rPr>
          <w:rFonts w:ascii="Arial" w:hAnsi="Arial" w:cs="Arial"/>
          <w:b/>
          <w:lang w:val="es-CR"/>
        </w:rPr>
        <w:t xml:space="preserve">Costa Rica: Mortalidad por </w:t>
      </w:r>
      <w:r w:rsidR="00E12726" w:rsidRPr="00E12726">
        <w:rPr>
          <w:rFonts w:ascii="Arial" w:hAnsi="Arial" w:cs="Arial"/>
          <w:b/>
          <w:lang w:val="es-CR"/>
        </w:rPr>
        <w:t>d</w:t>
      </w:r>
      <w:r w:rsidRPr="00E12726">
        <w:rPr>
          <w:rFonts w:ascii="Arial" w:hAnsi="Arial" w:cs="Arial"/>
          <w:b/>
          <w:lang w:val="es-CR"/>
        </w:rPr>
        <w:t xml:space="preserve">iabetes </w:t>
      </w:r>
      <w:r w:rsidR="00E12726" w:rsidRPr="00E12726">
        <w:rPr>
          <w:rFonts w:ascii="Arial" w:hAnsi="Arial" w:cs="Arial"/>
          <w:b/>
          <w:lang w:val="es-CR"/>
        </w:rPr>
        <w:t>m</w:t>
      </w:r>
      <w:r w:rsidRPr="00E12726">
        <w:rPr>
          <w:rFonts w:ascii="Arial" w:hAnsi="Arial" w:cs="Arial"/>
          <w:b/>
          <w:lang w:val="es-CR"/>
        </w:rPr>
        <w:t>ellitus según sexo, 2014-2017</w:t>
      </w:r>
    </w:p>
    <w:p w:rsidR="004777D8" w:rsidRPr="00E12726" w:rsidRDefault="004777D8" w:rsidP="004777D8">
      <w:pPr>
        <w:jc w:val="center"/>
        <w:rPr>
          <w:rFonts w:ascii="Arial" w:hAnsi="Arial" w:cs="Arial"/>
          <w:sz w:val="20"/>
          <w:szCs w:val="20"/>
          <w:lang w:val="es-CR"/>
        </w:rPr>
      </w:pPr>
      <w:r w:rsidRPr="00E12726">
        <w:rPr>
          <w:rFonts w:ascii="Arial" w:hAnsi="Arial" w:cs="Arial"/>
          <w:sz w:val="20"/>
          <w:szCs w:val="20"/>
          <w:lang w:val="es-CR"/>
        </w:rPr>
        <w:t>(tasas por 100.000 habitantes)</w:t>
      </w:r>
    </w:p>
    <w:p w:rsidR="004777D8" w:rsidRDefault="004777D8" w:rsidP="004777D8">
      <w:pPr>
        <w:spacing w:line="360" w:lineRule="auto"/>
        <w:jc w:val="center"/>
        <w:rPr>
          <w:rFonts w:ascii="Arial" w:hAnsi="Arial" w:cs="Arial"/>
          <w:sz w:val="14"/>
          <w:lang w:val="es-CR"/>
        </w:rPr>
      </w:pPr>
      <w:r>
        <w:rPr>
          <w:noProof/>
          <w:lang w:val="es-CR" w:eastAsia="es-CR"/>
        </w:rPr>
        <w:drawing>
          <wp:inline distT="0" distB="0" distL="0" distR="0" wp14:anchorId="57B133DF" wp14:editId="441FCFD2">
            <wp:extent cx="3474720" cy="2250219"/>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777D8" w:rsidRPr="00DA36A6" w:rsidRDefault="004777D8" w:rsidP="004777D8">
      <w:pPr>
        <w:spacing w:line="360" w:lineRule="auto"/>
        <w:jc w:val="center"/>
        <w:rPr>
          <w:rFonts w:ascii="Arial" w:hAnsi="Arial" w:cs="Arial"/>
          <w:b/>
          <w:sz w:val="16"/>
          <w:szCs w:val="16"/>
          <w:lang w:val="es-MX"/>
        </w:rPr>
      </w:pPr>
      <w:r w:rsidRPr="00DA36A6">
        <w:rPr>
          <w:rFonts w:ascii="Arial" w:hAnsi="Arial" w:cs="Arial"/>
          <w:b/>
          <w:sz w:val="16"/>
          <w:szCs w:val="16"/>
          <w:lang w:val="es-CR"/>
        </w:rPr>
        <w:t>Fuente</w:t>
      </w:r>
      <w:r w:rsidR="00DA36A6">
        <w:rPr>
          <w:rFonts w:ascii="Arial" w:hAnsi="Arial" w:cs="Arial"/>
          <w:sz w:val="16"/>
          <w:szCs w:val="16"/>
          <w:lang w:val="es-CR"/>
        </w:rPr>
        <w:t>:</w:t>
      </w:r>
      <w:r w:rsidR="00DA36A6" w:rsidRPr="00DA36A6">
        <w:rPr>
          <w:rFonts w:ascii="Arial" w:hAnsi="Arial" w:cs="Arial"/>
          <w:sz w:val="16"/>
          <w:szCs w:val="16"/>
          <w:lang w:val="es-CR"/>
        </w:rPr>
        <w:t>INEC</w:t>
      </w:r>
      <w:r w:rsidRPr="00DA36A6">
        <w:rPr>
          <w:rFonts w:ascii="Arial" w:hAnsi="Arial" w:cs="Arial"/>
          <w:sz w:val="16"/>
          <w:szCs w:val="16"/>
          <w:lang w:val="es-CR"/>
        </w:rPr>
        <w:t>, Ministerio de Salud</w:t>
      </w:r>
      <w:r w:rsidR="00DA36A6" w:rsidRPr="00DA36A6">
        <w:rPr>
          <w:rFonts w:ascii="Arial" w:hAnsi="Arial" w:cs="Arial"/>
          <w:sz w:val="16"/>
          <w:szCs w:val="16"/>
          <w:lang w:val="es-CR"/>
        </w:rPr>
        <w:t>, 2019</w:t>
      </w:r>
      <w:r w:rsidRPr="00DA36A6">
        <w:rPr>
          <w:rFonts w:ascii="Arial" w:hAnsi="Arial" w:cs="Arial"/>
          <w:sz w:val="16"/>
          <w:szCs w:val="16"/>
          <w:lang w:val="es-CR"/>
        </w:rPr>
        <w:t>.</w:t>
      </w:r>
    </w:p>
    <w:p w:rsidR="004777D8" w:rsidRDefault="004777D8" w:rsidP="004777D8">
      <w:pPr>
        <w:spacing w:line="360" w:lineRule="auto"/>
        <w:rPr>
          <w:rFonts w:ascii="Arial" w:hAnsi="Arial" w:cs="Arial"/>
          <w:b/>
          <w:lang w:val="es-MX"/>
        </w:rPr>
      </w:pPr>
    </w:p>
    <w:p w:rsidR="00E12726" w:rsidRDefault="00E12726" w:rsidP="004777D8">
      <w:pPr>
        <w:spacing w:line="360" w:lineRule="auto"/>
        <w:rPr>
          <w:rFonts w:ascii="Arial" w:hAnsi="Arial" w:cs="Arial"/>
          <w:b/>
          <w:lang w:val="es-MX"/>
        </w:rPr>
      </w:pPr>
    </w:p>
    <w:p w:rsidR="004777D8" w:rsidRPr="00845B3F" w:rsidRDefault="004777D8" w:rsidP="00845B3F">
      <w:pPr>
        <w:pStyle w:val="Ttulo3"/>
        <w:spacing w:after="240"/>
        <w:rPr>
          <w:rFonts w:ascii="Arial" w:hAnsi="Arial" w:cs="Arial"/>
          <w:b/>
          <w:color w:val="auto"/>
        </w:rPr>
      </w:pPr>
      <w:bookmarkStart w:id="18" w:name="_Toc7439657"/>
      <w:r w:rsidRPr="00845B3F">
        <w:rPr>
          <w:rFonts w:ascii="Arial" w:hAnsi="Arial" w:cs="Arial"/>
          <w:b/>
          <w:color w:val="auto"/>
        </w:rPr>
        <w:t>Cáncer</w:t>
      </w:r>
      <w:bookmarkEnd w:id="18"/>
    </w:p>
    <w:p w:rsidR="004777D8" w:rsidRPr="00846A56" w:rsidRDefault="00E12726" w:rsidP="00E12726">
      <w:pPr>
        <w:spacing w:after="240" w:line="276" w:lineRule="auto"/>
        <w:jc w:val="both"/>
        <w:rPr>
          <w:rFonts w:ascii="Arial" w:hAnsi="Arial" w:cs="Arial"/>
          <w:lang w:val="es-MX"/>
        </w:rPr>
      </w:pPr>
      <w:r>
        <w:rPr>
          <w:rFonts w:ascii="Arial" w:hAnsi="Arial" w:cs="Arial"/>
          <w:lang w:val="es-MX"/>
        </w:rPr>
        <w:t xml:space="preserve">La mayor longevidad de las personas </w:t>
      </w:r>
      <w:r w:rsidR="004777D8" w:rsidRPr="00846A56">
        <w:rPr>
          <w:rFonts w:ascii="Arial" w:hAnsi="Arial" w:cs="Arial"/>
          <w:lang w:val="es-MX"/>
        </w:rPr>
        <w:t>ha permitido que diversas enfermedades, entre ellas el cáncer</w:t>
      </w:r>
      <w:r>
        <w:rPr>
          <w:rFonts w:ascii="Arial" w:hAnsi="Arial" w:cs="Arial"/>
          <w:lang w:val="es-MX"/>
        </w:rPr>
        <w:t>,</w:t>
      </w:r>
      <w:r w:rsidR="004777D8" w:rsidRPr="00846A56">
        <w:rPr>
          <w:rFonts w:ascii="Arial" w:hAnsi="Arial" w:cs="Arial"/>
          <w:lang w:val="es-MX"/>
        </w:rPr>
        <w:t xml:space="preserve"> se diagnostiquen más </w:t>
      </w:r>
      <w:r>
        <w:rPr>
          <w:rFonts w:ascii="Arial" w:hAnsi="Arial" w:cs="Arial"/>
          <w:lang w:val="es-MX"/>
        </w:rPr>
        <w:t xml:space="preserve">frecuentemente </w:t>
      </w:r>
      <w:r w:rsidR="004777D8" w:rsidRPr="00846A56">
        <w:rPr>
          <w:rFonts w:ascii="Arial" w:hAnsi="Arial" w:cs="Arial"/>
          <w:lang w:val="es-MX"/>
        </w:rPr>
        <w:t xml:space="preserve">y generen </w:t>
      </w:r>
      <w:r>
        <w:rPr>
          <w:rFonts w:ascii="Arial" w:hAnsi="Arial" w:cs="Arial"/>
          <w:lang w:val="es-MX"/>
        </w:rPr>
        <w:t xml:space="preserve">amyor </w:t>
      </w:r>
      <w:r w:rsidR="004777D8" w:rsidRPr="00846A56">
        <w:rPr>
          <w:rFonts w:ascii="Arial" w:hAnsi="Arial" w:cs="Arial"/>
          <w:lang w:val="es-MX"/>
        </w:rPr>
        <w:t>mortalidad en los adultos y adultos mayores.</w:t>
      </w:r>
    </w:p>
    <w:p w:rsidR="00E12726" w:rsidRDefault="00E12726" w:rsidP="000B2344">
      <w:pPr>
        <w:spacing w:after="240" w:line="276" w:lineRule="auto"/>
        <w:jc w:val="both"/>
        <w:rPr>
          <w:rFonts w:ascii="Arial" w:hAnsi="Arial" w:cs="Arial"/>
          <w:lang w:val="es-MX"/>
        </w:rPr>
      </w:pPr>
      <w:r>
        <w:rPr>
          <w:rFonts w:ascii="Arial" w:hAnsi="Arial" w:cs="Arial"/>
          <w:lang w:val="es-MX"/>
        </w:rPr>
        <w:t>E</w:t>
      </w:r>
      <w:r w:rsidR="004777D8" w:rsidRPr="00846A56">
        <w:rPr>
          <w:rFonts w:ascii="Arial" w:hAnsi="Arial" w:cs="Arial"/>
          <w:lang w:val="es-MX"/>
        </w:rPr>
        <w:t xml:space="preserve">l cáncer es la segunda causa de mortalidad en el país, </w:t>
      </w:r>
      <w:r>
        <w:rPr>
          <w:rFonts w:ascii="Arial" w:hAnsi="Arial" w:cs="Arial"/>
          <w:lang w:val="es-MX"/>
        </w:rPr>
        <w:t xml:space="preserve">en el siguiente cuadro </w:t>
      </w:r>
      <w:r w:rsidR="004777D8" w:rsidRPr="00846A56">
        <w:rPr>
          <w:rFonts w:ascii="Arial" w:hAnsi="Arial" w:cs="Arial"/>
          <w:lang w:val="es-MX"/>
        </w:rPr>
        <w:t>se</w:t>
      </w:r>
      <w:r>
        <w:rPr>
          <w:rFonts w:ascii="Arial" w:hAnsi="Arial" w:cs="Arial"/>
          <w:lang w:val="es-MX"/>
        </w:rPr>
        <w:t xml:space="preserve"> presenta la </w:t>
      </w:r>
      <w:r w:rsidR="000B2344">
        <w:rPr>
          <w:rFonts w:ascii="Arial" w:hAnsi="Arial" w:cs="Arial"/>
          <w:lang w:val="es-MX"/>
        </w:rPr>
        <w:t xml:space="preserve">incidencia </w:t>
      </w:r>
      <w:r>
        <w:rPr>
          <w:rFonts w:ascii="Arial" w:hAnsi="Arial" w:cs="Arial"/>
          <w:lang w:val="es-MX"/>
        </w:rPr>
        <w:t xml:space="preserve">de </w:t>
      </w:r>
      <w:r w:rsidR="000B2344">
        <w:rPr>
          <w:rFonts w:ascii="Arial" w:hAnsi="Arial" w:cs="Arial"/>
          <w:lang w:val="es-MX"/>
        </w:rPr>
        <w:t xml:space="preserve">los principales </w:t>
      </w:r>
      <w:r w:rsidR="004777D8" w:rsidRPr="00846A56">
        <w:rPr>
          <w:rFonts w:ascii="Arial" w:hAnsi="Arial" w:cs="Arial"/>
          <w:lang w:val="es-MX"/>
        </w:rPr>
        <w:t xml:space="preserve">tipos de </w:t>
      </w:r>
      <w:r>
        <w:rPr>
          <w:rFonts w:ascii="Arial" w:hAnsi="Arial" w:cs="Arial"/>
          <w:lang w:val="es-MX"/>
        </w:rPr>
        <w:t xml:space="preserve">esta enfermedad. </w:t>
      </w:r>
    </w:p>
    <w:p w:rsidR="00E12726" w:rsidRDefault="00E12726" w:rsidP="004777D8">
      <w:pPr>
        <w:spacing w:line="276" w:lineRule="auto"/>
        <w:jc w:val="both"/>
        <w:rPr>
          <w:rFonts w:ascii="Arial" w:hAnsi="Arial" w:cs="Arial"/>
          <w:lang w:val="es-MX"/>
        </w:rPr>
      </w:pPr>
    </w:p>
    <w:p w:rsidR="004777D8" w:rsidRPr="000B2344" w:rsidRDefault="000B2344" w:rsidP="004777D8">
      <w:pPr>
        <w:spacing w:line="276" w:lineRule="auto"/>
        <w:jc w:val="center"/>
        <w:rPr>
          <w:rFonts w:ascii="Arial" w:hAnsi="Arial" w:cs="Arial"/>
          <w:b/>
          <w:lang w:val="es-MX"/>
        </w:rPr>
      </w:pPr>
      <w:r w:rsidRPr="000B2344">
        <w:rPr>
          <w:rFonts w:ascii="Arial" w:hAnsi="Arial" w:cs="Arial"/>
          <w:b/>
          <w:lang w:val="es-MX"/>
        </w:rPr>
        <w:t>Cuadro 1</w:t>
      </w:r>
      <w:r w:rsidR="00DA36A6">
        <w:rPr>
          <w:rFonts w:ascii="Arial" w:hAnsi="Arial" w:cs="Arial"/>
          <w:b/>
          <w:lang w:val="es-MX"/>
        </w:rPr>
        <w:t>1</w:t>
      </w:r>
    </w:p>
    <w:p w:rsidR="000B2344" w:rsidRDefault="004777D8" w:rsidP="004777D8">
      <w:pPr>
        <w:jc w:val="center"/>
        <w:rPr>
          <w:rFonts w:ascii="Arial" w:hAnsi="Arial" w:cs="Arial"/>
          <w:b/>
          <w:lang w:val="es-MX"/>
        </w:rPr>
      </w:pPr>
      <w:r w:rsidRPr="000B2344">
        <w:rPr>
          <w:rFonts w:ascii="Arial" w:hAnsi="Arial" w:cs="Arial"/>
          <w:b/>
          <w:lang w:val="es-MX"/>
        </w:rPr>
        <w:t>Costa Rica: Incidencia general de tumores más</w:t>
      </w:r>
    </w:p>
    <w:p w:rsidR="004777D8" w:rsidRPr="000B2344" w:rsidRDefault="004777D8" w:rsidP="004777D8">
      <w:pPr>
        <w:jc w:val="center"/>
        <w:rPr>
          <w:rFonts w:ascii="Arial" w:hAnsi="Arial" w:cs="Arial"/>
          <w:b/>
          <w:lang w:val="es-MX"/>
        </w:rPr>
      </w:pPr>
      <w:r w:rsidRPr="000B2344">
        <w:rPr>
          <w:rFonts w:ascii="Arial" w:hAnsi="Arial" w:cs="Arial"/>
          <w:b/>
          <w:lang w:val="es-MX"/>
        </w:rPr>
        <w:t xml:space="preserve"> frecuentes, 2011-2015</w:t>
      </w:r>
    </w:p>
    <w:p w:rsidR="004777D8" w:rsidRDefault="000B2344" w:rsidP="004777D8">
      <w:pPr>
        <w:jc w:val="center"/>
        <w:rPr>
          <w:rFonts w:ascii="Arial" w:hAnsi="Arial" w:cs="Arial"/>
          <w:lang w:val="es-MX"/>
        </w:rPr>
      </w:pPr>
      <w:r w:rsidRPr="000B2344">
        <w:rPr>
          <w:rFonts w:ascii="Arial" w:hAnsi="Arial" w:cs="Arial"/>
          <w:lang w:val="es-MX"/>
        </w:rPr>
        <w:t>(</w:t>
      </w:r>
      <w:r w:rsidRPr="000B2344">
        <w:rPr>
          <w:rFonts w:ascii="Arial" w:hAnsi="Arial" w:cs="Arial"/>
          <w:sz w:val="20"/>
          <w:szCs w:val="20"/>
          <w:lang w:val="es-MX"/>
        </w:rPr>
        <w:t>t</w:t>
      </w:r>
      <w:r w:rsidR="004777D8" w:rsidRPr="000B2344">
        <w:rPr>
          <w:rFonts w:ascii="Arial" w:hAnsi="Arial" w:cs="Arial"/>
          <w:sz w:val="20"/>
          <w:szCs w:val="20"/>
          <w:lang w:val="es-MX"/>
        </w:rPr>
        <w:t>asa promedio por 100.000 habitantes</w:t>
      </w:r>
      <w:r w:rsidRPr="000B2344">
        <w:rPr>
          <w:rFonts w:ascii="Arial" w:hAnsi="Arial" w:cs="Arial"/>
          <w:lang w:val="es-MX"/>
        </w:rPr>
        <w:t>)</w:t>
      </w:r>
    </w:p>
    <w:p w:rsidR="000B2344" w:rsidRPr="000B2344" w:rsidRDefault="000B2344" w:rsidP="004777D8">
      <w:pPr>
        <w:jc w:val="center"/>
        <w:rPr>
          <w:rFonts w:ascii="Arial" w:hAnsi="Arial" w:cs="Arial"/>
          <w:lang w:val="es-MX"/>
        </w:rPr>
      </w:pPr>
    </w:p>
    <w:tbl>
      <w:tblPr>
        <w:tblW w:w="5410" w:type="dxa"/>
        <w:jc w:val="center"/>
        <w:tblCellMar>
          <w:left w:w="70" w:type="dxa"/>
          <w:right w:w="70" w:type="dxa"/>
        </w:tblCellMar>
        <w:tblLook w:val="04A0" w:firstRow="1" w:lastRow="0" w:firstColumn="1" w:lastColumn="0" w:noHBand="0" w:noVBand="1"/>
      </w:tblPr>
      <w:tblGrid>
        <w:gridCol w:w="1982"/>
        <w:gridCol w:w="1714"/>
        <w:gridCol w:w="1714"/>
      </w:tblGrid>
      <w:tr w:rsidR="004777D8" w:rsidRPr="000B2344" w:rsidTr="00DA36A6">
        <w:trPr>
          <w:trHeight w:val="281"/>
          <w:jc w:val="center"/>
        </w:trPr>
        <w:tc>
          <w:tcPr>
            <w:tcW w:w="1982" w:type="dxa"/>
            <w:tcBorders>
              <w:top w:val="single" w:sz="4" w:space="0" w:color="auto"/>
              <w:left w:val="nil"/>
              <w:bottom w:val="single" w:sz="4" w:space="0" w:color="auto"/>
              <w:right w:val="nil"/>
            </w:tcBorders>
            <w:shd w:val="clear" w:color="auto" w:fill="D5DCE4" w:themeFill="text2" w:themeFillTint="33"/>
            <w:noWrap/>
            <w:vAlign w:val="bottom"/>
            <w:hideMark/>
          </w:tcPr>
          <w:p w:rsidR="004777D8" w:rsidRPr="000B2344" w:rsidRDefault="004777D8" w:rsidP="000B2344">
            <w:pPr>
              <w:rPr>
                <w:rFonts w:ascii="Arial" w:eastAsia="Times New Roman" w:hAnsi="Arial" w:cs="Arial"/>
                <w:b/>
                <w:color w:val="000000"/>
                <w:lang w:eastAsia="es-CR"/>
              </w:rPr>
            </w:pPr>
            <w:r w:rsidRPr="000B2344">
              <w:rPr>
                <w:rFonts w:ascii="Arial" w:eastAsia="Times New Roman" w:hAnsi="Arial" w:cs="Arial"/>
                <w:b/>
                <w:color w:val="000000"/>
                <w:lang w:eastAsia="es-CR"/>
              </w:rPr>
              <w:t>Tipo</w:t>
            </w:r>
          </w:p>
        </w:tc>
        <w:tc>
          <w:tcPr>
            <w:tcW w:w="1714" w:type="dxa"/>
            <w:tcBorders>
              <w:top w:val="single" w:sz="4" w:space="0" w:color="auto"/>
              <w:left w:val="nil"/>
              <w:bottom w:val="single" w:sz="4" w:space="0" w:color="auto"/>
              <w:right w:val="nil"/>
            </w:tcBorders>
            <w:shd w:val="clear" w:color="auto" w:fill="D5DCE4" w:themeFill="text2" w:themeFillTint="33"/>
            <w:noWrap/>
            <w:vAlign w:val="bottom"/>
            <w:hideMark/>
          </w:tcPr>
          <w:p w:rsidR="004777D8" w:rsidRPr="000B2344" w:rsidRDefault="004777D8" w:rsidP="00475BBF">
            <w:pPr>
              <w:jc w:val="center"/>
              <w:rPr>
                <w:rFonts w:ascii="Arial" w:eastAsia="Times New Roman" w:hAnsi="Arial" w:cs="Arial"/>
                <w:b/>
                <w:color w:val="000000"/>
                <w:lang w:eastAsia="es-CR"/>
              </w:rPr>
            </w:pPr>
            <w:r w:rsidRPr="000B2344">
              <w:rPr>
                <w:rFonts w:ascii="Arial" w:eastAsia="Times New Roman" w:hAnsi="Arial" w:cs="Arial"/>
                <w:b/>
                <w:color w:val="000000"/>
                <w:lang w:eastAsia="es-CR"/>
              </w:rPr>
              <w:t>N° Casos</w:t>
            </w:r>
          </w:p>
        </w:tc>
        <w:tc>
          <w:tcPr>
            <w:tcW w:w="1714" w:type="dxa"/>
            <w:tcBorders>
              <w:top w:val="single" w:sz="4" w:space="0" w:color="auto"/>
              <w:left w:val="nil"/>
              <w:bottom w:val="single" w:sz="4" w:space="0" w:color="auto"/>
              <w:right w:val="nil"/>
            </w:tcBorders>
            <w:shd w:val="clear" w:color="auto" w:fill="D5DCE4" w:themeFill="text2" w:themeFillTint="33"/>
            <w:noWrap/>
            <w:vAlign w:val="bottom"/>
            <w:hideMark/>
          </w:tcPr>
          <w:p w:rsidR="004777D8" w:rsidRPr="000B2344" w:rsidRDefault="004777D8" w:rsidP="00475BBF">
            <w:pPr>
              <w:jc w:val="center"/>
              <w:rPr>
                <w:rFonts w:ascii="Arial" w:eastAsia="Times New Roman" w:hAnsi="Arial" w:cs="Arial"/>
                <w:b/>
                <w:color w:val="000000"/>
                <w:lang w:eastAsia="es-CR"/>
              </w:rPr>
            </w:pPr>
            <w:r w:rsidRPr="000B2344">
              <w:rPr>
                <w:rFonts w:ascii="Arial" w:eastAsia="Times New Roman" w:hAnsi="Arial" w:cs="Arial"/>
                <w:b/>
                <w:color w:val="000000"/>
                <w:lang w:eastAsia="es-CR"/>
              </w:rPr>
              <w:t>Tasa</w:t>
            </w:r>
          </w:p>
        </w:tc>
      </w:tr>
      <w:tr w:rsidR="004777D8" w:rsidRPr="00AD1173" w:rsidTr="00475BBF">
        <w:trPr>
          <w:trHeight w:val="281"/>
          <w:jc w:val="center"/>
        </w:trPr>
        <w:tc>
          <w:tcPr>
            <w:tcW w:w="1982" w:type="dxa"/>
            <w:tcBorders>
              <w:top w:val="nil"/>
              <w:left w:val="nil"/>
              <w:bottom w:val="nil"/>
              <w:right w:val="nil"/>
            </w:tcBorders>
            <w:shd w:val="clear" w:color="auto" w:fill="auto"/>
            <w:noWrap/>
            <w:vAlign w:val="bottom"/>
            <w:hideMark/>
          </w:tcPr>
          <w:p w:rsidR="004777D8" w:rsidRPr="00AD1173" w:rsidRDefault="004777D8" w:rsidP="00475BBF">
            <w:pPr>
              <w:rPr>
                <w:rFonts w:ascii="Arial" w:eastAsia="Times New Roman" w:hAnsi="Arial" w:cs="Arial"/>
                <w:color w:val="000000"/>
                <w:lang w:eastAsia="es-CR"/>
              </w:rPr>
            </w:pPr>
            <w:r w:rsidRPr="00AD1173">
              <w:rPr>
                <w:rFonts w:ascii="Arial" w:eastAsia="Times New Roman" w:hAnsi="Arial" w:cs="Arial"/>
                <w:color w:val="000000"/>
                <w:lang w:eastAsia="es-CR"/>
              </w:rPr>
              <w:t>Piel</w:t>
            </w:r>
          </w:p>
        </w:tc>
        <w:tc>
          <w:tcPr>
            <w:tcW w:w="1714" w:type="dxa"/>
            <w:tcBorders>
              <w:top w:val="nil"/>
              <w:left w:val="nil"/>
              <w:bottom w:val="nil"/>
              <w:right w:val="nil"/>
            </w:tcBorders>
            <w:shd w:val="clear" w:color="auto" w:fill="auto"/>
            <w:noWrap/>
            <w:vAlign w:val="bottom"/>
            <w:hideMark/>
          </w:tcPr>
          <w:p w:rsidR="004777D8" w:rsidRPr="00AD1173" w:rsidRDefault="004777D8" w:rsidP="00475BBF">
            <w:pPr>
              <w:jc w:val="center"/>
              <w:rPr>
                <w:rFonts w:ascii="Arial" w:eastAsia="Times New Roman" w:hAnsi="Arial" w:cs="Arial"/>
                <w:color w:val="000000"/>
                <w:lang w:eastAsia="es-CR"/>
              </w:rPr>
            </w:pPr>
            <w:r w:rsidRPr="00AD1173">
              <w:rPr>
                <w:rFonts w:ascii="Arial" w:eastAsia="Times New Roman" w:hAnsi="Arial" w:cs="Arial"/>
                <w:color w:val="000000"/>
                <w:lang w:eastAsia="es-CR"/>
              </w:rPr>
              <w:t>12</w:t>
            </w:r>
            <w:r w:rsidR="000B2344">
              <w:rPr>
                <w:rFonts w:ascii="Arial" w:eastAsia="Times New Roman" w:hAnsi="Arial" w:cs="Arial"/>
                <w:color w:val="000000"/>
                <w:lang w:eastAsia="es-CR"/>
              </w:rPr>
              <w:t>.</w:t>
            </w:r>
            <w:r w:rsidRPr="00AD1173">
              <w:rPr>
                <w:rFonts w:ascii="Arial" w:eastAsia="Times New Roman" w:hAnsi="Arial" w:cs="Arial"/>
                <w:color w:val="000000"/>
                <w:lang w:eastAsia="es-CR"/>
              </w:rPr>
              <w:t>805</w:t>
            </w:r>
          </w:p>
        </w:tc>
        <w:tc>
          <w:tcPr>
            <w:tcW w:w="1714" w:type="dxa"/>
            <w:tcBorders>
              <w:top w:val="nil"/>
              <w:left w:val="nil"/>
              <w:bottom w:val="nil"/>
              <w:right w:val="nil"/>
            </w:tcBorders>
            <w:shd w:val="clear" w:color="auto" w:fill="auto"/>
            <w:noWrap/>
            <w:vAlign w:val="bottom"/>
            <w:hideMark/>
          </w:tcPr>
          <w:p w:rsidR="004777D8" w:rsidRPr="00AD1173" w:rsidRDefault="004777D8" w:rsidP="00475BBF">
            <w:pPr>
              <w:jc w:val="center"/>
              <w:rPr>
                <w:rFonts w:ascii="Arial" w:eastAsia="Times New Roman" w:hAnsi="Arial" w:cs="Arial"/>
                <w:color w:val="000000"/>
                <w:lang w:eastAsia="es-CR"/>
              </w:rPr>
            </w:pPr>
            <w:r w:rsidRPr="00AD1173">
              <w:rPr>
                <w:rFonts w:ascii="Arial" w:eastAsia="Times New Roman" w:hAnsi="Arial" w:cs="Arial"/>
                <w:color w:val="000000"/>
                <w:lang w:eastAsia="es-CR"/>
              </w:rPr>
              <w:t>54,34</w:t>
            </w:r>
          </w:p>
        </w:tc>
      </w:tr>
      <w:tr w:rsidR="004777D8" w:rsidRPr="00AD1173" w:rsidTr="00475BBF">
        <w:trPr>
          <w:trHeight w:val="281"/>
          <w:jc w:val="center"/>
        </w:trPr>
        <w:tc>
          <w:tcPr>
            <w:tcW w:w="1982" w:type="dxa"/>
            <w:tcBorders>
              <w:top w:val="nil"/>
              <w:left w:val="nil"/>
              <w:bottom w:val="nil"/>
              <w:right w:val="nil"/>
            </w:tcBorders>
            <w:shd w:val="clear" w:color="auto" w:fill="auto"/>
            <w:noWrap/>
            <w:vAlign w:val="bottom"/>
            <w:hideMark/>
          </w:tcPr>
          <w:p w:rsidR="004777D8" w:rsidRPr="00AD1173" w:rsidRDefault="004777D8" w:rsidP="00475BBF">
            <w:pPr>
              <w:rPr>
                <w:rFonts w:ascii="Arial" w:eastAsia="Times New Roman" w:hAnsi="Arial" w:cs="Arial"/>
                <w:color w:val="000000"/>
                <w:lang w:eastAsia="es-CR"/>
              </w:rPr>
            </w:pPr>
            <w:r w:rsidRPr="00AD1173">
              <w:rPr>
                <w:rFonts w:ascii="Arial" w:eastAsia="Times New Roman" w:hAnsi="Arial" w:cs="Arial"/>
                <w:color w:val="000000"/>
                <w:lang w:eastAsia="es-CR"/>
              </w:rPr>
              <w:t>Mama</w:t>
            </w:r>
          </w:p>
        </w:tc>
        <w:tc>
          <w:tcPr>
            <w:tcW w:w="1714" w:type="dxa"/>
            <w:tcBorders>
              <w:top w:val="nil"/>
              <w:left w:val="nil"/>
              <w:bottom w:val="nil"/>
              <w:right w:val="nil"/>
            </w:tcBorders>
            <w:shd w:val="clear" w:color="auto" w:fill="auto"/>
            <w:noWrap/>
            <w:vAlign w:val="bottom"/>
            <w:hideMark/>
          </w:tcPr>
          <w:p w:rsidR="004777D8" w:rsidRPr="00AD1173" w:rsidRDefault="004777D8" w:rsidP="00475BBF">
            <w:pPr>
              <w:jc w:val="center"/>
              <w:rPr>
                <w:rFonts w:ascii="Arial" w:eastAsia="Times New Roman" w:hAnsi="Arial" w:cs="Arial"/>
                <w:color w:val="000000"/>
                <w:lang w:eastAsia="es-CR"/>
              </w:rPr>
            </w:pPr>
            <w:r w:rsidRPr="00AD1173">
              <w:rPr>
                <w:rFonts w:ascii="Arial" w:eastAsia="Times New Roman" w:hAnsi="Arial" w:cs="Arial"/>
                <w:color w:val="000000"/>
                <w:lang w:eastAsia="es-CR"/>
              </w:rPr>
              <w:t>5</w:t>
            </w:r>
            <w:r w:rsidR="000B2344">
              <w:rPr>
                <w:rFonts w:ascii="Arial" w:eastAsia="Times New Roman" w:hAnsi="Arial" w:cs="Arial"/>
                <w:color w:val="000000"/>
                <w:lang w:eastAsia="es-CR"/>
              </w:rPr>
              <w:t>.</w:t>
            </w:r>
            <w:r w:rsidRPr="00AD1173">
              <w:rPr>
                <w:rFonts w:ascii="Arial" w:eastAsia="Times New Roman" w:hAnsi="Arial" w:cs="Arial"/>
                <w:color w:val="000000"/>
                <w:lang w:eastAsia="es-CR"/>
              </w:rPr>
              <w:t>873</w:t>
            </w:r>
          </w:p>
        </w:tc>
        <w:tc>
          <w:tcPr>
            <w:tcW w:w="1714" w:type="dxa"/>
            <w:tcBorders>
              <w:top w:val="nil"/>
              <w:left w:val="nil"/>
              <w:bottom w:val="nil"/>
              <w:right w:val="nil"/>
            </w:tcBorders>
            <w:shd w:val="clear" w:color="auto" w:fill="auto"/>
            <w:noWrap/>
            <w:vAlign w:val="bottom"/>
            <w:hideMark/>
          </w:tcPr>
          <w:p w:rsidR="004777D8" w:rsidRPr="00AD1173" w:rsidRDefault="004777D8" w:rsidP="000B2344">
            <w:pPr>
              <w:jc w:val="center"/>
              <w:rPr>
                <w:rFonts w:ascii="Arial" w:eastAsia="Times New Roman" w:hAnsi="Arial" w:cs="Arial"/>
                <w:color w:val="000000"/>
                <w:lang w:eastAsia="es-CR"/>
              </w:rPr>
            </w:pPr>
            <w:r w:rsidRPr="00AD1173">
              <w:rPr>
                <w:rFonts w:ascii="Arial" w:eastAsia="Times New Roman" w:hAnsi="Arial" w:cs="Arial"/>
                <w:color w:val="000000"/>
                <w:lang w:eastAsia="es-CR"/>
              </w:rPr>
              <w:t>50,37</w:t>
            </w:r>
            <w:r w:rsidR="000B2344">
              <w:rPr>
                <w:rStyle w:val="Refdenotaalpie"/>
                <w:rFonts w:ascii="Arial" w:eastAsia="Times New Roman" w:hAnsi="Arial" w:cs="Arial"/>
                <w:color w:val="000000"/>
                <w:lang w:eastAsia="es-CR"/>
              </w:rPr>
              <w:footnoteReference w:id="8"/>
            </w:r>
            <w:r w:rsidRPr="00AD1173">
              <w:rPr>
                <w:rFonts w:ascii="Arial" w:eastAsia="Times New Roman" w:hAnsi="Arial" w:cs="Arial"/>
                <w:color w:val="000000"/>
                <w:lang w:eastAsia="es-CR"/>
              </w:rPr>
              <w:t>*</w:t>
            </w:r>
          </w:p>
        </w:tc>
      </w:tr>
      <w:tr w:rsidR="004777D8" w:rsidRPr="00AD1173" w:rsidTr="00475BBF">
        <w:trPr>
          <w:trHeight w:val="281"/>
          <w:jc w:val="center"/>
        </w:trPr>
        <w:tc>
          <w:tcPr>
            <w:tcW w:w="1982" w:type="dxa"/>
            <w:tcBorders>
              <w:top w:val="nil"/>
              <w:left w:val="nil"/>
              <w:bottom w:val="nil"/>
              <w:right w:val="nil"/>
            </w:tcBorders>
            <w:shd w:val="clear" w:color="auto" w:fill="auto"/>
            <w:noWrap/>
            <w:vAlign w:val="bottom"/>
            <w:hideMark/>
          </w:tcPr>
          <w:p w:rsidR="004777D8" w:rsidRPr="00AD1173" w:rsidRDefault="004777D8" w:rsidP="00475BBF">
            <w:pPr>
              <w:rPr>
                <w:rFonts w:ascii="Arial" w:eastAsia="Times New Roman" w:hAnsi="Arial" w:cs="Arial"/>
                <w:color w:val="000000"/>
                <w:lang w:eastAsia="es-CR"/>
              </w:rPr>
            </w:pPr>
            <w:r w:rsidRPr="00AD1173">
              <w:rPr>
                <w:rFonts w:ascii="Arial" w:eastAsia="Times New Roman" w:hAnsi="Arial" w:cs="Arial"/>
                <w:color w:val="000000"/>
                <w:lang w:eastAsia="es-CR"/>
              </w:rPr>
              <w:t>Próstata</w:t>
            </w:r>
          </w:p>
        </w:tc>
        <w:tc>
          <w:tcPr>
            <w:tcW w:w="1714" w:type="dxa"/>
            <w:tcBorders>
              <w:top w:val="nil"/>
              <w:left w:val="nil"/>
              <w:bottom w:val="nil"/>
              <w:right w:val="nil"/>
            </w:tcBorders>
            <w:shd w:val="clear" w:color="auto" w:fill="auto"/>
            <w:noWrap/>
            <w:vAlign w:val="bottom"/>
            <w:hideMark/>
          </w:tcPr>
          <w:p w:rsidR="004777D8" w:rsidRPr="00AD1173" w:rsidRDefault="004777D8" w:rsidP="00475BBF">
            <w:pPr>
              <w:jc w:val="center"/>
              <w:rPr>
                <w:rFonts w:ascii="Arial" w:eastAsia="Times New Roman" w:hAnsi="Arial" w:cs="Arial"/>
                <w:color w:val="000000"/>
                <w:lang w:eastAsia="es-CR"/>
              </w:rPr>
            </w:pPr>
            <w:r w:rsidRPr="00AD1173">
              <w:rPr>
                <w:rFonts w:ascii="Arial" w:eastAsia="Times New Roman" w:hAnsi="Arial" w:cs="Arial"/>
                <w:color w:val="000000"/>
                <w:lang w:eastAsia="es-CR"/>
              </w:rPr>
              <w:t>4</w:t>
            </w:r>
            <w:r w:rsidR="000B2344">
              <w:rPr>
                <w:rFonts w:ascii="Arial" w:eastAsia="Times New Roman" w:hAnsi="Arial" w:cs="Arial"/>
                <w:color w:val="000000"/>
                <w:lang w:eastAsia="es-CR"/>
              </w:rPr>
              <w:t>.</w:t>
            </w:r>
            <w:r w:rsidRPr="00AD1173">
              <w:rPr>
                <w:rFonts w:ascii="Arial" w:eastAsia="Times New Roman" w:hAnsi="Arial" w:cs="Arial"/>
                <w:color w:val="000000"/>
                <w:lang w:eastAsia="es-CR"/>
              </w:rPr>
              <w:t>916</w:t>
            </w:r>
          </w:p>
        </w:tc>
        <w:tc>
          <w:tcPr>
            <w:tcW w:w="1714" w:type="dxa"/>
            <w:tcBorders>
              <w:top w:val="nil"/>
              <w:left w:val="nil"/>
              <w:bottom w:val="nil"/>
              <w:right w:val="nil"/>
            </w:tcBorders>
            <w:shd w:val="clear" w:color="auto" w:fill="auto"/>
            <w:noWrap/>
            <w:vAlign w:val="bottom"/>
            <w:hideMark/>
          </w:tcPr>
          <w:p w:rsidR="004777D8" w:rsidRPr="00AD1173" w:rsidRDefault="004777D8" w:rsidP="00475BBF">
            <w:pPr>
              <w:jc w:val="center"/>
              <w:rPr>
                <w:rFonts w:ascii="Arial" w:eastAsia="Times New Roman" w:hAnsi="Arial" w:cs="Arial"/>
                <w:color w:val="000000"/>
                <w:lang w:eastAsia="es-CR"/>
              </w:rPr>
            </w:pPr>
            <w:r w:rsidRPr="00AD1173">
              <w:rPr>
                <w:rFonts w:ascii="Arial" w:eastAsia="Times New Roman" w:hAnsi="Arial" w:cs="Arial"/>
                <w:color w:val="000000"/>
                <w:lang w:eastAsia="es-CR"/>
              </w:rPr>
              <w:t>41,30*</w:t>
            </w:r>
          </w:p>
        </w:tc>
      </w:tr>
      <w:tr w:rsidR="004777D8" w:rsidRPr="00AD1173" w:rsidTr="00475BBF">
        <w:trPr>
          <w:trHeight w:val="281"/>
          <w:jc w:val="center"/>
        </w:trPr>
        <w:tc>
          <w:tcPr>
            <w:tcW w:w="1982" w:type="dxa"/>
            <w:tcBorders>
              <w:top w:val="nil"/>
              <w:left w:val="nil"/>
              <w:bottom w:val="nil"/>
              <w:right w:val="nil"/>
            </w:tcBorders>
            <w:shd w:val="clear" w:color="auto" w:fill="auto"/>
            <w:noWrap/>
            <w:vAlign w:val="bottom"/>
            <w:hideMark/>
          </w:tcPr>
          <w:p w:rsidR="004777D8" w:rsidRPr="00AD1173" w:rsidRDefault="004777D8" w:rsidP="00475BBF">
            <w:pPr>
              <w:rPr>
                <w:rFonts w:ascii="Arial" w:eastAsia="Times New Roman" w:hAnsi="Arial" w:cs="Arial"/>
                <w:color w:val="000000"/>
                <w:lang w:eastAsia="es-CR"/>
              </w:rPr>
            </w:pPr>
            <w:r w:rsidRPr="00AD1173">
              <w:rPr>
                <w:rFonts w:ascii="Arial" w:eastAsia="Times New Roman" w:hAnsi="Arial" w:cs="Arial"/>
                <w:color w:val="000000"/>
                <w:lang w:eastAsia="es-CR"/>
              </w:rPr>
              <w:t>Cuello uterino</w:t>
            </w:r>
          </w:p>
        </w:tc>
        <w:tc>
          <w:tcPr>
            <w:tcW w:w="1714" w:type="dxa"/>
            <w:tcBorders>
              <w:top w:val="nil"/>
              <w:left w:val="nil"/>
              <w:bottom w:val="nil"/>
              <w:right w:val="nil"/>
            </w:tcBorders>
            <w:shd w:val="clear" w:color="auto" w:fill="auto"/>
            <w:noWrap/>
            <w:vAlign w:val="bottom"/>
            <w:hideMark/>
          </w:tcPr>
          <w:p w:rsidR="004777D8" w:rsidRPr="00AD1173" w:rsidRDefault="004777D8" w:rsidP="00475BBF">
            <w:pPr>
              <w:jc w:val="center"/>
              <w:rPr>
                <w:rFonts w:ascii="Arial" w:eastAsia="Times New Roman" w:hAnsi="Arial" w:cs="Arial"/>
                <w:color w:val="000000"/>
                <w:lang w:eastAsia="es-CR"/>
              </w:rPr>
            </w:pPr>
            <w:r w:rsidRPr="00AD1173">
              <w:rPr>
                <w:rFonts w:ascii="Arial" w:eastAsia="Times New Roman" w:hAnsi="Arial" w:cs="Arial"/>
                <w:color w:val="000000"/>
                <w:lang w:eastAsia="es-CR"/>
              </w:rPr>
              <w:t>3</w:t>
            </w:r>
            <w:r w:rsidR="000B2344">
              <w:rPr>
                <w:rFonts w:ascii="Arial" w:eastAsia="Times New Roman" w:hAnsi="Arial" w:cs="Arial"/>
                <w:color w:val="000000"/>
                <w:lang w:eastAsia="es-CR"/>
              </w:rPr>
              <w:t>.</w:t>
            </w:r>
            <w:r w:rsidRPr="00AD1173">
              <w:rPr>
                <w:rFonts w:ascii="Arial" w:eastAsia="Times New Roman" w:hAnsi="Arial" w:cs="Arial"/>
                <w:color w:val="000000"/>
                <w:lang w:eastAsia="es-CR"/>
              </w:rPr>
              <w:t>517</w:t>
            </w:r>
          </w:p>
        </w:tc>
        <w:tc>
          <w:tcPr>
            <w:tcW w:w="1714" w:type="dxa"/>
            <w:tcBorders>
              <w:top w:val="nil"/>
              <w:left w:val="nil"/>
              <w:bottom w:val="nil"/>
              <w:right w:val="nil"/>
            </w:tcBorders>
            <w:shd w:val="clear" w:color="auto" w:fill="auto"/>
            <w:noWrap/>
            <w:vAlign w:val="bottom"/>
            <w:hideMark/>
          </w:tcPr>
          <w:p w:rsidR="004777D8" w:rsidRPr="00AD1173" w:rsidRDefault="004777D8" w:rsidP="00475BBF">
            <w:pPr>
              <w:jc w:val="center"/>
              <w:rPr>
                <w:rFonts w:ascii="Arial" w:eastAsia="Times New Roman" w:hAnsi="Arial" w:cs="Arial"/>
                <w:color w:val="000000"/>
                <w:lang w:eastAsia="es-CR"/>
              </w:rPr>
            </w:pPr>
            <w:r w:rsidRPr="00AD1173">
              <w:rPr>
                <w:rFonts w:ascii="Arial" w:eastAsia="Times New Roman" w:hAnsi="Arial" w:cs="Arial"/>
                <w:color w:val="000000"/>
                <w:lang w:eastAsia="es-CR"/>
              </w:rPr>
              <w:t>30,16</w:t>
            </w:r>
          </w:p>
        </w:tc>
      </w:tr>
      <w:tr w:rsidR="004777D8" w:rsidRPr="00AD1173" w:rsidTr="00475BBF">
        <w:trPr>
          <w:trHeight w:val="281"/>
          <w:jc w:val="center"/>
        </w:trPr>
        <w:tc>
          <w:tcPr>
            <w:tcW w:w="1982" w:type="dxa"/>
            <w:tcBorders>
              <w:top w:val="nil"/>
              <w:left w:val="nil"/>
              <w:bottom w:val="single" w:sz="4" w:space="0" w:color="auto"/>
              <w:right w:val="nil"/>
            </w:tcBorders>
            <w:shd w:val="clear" w:color="auto" w:fill="auto"/>
            <w:noWrap/>
            <w:vAlign w:val="bottom"/>
            <w:hideMark/>
          </w:tcPr>
          <w:p w:rsidR="004777D8" w:rsidRPr="00AD1173" w:rsidRDefault="004777D8" w:rsidP="00475BBF">
            <w:pPr>
              <w:rPr>
                <w:rFonts w:ascii="Arial" w:eastAsia="Times New Roman" w:hAnsi="Arial" w:cs="Arial"/>
                <w:color w:val="000000"/>
                <w:lang w:eastAsia="es-CR"/>
              </w:rPr>
            </w:pPr>
            <w:r w:rsidRPr="00AD1173">
              <w:rPr>
                <w:rFonts w:ascii="Arial" w:eastAsia="Times New Roman" w:hAnsi="Arial" w:cs="Arial"/>
                <w:color w:val="000000"/>
                <w:lang w:eastAsia="es-CR"/>
              </w:rPr>
              <w:t>Estómago</w:t>
            </w:r>
          </w:p>
        </w:tc>
        <w:tc>
          <w:tcPr>
            <w:tcW w:w="1714" w:type="dxa"/>
            <w:tcBorders>
              <w:top w:val="nil"/>
              <w:left w:val="nil"/>
              <w:bottom w:val="single" w:sz="4" w:space="0" w:color="auto"/>
              <w:right w:val="nil"/>
            </w:tcBorders>
            <w:shd w:val="clear" w:color="auto" w:fill="auto"/>
            <w:noWrap/>
            <w:vAlign w:val="bottom"/>
            <w:hideMark/>
          </w:tcPr>
          <w:p w:rsidR="004777D8" w:rsidRPr="00AD1173" w:rsidRDefault="004777D8" w:rsidP="00475BBF">
            <w:pPr>
              <w:jc w:val="center"/>
              <w:rPr>
                <w:rFonts w:ascii="Arial" w:eastAsia="Times New Roman" w:hAnsi="Arial" w:cs="Arial"/>
                <w:color w:val="000000"/>
                <w:lang w:eastAsia="es-CR"/>
              </w:rPr>
            </w:pPr>
            <w:r w:rsidRPr="00AD1173">
              <w:rPr>
                <w:rFonts w:ascii="Arial" w:eastAsia="Times New Roman" w:hAnsi="Arial" w:cs="Arial"/>
                <w:color w:val="000000"/>
                <w:lang w:eastAsia="es-CR"/>
              </w:rPr>
              <w:t>3</w:t>
            </w:r>
            <w:r w:rsidR="000B2344">
              <w:rPr>
                <w:rFonts w:ascii="Arial" w:eastAsia="Times New Roman" w:hAnsi="Arial" w:cs="Arial"/>
                <w:color w:val="000000"/>
                <w:lang w:eastAsia="es-CR"/>
              </w:rPr>
              <w:t>.</w:t>
            </w:r>
            <w:r w:rsidRPr="00AD1173">
              <w:rPr>
                <w:rFonts w:ascii="Arial" w:eastAsia="Times New Roman" w:hAnsi="Arial" w:cs="Arial"/>
                <w:color w:val="000000"/>
                <w:lang w:eastAsia="es-CR"/>
              </w:rPr>
              <w:t>468</w:t>
            </w:r>
          </w:p>
        </w:tc>
        <w:tc>
          <w:tcPr>
            <w:tcW w:w="1714" w:type="dxa"/>
            <w:tcBorders>
              <w:top w:val="nil"/>
              <w:left w:val="nil"/>
              <w:bottom w:val="single" w:sz="4" w:space="0" w:color="auto"/>
              <w:right w:val="nil"/>
            </w:tcBorders>
            <w:shd w:val="clear" w:color="auto" w:fill="auto"/>
            <w:noWrap/>
            <w:vAlign w:val="bottom"/>
            <w:hideMark/>
          </w:tcPr>
          <w:p w:rsidR="004777D8" w:rsidRPr="00AD1173" w:rsidRDefault="004777D8" w:rsidP="00475BBF">
            <w:pPr>
              <w:jc w:val="center"/>
              <w:rPr>
                <w:rFonts w:ascii="Arial" w:eastAsia="Times New Roman" w:hAnsi="Arial" w:cs="Arial"/>
                <w:color w:val="000000"/>
                <w:lang w:eastAsia="es-CR"/>
              </w:rPr>
            </w:pPr>
            <w:r w:rsidRPr="00AD1173">
              <w:rPr>
                <w:rFonts w:ascii="Arial" w:eastAsia="Times New Roman" w:hAnsi="Arial" w:cs="Arial"/>
                <w:color w:val="000000"/>
                <w:lang w:eastAsia="es-CR"/>
              </w:rPr>
              <w:t>14,72</w:t>
            </w:r>
          </w:p>
        </w:tc>
      </w:tr>
    </w:tbl>
    <w:p w:rsidR="004777D8" w:rsidRPr="004647BD" w:rsidRDefault="004777D8" w:rsidP="004777D8">
      <w:pPr>
        <w:jc w:val="center"/>
        <w:rPr>
          <w:rFonts w:ascii="Arial" w:hAnsi="Arial" w:cs="Arial"/>
          <w:sz w:val="20"/>
        </w:rPr>
      </w:pPr>
      <w:r w:rsidRPr="004647BD">
        <w:rPr>
          <w:rFonts w:ascii="Arial" w:hAnsi="Arial" w:cs="Arial"/>
          <w:sz w:val="20"/>
        </w:rPr>
        <w:t>*</w:t>
      </w:r>
    </w:p>
    <w:p w:rsidR="004777D8" w:rsidRPr="004647BD" w:rsidRDefault="004777D8" w:rsidP="004777D8">
      <w:pPr>
        <w:jc w:val="center"/>
        <w:rPr>
          <w:rFonts w:ascii="Arial" w:hAnsi="Arial" w:cs="Arial"/>
          <w:sz w:val="20"/>
        </w:rPr>
      </w:pPr>
      <w:r w:rsidRPr="000B2344">
        <w:rPr>
          <w:rFonts w:ascii="Arial" w:hAnsi="Arial" w:cs="Arial"/>
          <w:b/>
          <w:sz w:val="20"/>
        </w:rPr>
        <w:t>Fuente:</w:t>
      </w:r>
      <w:r w:rsidRPr="004647BD">
        <w:rPr>
          <w:rFonts w:ascii="Arial" w:hAnsi="Arial" w:cs="Arial"/>
          <w:sz w:val="20"/>
        </w:rPr>
        <w:t xml:space="preserve"> Dirección Vigilancia de la Salud, Ministerio de Salud</w:t>
      </w:r>
      <w:r w:rsidR="000B2344">
        <w:rPr>
          <w:rFonts w:ascii="Arial" w:hAnsi="Arial" w:cs="Arial"/>
          <w:sz w:val="20"/>
        </w:rPr>
        <w:t>, 2018.</w:t>
      </w:r>
    </w:p>
    <w:p w:rsidR="004777D8" w:rsidRDefault="004777D8" w:rsidP="00442881">
      <w:pPr>
        <w:spacing w:after="240" w:line="276" w:lineRule="auto"/>
        <w:jc w:val="both"/>
        <w:rPr>
          <w:rFonts w:ascii="Arial" w:hAnsi="Arial" w:cs="Arial"/>
        </w:rPr>
      </w:pPr>
      <w:r w:rsidRPr="003A05DB">
        <w:rPr>
          <w:rFonts w:ascii="Arial" w:hAnsi="Arial" w:cs="Arial"/>
          <w:lang w:val="es-ES"/>
        </w:rPr>
        <w:lastRenderedPageBreak/>
        <w:t>El cáncer de piel a pesar de ser el de mayor incidencia tiene una baja mortalidad</w:t>
      </w:r>
      <w:r w:rsidR="00442881" w:rsidRPr="003A05DB">
        <w:rPr>
          <w:rFonts w:ascii="Arial" w:hAnsi="Arial" w:cs="Arial"/>
          <w:lang w:val="es-ES"/>
        </w:rPr>
        <w:t>,</w:t>
      </w:r>
      <w:r w:rsidRPr="003A05DB">
        <w:rPr>
          <w:rFonts w:ascii="Arial" w:hAnsi="Arial" w:cs="Arial"/>
          <w:lang w:val="es-ES"/>
        </w:rPr>
        <w:t xml:space="preserve"> como se verá más adelante, debido a que su diagnóstico y tratamiento usualmente </w:t>
      </w:r>
      <w:r w:rsidR="000B2344" w:rsidRPr="003A05DB">
        <w:rPr>
          <w:rFonts w:ascii="Arial" w:hAnsi="Arial" w:cs="Arial"/>
          <w:lang w:val="es-ES"/>
        </w:rPr>
        <w:t>son</w:t>
      </w:r>
      <w:r w:rsidRPr="003A05DB">
        <w:rPr>
          <w:rFonts w:ascii="Arial" w:hAnsi="Arial" w:cs="Arial"/>
          <w:lang w:val="es-ES"/>
        </w:rPr>
        <w:t xml:space="preserve"> más oportuno</w:t>
      </w:r>
      <w:r w:rsidR="000B2344" w:rsidRPr="003A05DB">
        <w:rPr>
          <w:rFonts w:ascii="Arial" w:hAnsi="Arial" w:cs="Arial"/>
          <w:lang w:val="es-ES"/>
        </w:rPr>
        <w:t>s</w:t>
      </w:r>
      <w:r w:rsidRPr="003A05DB">
        <w:rPr>
          <w:rFonts w:ascii="Arial" w:hAnsi="Arial" w:cs="Arial"/>
          <w:lang w:val="es-ES"/>
        </w:rPr>
        <w:t xml:space="preserve"> que los </w:t>
      </w:r>
      <w:r w:rsidR="000B2344" w:rsidRPr="003A05DB">
        <w:rPr>
          <w:rFonts w:ascii="Arial" w:hAnsi="Arial" w:cs="Arial"/>
          <w:lang w:val="es-ES"/>
        </w:rPr>
        <w:t xml:space="preserve">de los </w:t>
      </w:r>
      <w:r w:rsidRPr="003A05DB">
        <w:rPr>
          <w:rFonts w:ascii="Arial" w:hAnsi="Arial" w:cs="Arial"/>
          <w:lang w:val="es-ES"/>
        </w:rPr>
        <w:t xml:space="preserve">otros cuatro </w:t>
      </w:r>
      <w:r w:rsidR="000B2344" w:rsidRPr="003A05DB">
        <w:rPr>
          <w:rFonts w:ascii="Arial" w:hAnsi="Arial" w:cs="Arial"/>
          <w:lang w:val="es-ES"/>
        </w:rPr>
        <w:t>tipos.</w:t>
      </w:r>
      <w:r w:rsidRPr="003A05DB">
        <w:rPr>
          <w:rFonts w:ascii="Arial" w:hAnsi="Arial" w:cs="Arial"/>
          <w:lang w:val="es-ES"/>
        </w:rPr>
        <w:t xml:space="preserve"> </w:t>
      </w:r>
      <w:r w:rsidR="00442881">
        <w:rPr>
          <w:rFonts w:ascii="Arial" w:hAnsi="Arial" w:cs="Arial"/>
        </w:rPr>
        <w:t>D</w:t>
      </w:r>
      <w:r w:rsidRPr="00846A56">
        <w:rPr>
          <w:rFonts w:ascii="Arial" w:hAnsi="Arial" w:cs="Arial"/>
        </w:rPr>
        <w:t xml:space="preserve">e los </w:t>
      </w:r>
      <w:r w:rsidR="00442881">
        <w:rPr>
          <w:rFonts w:ascii="Arial" w:hAnsi="Arial" w:cs="Arial"/>
        </w:rPr>
        <w:t xml:space="preserve">cinco </w:t>
      </w:r>
      <w:r w:rsidRPr="00846A56">
        <w:rPr>
          <w:rFonts w:ascii="Arial" w:hAnsi="Arial" w:cs="Arial"/>
        </w:rPr>
        <w:t xml:space="preserve">tumores más frecuentes, tres se </w:t>
      </w:r>
      <w:r w:rsidR="00442881">
        <w:rPr>
          <w:rFonts w:ascii="Arial" w:hAnsi="Arial" w:cs="Arial"/>
        </w:rPr>
        <w:t xml:space="preserve">originan </w:t>
      </w:r>
      <w:r w:rsidRPr="00846A56">
        <w:rPr>
          <w:rFonts w:ascii="Arial" w:hAnsi="Arial" w:cs="Arial"/>
        </w:rPr>
        <w:t>en los órganos reproductores</w:t>
      </w:r>
      <w:r w:rsidR="00442881">
        <w:rPr>
          <w:rFonts w:ascii="Arial" w:hAnsi="Arial" w:cs="Arial"/>
        </w:rPr>
        <w:t>.</w:t>
      </w:r>
    </w:p>
    <w:p w:rsidR="004777D8" w:rsidRDefault="00442881" w:rsidP="004777D8">
      <w:pPr>
        <w:spacing w:line="276" w:lineRule="auto"/>
        <w:jc w:val="both"/>
        <w:rPr>
          <w:rFonts w:ascii="Arial" w:hAnsi="Arial" w:cs="Arial"/>
        </w:rPr>
      </w:pPr>
      <w:r>
        <w:rPr>
          <w:rFonts w:ascii="Arial" w:hAnsi="Arial" w:cs="Arial"/>
        </w:rPr>
        <w:t>El c</w:t>
      </w:r>
      <w:r w:rsidR="008B67C1">
        <w:rPr>
          <w:rFonts w:ascii="Arial" w:hAnsi="Arial" w:cs="Arial"/>
        </w:rPr>
        <w:t>á</w:t>
      </w:r>
      <w:r>
        <w:rPr>
          <w:rFonts w:ascii="Arial" w:hAnsi="Arial" w:cs="Arial"/>
        </w:rPr>
        <w:t>ncer de piel</w:t>
      </w:r>
      <w:r w:rsidR="008B67C1">
        <w:rPr>
          <w:rFonts w:ascii="Arial" w:hAnsi="Arial" w:cs="Arial"/>
        </w:rPr>
        <w:t xml:space="preserve"> </w:t>
      </w:r>
      <w:r>
        <w:rPr>
          <w:rFonts w:ascii="Arial" w:hAnsi="Arial" w:cs="Arial"/>
        </w:rPr>
        <w:t xml:space="preserve">es el más frecuente en ambos sexos, el </w:t>
      </w:r>
      <w:r w:rsidR="004777D8">
        <w:rPr>
          <w:rFonts w:ascii="Arial" w:hAnsi="Arial" w:cs="Arial"/>
        </w:rPr>
        <w:t xml:space="preserve">segundo lugar </w:t>
      </w:r>
      <w:r>
        <w:rPr>
          <w:rFonts w:ascii="Arial" w:hAnsi="Arial" w:cs="Arial"/>
        </w:rPr>
        <w:t>lo ocupan los tumors de l</w:t>
      </w:r>
      <w:r w:rsidR="004777D8">
        <w:rPr>
          <w:rFonts w:ascii="Arial" w:hAnsi="Arial" w:cs="Arial"/>
        </w:rPr>
        <w:t>os órganos reproductores, próstata para los hombres y mama para las mujer</w:t>
      </w:r>
      <w:r>
        <w:rPr>
          <w:rFonts w:ascii="Arial" w:hAnsi="Arial" w:cs="Arial"/>
        </w:rPr>
        <w:t>es</w:t>
      </w:r>
      <w:r w:rsidR="004777D8">
        <w:rPr>
          <w:rFonts w:ascii="Arial" w:hAnsi="Arial" w:cs="Arial"/>
        </w:rPr>
        <w:t>.</w:t>
      </w:r>
    </w:p>
    <w:p w:rsidR="004777D8" w:rsidRDefault="004777D8" w:rsidP="004777D8">
      <w:pPr>
        <w:spacing w:line="276" w:lineRule="auto"/>
        <w:jc w:val="both"/>
        <w:rPr>
          <w:rFonts w:ascii="Arial" w:hAnsi="Arial" w:cs="Arial"/>
        </w:rPr>
      </w:pPr>
    </w:p>
    <w:p w:rsidR="004777D8" w:rsidRPr="003A05DB" w:rsidRDefault="00442881" w:rsidP="004777D8">
      <w:pPr>
        <w:spacing w:line="276" w:lineRule="auto"/>
        <w:jc w:val="both"/>
        <w:rPr>
          <w:rFonts w:ascii="Arial" w:hAnsi="Arial" w:cs="Arial"/>
          <w:lang w:val="es-ES"/>
        </w:rPr>
      </w:pPr>
      <w:r w:rsidRPr="003A05DB">
        <w:rPr>
          <w:rFonts w:ascii="Arial" w:hAnsi="Arial" w:cs="Arial"/>
          <w:lang w:val="es-ES"/>
        </w:rPr>
        <w:t xml:space="preserve">Las tasas de mortalidad por cáncer de próstata y mama calculadas según sexo son más altas que la mortalidad por cáncer de estómago que afecta tanto a hombres como mujeres </w:t>
      </w:r>
      <w:r w:rsidR="004777D8" w:rsidRPr="003A05DB">
        <w:rPr>
          <w:rFonts w:ascii="Arial" w:hAnsi="Arial" w:cs="Arial"/>
          <w:lang w:val="es-ES"/>
        </w:rPr>
        <w:t>y por tanto se calcula sobre el total de la población.</w:t>
      </w:r>
    </w:p>
    <w:p w:rsidR="00442881" w:rsidRPr="003A05DB" w:rsidRDefault="00442881" w:rsidP="004777D8">
      <w:pPr>
        <w:spacing w:line="276" w:lineRule="auto"/>
        <w:jc w:val="both"/>
        <w:rPr>
          <w:rFonts w:ascii="Arial" w:hAnsi="Arial" w:cs="Arial"/>
          <w:lang w:val="es-ES"/>
        </w:rPr>
      </w:pPr>
    </w:p>
    <w:p w:rsidR="004777D8" w:rsidRPr="00442881" w:rsidRDefault="00442881" w:rsidP="004777D8">
      <w:pPr>
        <w:spacing w:line="276" w:lineRule="auto"/>
        <w:jc w:val="center"/>
        <w:rPr>
          <w:rFonts w:ascii="Arial" w:hAnsi="Arial" w:cs="Arial"/>
          <w:b/>
        </w:rPr>
      </w:pPr>
      <w:r w:rsidRPr="00442881">
        <w:rPr>
          <w:rFonts w:ascii="Arial" w:hAnsi="Arial" w:cs="Arial"/>
          <w:b/>
        </w:rPr>
        <w:t>Cuadro 1</w:t>
      </w:r>
      <w:r w:rsidR="00DA36A6">
        <w:rPr>
          <w:rFonts w:ascii="Arial" w:hAnsi="Arial" w:cs="Arial"/>
          <w:b/>
        </w:rPr>
        <w:t>2</w:t>
      </w:r>
    </w:p>
    <w:p w:rsidR="004777D8" w:rsidRPr="00187F14" w:rsidRDefault="004777D8" w:rsidP="004777D8">
      <w:pPr>
        <w:jc w:val="center"/>
        <w:rPr>
          <w:rFonts w:ascii="Arial" w:hAnsi="Arial" w:cs="Arial"/>
          <w:b/>
        </w:rPr>
      </w:pPr>
      <w:r w:rsidRPr="00187F14">
        <w:rPr>
          <w:rFonts w:ascii="Arial" w:hAnsi="Arial" w:cs="Arial"/>
          <w:b/>
        </w:rPr>
        <w:t>Costa Rica: Mortalidad general de tumores más frecuentes, 2013-2017</w:t>
      </w:r>
    </w:p>
    <w:p w:rsidR="004777D8" w:rsidRDefault="00442881" w:rsidP="004777D8">
      <w:pPr>
        <w:jc w:val="center"/>
        <w:rPr>
          <w:rFonts w:ascii="Arial" w:hAnsi="Arial" w:cs="Arial"/>
          <w:sz w:val="20"/>
          <w:szCs w:val="20"/>
        </w:rPr>
      </w:pPr>
      <w:r w:rsidRPr="00442881">
        <w:rPr>
          <w:rFonts w:ascii="Arial" w:hAnsi="Arial" w:cs="Arial"/>
          <w:sz w:val="20"/>
          <w:szCs w:val="20"/>
        </w:rPr>
        <w:t>(t</w:t>
      </w:r>
      <w:r w:rsidR="004777D8" w:rsidRPr="00442881">
        <w:rPr>
          <w:rFonts w:ascii="Arial" w:hAnsi="Arial" w:cs="Arial"/>
          <w:sz w:val="20"/>
          <w:szCs w:val="20"/>
        </w:rPr>
        <w:t>asa promedio por 100.000 habitantes</w:t>
      </w:r>
      <w:r w:rsidRPr="00442881">
        <w:rPr>
          <w:rFonts w:ascii="Arial" w:hAnsi="Arial" w:cs="Arial"/>
          <w:sz w:val="20"/>
          <w:szCs w:val="20"/>
        </w:rPr>
        <w:t>)</w:t>
      </w:r>
    </w:p>
    <w:p w:rsidR="00442881" w:rsidRPr="00442881" w:rsidRDefault="00442881" w:rsidP="004777D8">
      <w:pPr>
        <w:jc w:val="center"/>
        <w:rPr>
          <w:rFonts w:ascii="Arial" w:hAnsi="Arial" w:cs="Arial"/>
          <w:sz w:val="20"/>
          <w:szCs w:val="20"/>
        </w:rPr>
      </w:pPr>
    </w:p>
    <w:tbl>
      <w:tblPr>
        <w:tblW w:w="5078" w:type="dxa"/>
        <w:jc w:val="center"/>
        <w:tblCellMar>
          <w:left w:w="70" w:type="dxa"/>
          <w:right w:w="70" w:type="dxa"/>
        </w:tblCellMar>
        <w:tblLook w:val="04A0" w:firstRow="1" w:lastRow="0" w:firstColumn="1" w:lastColumn="0" w:noHBand="0" w:noVBand="1"/>
      </w:tblPr>
      <w:tblGrid>
        <w:gridCol w:w="2244"/>
        <w:gridCol w:w="1417"/>
        <w:gridCol w:w="1417"/>
      </w:tblGrid>
      <w:tr w:rsidR="004777D8" w:rsidRPr="00845B3F" w:rsidTr="00DA36A6">
        <w:trPr>
          <w:trHeight w:val="298"/>
          <w:jc w:val="center"/>
        </w:trPr>
        <w:tc>
          <w:tcPr>
            <w:tcW w:w="2244" w:type="dxa"/>
            <w:tcBorders>
              <w:top w:val="single" w:sz="4" w:space="0" w:color="auto"/>
              <w:left w:val="nil"/>
              <w:bottom w:val="single" w:sz="4" w:space="0" w:color="auto"/>
              <w:right w:val="nil"/>
            </w:tcBorders>
            <w:shd w:val="clear" w:color="auto" w:fill="D5DCE4" w:themeFill="text2" w:themeFillTint="33"/>
            <w:noWrap/>
            <w:vAlign w:val="bottom"/>
            <w:hideMark/>
          </w:tcPr>
          <w:p w:rsidR="004777D8" w:rsidRPr="00845B3F" w:rsidRDefault="004777D8" w:rsidP="00475BBF">
            <w:pPr>
              <w:jc w:val="center"/>
              <w:rPr>
                <w:rFonts w:ascii="Arial" w:eastAsia="Times New Roman" w:hAnsi="Arial" w:cs="Arial"/>
                <w:b/>
                <w:color w:val="000000"/>
                <w:sz w:val="20"/>
                <w:szCs w:val="20"/>
                <w:lang w:eastAsia="es-CR"/>
              </w:rPr>
            </w:pPr>
            <w:r w:rsidRPr="00845B3F">
              <w:rPr>
                <w:rFonts w:ascii="Arial" w:eastAsia="Times New Roman" w:hAnsi="Arial" w:cs="Arial"/>
                <w:b/>
                <w:color w:val="000000"/>
                <w:sz w:val="20"/>
                <w:szCs w:val="20"/>
                <w:lang w:eastAsia="es-CR"/>
              </w:rPr>
              <w:t>Tipo</w:t>
            </w:r>
          </w:p>
        </w:tc>
        <w:tc>
          <w:tcPr>
            <w:tcW w:w="1417" w:type="dxa"/>
            <w:tcBorders>
              <w:top w:val="single" w:sz="4" w:space="0" w:color="auto"/>
              <w:left w:val="nil"/>
              <w:bottom w:val="single" w:sz="4" w:space="0" w:color="auto"/>
              <w:right w:val="nil"/>
            </w:tcBorders>
            <w:shd w:val="clear" w:color="auto" w:fill="D5DCE4" w:themeFill="text2" w:themeFillTint="33"/>
            <w:noWrap/>
            <w:vAlign w:val="bottom"/>
            <w:hideMark/>
          </w:tcPr>
          <w:p w:rsidR="004777D8" w:rsidRPr="00845B3F" w:rsidRDefault="004777D8" w:rsidP="00475BBF">
            <w:pPr>
              <w:jc w:val="center"/>
              <w:rPr>
                <w:rFonts w:ascii="Arial" w:eastAsia="Times New Roman" w:hAnsi="Arial" w:cs="Arial"/>
                <w:b/>
                <w:color w:val="000000"/>
                <w:sz w:val="20"/>
                <w:szCs w:val="20"/>
                <w:lang w:eastAsia="es-CR"/>
              </w:rPr>
            </w:pPr>
            <w:r w:rsidRPr="00845B3F">
              <w:rPr>
                <w:rFonts w:ascii="Arial" w:eastAsia="Times New Roman" w:hAnsi="Arial" w:cs="Arial"/>
                <w:b/>
                <w:color w:val="000000"/>
                <w:sz w:val="20"/>
                <w:szCs w:val="20"/>
                <w:lang w:eastAsia="es-CR"/>
              </w:rPr>
              <w:t>N° Casos</w:t>
            </w:r>
          </w:p>
        </w:tc>
        <w:tc>
          <w:tcPr>
            <w:tcW w:w="1417" w:type="dxa"/>
            <w:tcBorders>
              <w:top w:val="single" w:sz="4" w:space="0" w:color="auto"/>
              <w:left w:val="nil"/>
              <w:bottom w:val="single" w:sz="4" w:space="0" w:color="auto"/>
              <w:right w:val="nil"/>
            </w:tcBorders>
            <w:shd w:val="clear" w:color="auto" w:fill="D5DCE4" w:themeFill="text2" w:themeFillTint="33"/>
            <w:noWrap/>
            <w:vAlign w:val="bottom"/>
            <w:hideMark/>
          </w:tcPr>
          <w:p w:rsidR="004777D8" w:rsidRPr="00845B3F" w:rsidRDefault="004777D8" w:rsidP="00475BBF">
            <w:pPr>
              <w:jc w:val="center"/>
              <w:rPr>
                <w:rFonts w:ascii="Arial" w:eastAsia="Times New Roman" w:hAnsi="Arial" w:cs="Arial"/>
                <w:b/>
                <w:color w:val="000000"/>
                <w:sz w:val="20"/>
                <w:szCs w:val="20"/>
                <w:lang w:eastAsia="es-CR"/>
              </w:rPr>
            </w:pPr>
            <w:r w:rsidRPr="00845B3F">
              <w:rPr>
                <w:rFonts w:ascii="Arial" w:eastAsia="Times New Roman" w:hAnsi="Arial" w:cs="Arial"/>
                <w:b/>
                <w:color w:val="000000"/>
                <w:sz w:val="20"/>
                <w:szCs w:val="20"/>
                <w:lang w:eastAsia="es-CR"/>
              </w:rPr>
              <w:t>Tasa</w:t>
            </w:r>
          </w:p>
        </w:tc>
      </w:tr>
      <w:tr w:rsidR="004777D8" w:rsidRPr="00845B3F" w:rsidTr="00475BBF">
        <w:trPr>
          <w:trHeight w:val="298"/>
          <w:jc w:val="center"/>
        </w:trPr>
        <w:tc>
          <w:tcPr>
            <w:tcW w:w="2244" w:type="dxa"/>
            <w:tcBorders>
              <w:top w:val="nil"/>
              <w:left w:val="nil"/>
              <w:bottom w:val="nil"/>
              <w:right w:val="nil"/>
            </w:tcBorders>
            <w:shd w:val="clear" w:color="auto" w:fill="auto"/>
            <w:noWrap/>
            <w:vAlign w:val="bottom"/>
            <w:hideMark/>
          </w:tcPr>
          <w:p w:rsidR="004777D8" w:rsidRPr="00845B3F" w:rsidRDefault="004777D8" w:rsidP="00475BBF">
            <w:pP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Próstata</w:t>
            </w:r>
          </w:p>
        </w:tc>
        <w:tc>
          <w:tcPr>
            <w:tcW w:w="1417" w:type="dxa"/>
            <w:tcBorders>
              <w:top w:val="nil"/>
              <w:left w:val="nil"/>
              <w:bottom w:val="nil"/>
              <w:right w:val="nil"/>
            </w:tcBorders>
            <w:shd w:val="clear" w:color="auto" w:fill="auto"/>
            <w:noWrap/>
            <w:vAlign w:val="bottom"/>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1994</w:t>
            </w:r>
          </w:p>
        </w:tc>
        <w:tc>
          <w:tcPr>
            <w:tcW w:w="1417" w:type="dxa"/>
            <w:tcBorders>
              <w:top w:val="nil"/>
              <w:left w:val="nil"/>
              <w:bottom w:val="nil"/>
              <w:right w:val="nil"/>
            </w:tcBorders>
            <w:shd w:val="clear" w:color="auto" w:fill="auto"/>
            <w:noWrap/>
            <w:vAlign w:val="bottom"/>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16,35</w:t>
            </w:r>
            <w:r w:rsidR="00442881" w:rsidRPr="00845B3F">
              <w:rPr>
                <w:rStyle w:val="Refdenotaalpie"/>
                <w:rFonts w:ascii="Arial" w:eastAsia="Times New Roman" w:hAnsi="Arial" w:cs="Arial"/>
                <w:color w:val="000000"/>
                <w:sz w:val="20"/>
                <w:szCs w:val="20"/>
                <w:lang w:eastAsia="es-CR"/>
              </w:rPr>
              <w:footnoteReference w:id="9"/>
            </w:r>
            <w:r w:rsidRPr="00845B3F">
              <w:rPr>
                <w:rFonts w:ascii="Arial" w:eastAsia="Times New Roman" w:hAnsi="Arial" w:cs="Arial"/>
                <w:color w:val="000000"/>
                <w:sz w:val="20"/>
                <w:szCs w:val="20"/>
                <w:lang w:eastAsia="es-CR"/>
              </w:rPr>
              <w:t>*</w:t>
            </w:r>
          </w:p>
        </w:tc>
      </w:tr>
      <w:tr w:rsidR="004777D8" w:rsidRPr="00845B3F" w:rsidTr="00475BBF">
        <w:trPr>
          <w:trHeight w:val="298"/>
          <w:jc w:val="center"/>
        </w:trPr>
        <w:tc>
          <w:tcPr>
            <w:tcW w:w="2244" w:type="dxa"/>
            <w:tcBorders>
              <w:top w:val="nil"/>
              <w:left w:val="nil"/>
              <w:bottom w:val="nil"/>
              <w:right w:val="nil"/>
            </w:tcBorders>
            <w:shd w:val="clear" w:color="auto" w:fill="auto"/>
            <w:noWrap/>
            <w:vAlign w:val="bottom"/>
            <w:hideMark/>
          </w:tcPr>
          <w:p w:rsidR="004777D8" w:rsidRPr="00845B3F" w:rsidRDefault="004777D8" w:rsidP="00475BBF">
            <w:pP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Mama</w:t>
            </w:r>
          </w:p>
        </w:tc>
        <w:tc>
          <w:tcPr>
            <w:tcW w:w="1417" w:type="dxa"/>
            <w:tcBorders>
              <w:top w:val="nil"/>
              <w:left w:val="nil"/>
              <w:bottom w:val="nil"/>
              <w:right w:val="nil"/>
            </w:tcBorders>
            <w:shd w:val="clear" w:color="auto" w:fill="auto"/>
            <w:noWrap/>
            <w:vAlign w:val="bottom"/>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1716</w:t>
            </w:r>
          </w:p>
        </w:tc>
        <w:tc>
          <w:tcPr>
            <w:tcW w:w="1417" w:type="dxa"/>
            <w:tcBorders>
              <w:top w:val="nil"/>
              <w:left w:val="nil"/>
              <w:bottom w:val="nil"/>
              <w:right w:val="nil"/>
            </w:tcBorders>
            <w:shd w:val="clear" w:color="auto" w:fill="auto"/>
            <w:noWrap/>
            <w:vAlign w:val="bottom"/>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14,35*</w:t>
            </w:r>
          </w:p>
        </w:tc>
      </w:tr>
      <w:tr w:rsidR="004777D8" w:rsidRPr="00845B3F" w:rsidTr="00475BBF">
        <w:trPr>
          <w:trHeight w:val="298"/>
          <w:jc w:val="center"/>
        </w:trPr>
        <w:tc>
          <w:tcPr>
            <w:tcW w:w="2244" w:type="dxa"/>
            <w:tcBorders>
              <w:top w:val="nil"/>
              <w:left w:val="nil"/>
              <w:bottom w:val="nil"/>
              <w:right w:val="nil"/>
            </w:tcBorders>
            <w:shd w:val="clear" w:color="auto" w:fill="auto"/>
            <w:noWrap/>
            <w:vAlign w:val="bottom"/>
            <w:hideMark/>
          </w:tcPr>
          <w:p w:rsidR="004777D8" w:rsidRPr="00845B3F" w:rsidRDefault="004777D8" w:rsidP="00475BBF">
            <w:pP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Estómago</w:t>
            </w:r>
          </w:p>
        </w:tc>
        <w:tc>
          <w:tcPr>
            <w:tcW w:w="1417" w:type="dxa"/>
            <w:tcBorders>
              <w:top w:val="nil"/>
              <w:left w:val="nil"/>
              <w:bottom w:val="nil"/>
              <w:right w:val="nil"/>
            </w:tcBorders>
            <w:shd w:val="clear" w:color="auto" w:fill="auto"/>
            <w:noWrap/>
            <w:vAlign w:val="bottom"/>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3232</w:t>
            </w:r>
          </w:p>
        </w:tc>
        <w:tc>
          <w:tcPr>
            <w:tcW w:w="1417" w:type="dxa"/>
            <w:tcBorders>
              <w:top w:val="nil"/>
              <w:left w:val="nil"/>
              <w:bottom w:val="nil"/>
              <w:right w:val="nil"/>
            </w:tcBorders>
            <w:shd w:val="clear" w:color="auto" w:fill="auto"/>
            <w:noWrap/>
            <w:vAlign w:val="bottom"/>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13,38</w:t>
            </w:r>
          </w:p>
        </w:tc>
      </w:tr>
      <w:tr w:rsidR="004777D8" w:rsidRPr="00845B3F" w:rsidTr="00475BBF">
        <w:trPr>
          <w:trHeight w:val="298"/>
          <w:jc w:val="center"/>
        </w:trPr>
        <w:tc>
          <w:tcPr>
            <w:tcW w:w="2244" w:type="dxa"/>
            <w:tcBorders>
              <w:top w:val="nil"/>
              <w:left w:val="nil"/>
              <w:bottom w:val="nil"/>
              <w:right w:val="nil"/>
            </w:tcBorders>
            <w:shd w:val="clear" w:color="auto" w:fill="auto"/>
            <w:noWrap/>
            <w:vAlign w:val="bottom"/>
            <w:hideMark/>
          </w:tcPr>
          <w:p w:rsidR="004777D8" w:rsidRPr="00845B3F" w:rsidRDefault="004777D8" w:rsidP="00475BBF">
            <w:pP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Colon</w:t>
            </w:r>
          </w:p>
        </w:tc>
        <w:tc>
          <w:tcPr>
            <w:tcW w:w="1417" w:type="dxa"/>
            <w:tcBorders>
              <w:top w:val="nil"/>
              <w:left w:val="nil"/>
              <w:bottom w:val="nil"/>
              <w:right w:val="nil"/>
            </w:tcBorders>
            <w:shd w:val="clear" w:color="auto" w:fill="auto"/>
            <w:noWrap/>
            <w:vAlign w:val="bottom"/>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1943</w:t>
            </w:r>
          </w:p>
        </w:tc>
        <w:tc>
          <w:tcPr>
            <w:tcW w:w="1417" w:type="dxa"/>
            <w:tcBorders>
              <w:top w:val="nil"/>
              <w:left w:val="nil"/>
              <w:bottom w:val="nil"/>
              <w:right w:val="nil"/>
            </w:tcBorders>
            <w:shd w:val="clear" w:color="auto" w:fill="auto"/>
            <w:noWrap/>
            <w:vAlign w:val="bottom"/>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8,04</w:t>
            </w:r>
          </w:p>
        </w:tc>
      </w:tr>
      <w:tr w:rsidR="004777D8" w:rsidRPr="00845B3F" w:rsidTr="00475BBF">
        <w:trPr>
          <w:trHeight w:val="324"/>
          <w:jc w:val="center"/>
        </w:trPr>
        <w:tc>
          <w:tcPr>
            <w:tcW w:w="2244" w:type="dxa"/>
            <w:tcBorders>
              <w:top w:val="nil"/>
              <w:left w:val="nil"/>
              <w:bottom w:val="single" w:sz="4" w:space="0" w:color="auto"/>
              <w:right w:val="nil"/>
            </w:tcBorders>
            <w:shd w:val="clear" w:color="auto" w:fill="auto"/>
            <w:vAlign w:val="bottom"/>
            <w:hideMark/>
          </w:tcPr>
          <w:p w:rsidR="004777D8" w:rsidRPr="00845B3F" w:rsidRDefault="004777D8" w:rsidP="00475BBF">
            <w:pP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Bronquios y Pulmón</w:t>
            </w:r>
          </w:p>
        </w:tc>
        <w:tc>
          <w:tcPr>
            <w:tcW w:w="1417" w:type="dxa"/>
            <w:tcBorders>
              <w:top w:val="nil"/>
              <w:left w:val="nil"/>
              <w:bottom w:val="single" w:sz="4" w:space="0" w:color="auto"/>
              <w:right w:val="nil"/>
            </w:tcBorders>
            <w:shd w:val="clear" w:color="auto" w:fill="auto"/>
            <w:noWrap/>
            <w:vAlign w:val="center"/>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1491</w:t>
            </w:r>
          </w:p>
        </w:tc>
        <w:tc>
          <w:tcPr>
            <w:tcW w:w="1417" w:type="dxa"/>
            <w:tcBorders>
              <w:top w:val="nil"/>
              <w:left w:val="nil"/>
              <w:bottom w:val="single" w:sz="4" w:space="0" w:color="auto"/>
              <w:right w:val="nil"/>
            </w:tcBorders>
            <w:shd w:val="clear" w:color="auto" w:fill="auto"/>
            <w:noWrap/>
            <w:vAlign w:val="center"/>
            <w:hideMark/>
          </w:tcPr>
          <w:p w:rsidR="004777D8" w:rsidRPr="00845B3F" w:rsidRDefault="004777D8" w:rsidP="00475BBF">
            <w:pPr>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6,17</w:t>
            </w:r>
          </w:p>
        </w:tc>
      </w:tr>
    </w:tbl>
    <w:p w:rsidR="004777D8" w:rsidRPr="00A56A5B" w:rsidRDefault="004777D8" w:rsidP="00A56A5B">
      <w:pPr>
        <w:jc w:val="center"/>
        <w:rPr>
          <w:rFonts w:ascii="Arial" w:hAnsi="Arial" w:cs="Arial"/>
          <w:sz w:val="16"/>
          <w:szCs w:val="16"/>
        </w:rPr>
      </w:pPr>
      <w:r w:rsidRPr="00A56A5B">
        <w:rPr>
          <w:rFonts w:ascii="Arial" w:hAnsi="Arial" w:cs="Arial"/>
          <w:b/>
          <w:sz w:val="16"/>
          <w:szCs w:val="16"/>
        </w:rPr>
        <w:t>Fuente:</w:t>
      </w:r>
      <w:r w:rsidRPr="00A56A5B">
        <w:rPr>
          <w:rFonts w:ascii="Arial" w:hAnsi="Arial" w:cs="Arial"/>
          <w:sz w:val="16"/>
          <w:szCs w:val="16"/>
        </w:rPr>
        <w:t xml:space="preserve"> Datos INEC / Dirección Vigilancia de la Salud,</w:t>
      </w:r>
      <w:r w:rsidR="00A56A5B">
        <w:rPr>
          <w:rFonts w:ascii="Arial" w:hAnsi="Arial" w:cs="Arial"/>
          <w:sz w:val="16"/>
          <w:szCs w:val="16"/>
        </w:rPr>
        <w:t xml:space="preserve"> </w:t>
      </w:r>
      <w:r w:rsidRPr="00A56A5B">
        <w:rPr>
          <w:rFonts w:ascii="Arial" w:hAnsi="Arial" w:cs="Arial"/>
          <w:sz w:val="16"/>
          <w:szCs w:val="16"/>
        </w:rPr>
        <w:t>Ministerio de Salud</w:t>
      </w:r>
      <w:r w:rsidR="00A56A5B" w:rsidRPr="00A56A5B">
        <w:rPr>
          <w:rFonts w:ascii="Arial" w:hAnsi="Arial" w:cs="Arial"/>
          <w:sz w:val="16"/>
          <w:szCs w:val="16"/>
        </w:rPr>
        <w:t>, 2018</w:t>
      </w:r>
    </w:p>
    <w:p w:rsidR="004777D8" w:rsidRPr="00A56A5B" w:rsidRDefault="004777D8" w:rsidP="004777D8">
      <w:pPr>
        <w:spacing w:line="360" w:lineRule="auto"/>
        <w:rPr>
          <w:rFonts w:ascii="Arial" w:hAnsi="Arial" w:cs="Arial"/>
          <w:sz w:val="16"/>
          <w:szCs w:val="16"/>
        </w:rPr>
      </w:pPr>
    </w:p>
    <w:p w:rsidR="004777D8" w:rsidRPr="003A05DB" w:rsidRDefault="004777D8" w:rsidP="004777D8">
      <w:pPr>
        <w:spacing w:line="276" w:lineRule="auto"/>
        <w:jc w:val="both"/>
        <w:rPr>
          <w:rFonts w:ascii="Arial" w:hAnsi="Arial" w:cs="Arial"/>
          <w:lang w:val="es-ES"/>
        </w:rPr>
      </w:pPr>
      <w:r w:rsidRPr="003A05DB">
        <w:rPr>
          <w:rFonts w:ascii="Arial" w:hAnsi="Arial" w:cs="Arial"/>
          <w:lang w:val="es-ES"/>
        </w:rPr>
        <w:t>El cáncer de estómago genera alta mortalidad siendo la primera causa a nivel global y en hombres, en mujeres es superado por el cáncer de mama (incidencia 14,20 por 100.000 mujeres). El cáncer de colon por su parte ha ido en aumento en los últimos 20 años hasta posicionarse como una de las causas más frecuentes de mortalidad.</w:t>
      </w:r>
    </w:p>
    <w:p w:rsidR="004777D8" w:rsidRDefault="004777D8" w:rsidP="004777D8">
      <w:pPr>
        <w:spacing w:line="276" w:lineRule="auto"/>
        <w:jc w:val="both"/>
        <w:rPr>
          <w:rFonts w:ascii="Arial" w:hAnsi="Arial" w:cs="Arial"/>
        </w:rPr>
      </w:pPr>
      <w:r>
        <w:rPr>
          <w:rFonts w:ascii="Arial" w:hAnsi="Arial" w:cs="Arial"/>
        </w:rPr>
        <w:t>Las principales causas de muerte por cáncer para el quinquenio 2013-2017 son diferentes según el sexo, sin emb</w:t>
      </w:r>
      <w:r w:rsidR="00BE3710">
        <w:rPr>
          <w:rFonts w:ascii="Arial" w:hAnsi="Arial" w:cs="Arial"/>
        </w:rPr>
        <w:t xml:space="preserve">argo, el cáncer de estómago es una causa importante </w:t>
      </w:r>
      <w:r>
        <w:rPr>
          <w:rFonts w:ascii="Arial" w:hAnsi="Arial" w:cs="Arial"/>
        </w:rPr>
        <w:t>de mortalidad en ambos sexos.</w:t>
      </w:r>
    </w:p>
    <w:p w:rsidR="00442881" w:rsidRDefault="00442881">
      <w:pPr>
        <w:spacing w:after="160" w:line="259" w:lineRule="auto"/>
        <w:rPr>
          <w:rFonts w:ascii="Arial" w:hAnsi="Arial" w:cs="Arial"/>
        </w:rPr>
      </w:pPr>
      <w:r>
        <w:rPr>
          <w:rFonts w:ascii="Arial" w:hAnsi="Arial" w:cs="Arial"/>
        </w:rPr>
        <w:br w:type="page"/>
      </w:r>
    </w:p>
    <w:p w:rsidR="00442881" w:rsidRDefault="00442881" w:rsidP="004777D8">
      <w:pPr>
        <w:spacing w:line="276" w:lineRule="auto"/>
        <w:jc w:val="both"/>
        <w:rPr>
          <w:rFonts w:ascii="Arial" w:hAnsi="Arial" w:cs="Arial"/>
        </w:rPr>
      </w:pPr>
    </w:p>
    <w:p w:rsidR="004777D8" w:rsidRPr="00BE3710" w:rsidRDefault="00BE3710" w:rsidP="004777D8">
      <w:pPr>
        <w:spacing w:line="276" w:lineRule="auto"/>
        <w:jc w:val="center"/>
        <w:rPr>
          <w:rFonts w:ascii="Arial" w:hAnsi="Arial" w:cs="Arial"/>
          <w:b/>
        </w:rPr>
      </w:pPr>
      <w:r w:rsidRPr="00BE3710">
        <w:rPr>
          <w:rFonts w:ascii="Arial" w:hAnsi="Arial" w:cs="Arial"/>
          <w:b/>
        </w:rPr>
        <w:t>Cuadro 1</w:t>
      </w:r>
      <w:r w:rsidR="00DA36A6">
        <w:rPr>
          <w:rFonts w:ascii="Arial" w:hAnsi="Arial" w:cs="Arial"/>
          <w:b/>
        </w:rPr>
        <w:t>3</w:t>
      </w:r>
    </w:p>
    <w:p w:rsidR="00BE3710" w:rsidRDefault="004777D8" w:rsidP="004777D8">
      <w:pPr>
        <w:spacing w:line="276" w:lineRule="auto"/>
        <w:jc w:val="center"/>
        <w:rPr>
          <w:rFonts w:ascii="Arial" w:hAnsi="Arial" w:cs="Arial"/>
          <w:b/>
        </w:rPr>
      </w:pPr>
      <w:r w:rsidRPr="00AA6D5F">
        <w:rPr>
          <w:rFonts w:ascii="Arial" w:hAnsi="Arial" w:cs="Arial"/>
          <w:b/>
        </w:rPr>
        <w:t xml:space="preserve">Costa Rica: Mortalidad de tumores más frecuentes, según localización y sexo 2013-2017 </w:t>
      </w:r>
    </w:p>
    <w:p w:rsidR="004777D8" w:rsidRPr="00BE3710" w:rsidRDefault="004777D8" w:rsidP="004777D8">
      <w:pPr>
        <w:spacing w:line="276" w:lineRule="auto"/>
        <w:jc w:val="center"/>
        <w:rPr>
          <w:rFonts w:ascii="Arial" w:hAnsi="Arial" w:cs="Arial"/>
        </w:rPr>
      </w:pPr>
      <w:r w:rsidRPr="00BE3710">
        <w:rPr>
          <w:rFonts w:ascii="Arial" w:hAnsi="Arial" w:cs="Arial"/>
        </w:rPr>
        <w:t>(</w:t>
      </w:r>
      <w:r w:rsidR="00BE3710" w:rsidRPr="00BE3710">
        <w:rPr>
          <w:rFonts w:ascii="Arial" w:hAnsi="Arial" w:cs="Arial"/>
          <w:sz w:val="20"/>
          <w:szCs w:val="20"/>
        </w:rPr>
        <w:t>t</w:t>
      </w:r>
      <w:r w:rsidRPr="00BE3710">
        <w:rPr>
          <w:rFonts w:ascii="Arial" w:hAnsi="Arial" w:cs="Arial"/>
          <w:sz w:val="20"/>
          <w:szCs w:val="20"/>
        </w:rPr>
        <w:t>asa promedio por 100.000 habitantes)</w:t>
      </w:r>
    </w:p>
    <w:tbl>
      <w:tblPr>
        <w:tblW w:w="6940" w:type="dxa"/>
        <w:jc w:val="center"/>
        <w:tblCellMar>
          <w:left w:w="70" w:type="dxa"/>
          <w:right w:w="70" w:type="dxa"/>
        </w:tblCellMar>
        <w:tblLook w:val="04A0" w:firstRow="1" w:lastRow="0" w:firstColumn="1" w:lastColumn="0" w:noHBand="0" w:noVBand="1"/>
      </w:tblPr>
      <w:tblGrid>
        <w:gridCol w:w="2160"/>
        <w:gridCol w:w="1200"/>
        <w:gridCol w:w="2380"/>
        <w:gridCol w:w="1200"/>
      </w:tblGrid>
      <w:tr w:rsidR="00BE3710" w:rsidRPr="00845B3F" w:rsidTr="00DA36A6">
        <w:trPr>
          <w:trHeight w:val="300"/>
          <w:jc w:val="center"/>
        </w:trPr>
        <w:tc>
          <w:tcPr>
            <w:tcW w:w="2160" w:type="dxa"/>
            <w:tcBorders>
              <w:top w:val="single" w:sz="4" w:space="0" w:color="auto"/>
              <w:left w:val="nil"/>
              <w:bottom w:val="single" w:sz="4" w:space="0" w:color="auto"/>
              <w:right w:val="nil"/>
            </w:tcBorders>
            <w:shd w:val="clear" w:color="auto" w:fill="D5DCE4" w:themeFill="text2" w:themeFillTint="33"/>
            <w:noWrap/>
            <w:vAlign w:val="center"/>
            <w:hideMark/>
          </w:tcPr>
          <w:p w:rsidR="00BE3710" w:rsidRPr="00845B3F" w:rsidRDefault="00BE3710" w:rsidP="00475BBF">
            <w:pPr>
              <w:jc w:val="center"/>
              <w:rPr>
                <w:rFonts w:ascii="Arial" w:eastAsia="Times New Roman" w:hAnsi="Arial" w:cs="Arial"/>
                <w:b/>
                <w:color w:val="000000"/>
                <w:sz w:val="20"/>
                <w:szCs w:val="20"/>
                <w:lang w:eastAsia="es-PA"/>
              </w:rPr>
            </w:pPr>
            <w:r w:rsidRPr="00845B3F">
              <w:rPr>
                <w:rFonts w:ascii="Arial" w:eastAsia="Times New Roman" w:hAnsi="Arial" w:cs="Arial"/>
                <w:b/>
                <w:color w:val="000000"/>
                <w:sz w:val="20"/>
                <w:szCs w:val="20"/>
                <w:lang w:eastAsia="es-PA"/>
              </w:rPr>
              <w:t>Mujeres</w:t>
            </w:r>
          </w:p>
        </w:tc>
        <w:tc>
          <w:tcPr>
            <w:tcW w:w="1200" w:type="dxa"/>
            <w:tcBorders>
              <w:top w:val="single" w:sz="4" w:space="0" w:color="auto"/>
              <w:left w:val="nil"/>
              <w:bottom w:val="single" w:sz="4" w:space="0" w:color="auto"/>
              <w:right w:val="nil"/>
            </w:tcBorders>
            <w:shd w:val="clear" w:color="auto" w:fill="D5DCE4" w:themeFill="text2" w:themeFillTint="33"/>
            <w:noWrap/>
            <w:vAlign w:val="center"/>
            <w:hideMark/>
          </w:tcPr>
          <w:p w:rsidR="00BE3710" w:rsidRPr="00845B3F" w:rsidRDefault="00BE3710" w:rsidP="00475BBF">
            <w:pPr>
              <w:jc w:val="center"/>
              <w:rPr>
                <w:rFonts w:ascii="Arial" w:eastAsia="Times New Roman" w:hAnsi="Arial" w:cs="Arial"/>
                <w:b/>
                <w:color w:val="000000"/>
                <w:sz w:val="20"/>
                <w:szCs w:val="20"/>
                <w:lang w:eastAsia="es-PA"/>
              </w:rPr>
            </w:pPr>
            <w:r w:rsidRPr="00845B3F">
              <w:rPr>
                <w:rFonts w:ascii="Arial" w:eastAsia="Times New Roman" w:hAnsi="Arial" w:cs="Arial"/>
                <w:b/>
                <w:color w:val="000000"/>
                <w:sz w:val="20"/>
                <w:szCs w:val="20"/>
                <w:lang w:eastAsia="es-PA"/>
              </w:rPr>
              <w:t>Tasa</w:t>
            </w:r>
          </w:p>
        </w:tc>
        <w:tc>
          <w:tcPr>
            <w:tcW w:w="2380" w:type="dxa"/>
            <w:tcBorders>
              <w:top w:val="single" w:sz="4" w:space="0" w:color="auto"/>
              <w:left w:val="nil"/>
              <w:bottom w:val="single" w:sz="4" w:space="0" w:color="auto"/>
              <w:right w:val="nil"/>
            </w:tcBorders>
            <w:shd w:val="clear" w:color="auto" w:fill="D5DCE4" w:themeFill="text2" w:themeFillTint="33"/>
            <w:noWrap/>
            <w:vAlign w:val="center"/>
            <w:hideMark/>
          </w:tcPr>
          <w:p w:rsidR="00BE3710" w:rsidRPr="00845B3F" w:rsidRDefault="00BE3710" w:rsidP="00475BBF">
            <w:pPr>
              <w:jc w:val="center"/>
              <w:rPr>
                <w:rFonts w:ascii="Arial" w:eastAsia="Times New Roman" w:hAnsi="Arial" w:cs="Arial"/>
                <w:b/>
                <w:color w:val="000000"/>
                <w:sz w:val="20"/>
                <w:szCs w:val="20"/>
                <w:lang w:eastAsia="es-PA"/>
              </w:rPr>
            </w:pPr>
            <w:r w:rsidRPr="00845B3F">
              <w:rPr>
                <w:rFonts w:ascii="Arial" w:eastAsia="Times New Roman" w:hAnsi="Arial" w:cs="Arial"/>
                <w:b/>
                <w:color w:val="000000"/>
                <w:sz w:val="20"/>
                <w:szCs w:val="20"/>
                <w:lang w:eastAsia="es-PA"/>
              </w:rPr>
              <w:t>Hombres</w:t>
            </w:r>
          </w:p>
        </w:tc>
        <w:tc>
          <w:tcPr>
            <w:tcW w:w="1200" w:type="dxa"/>
            <w:tcBorders>
              <w:top w:val="single" w:sz="4" w:space="0" w:color="auto"/>
              <w:left w:val="nil"/>
              <w:bottom w:val="single" w:sz="4" w:space="0" w:color="auto"/>
              <w:right w:val="nil"/>
            </w:tcBorders>
            <w:shd w:val="clear" w:color="auto" w:fill="D5DCE4" w:themeFill="text2" w:themeFillTint="33"/>
            <w:noWrap/>
            <w:vAlign w:val="center"/>
            <w:hideMark/>
          </w:tcPr>
          <w:p w:rsidR="00BE3710" w:rsidRPr="00845B3F" w:rsidRDefault="00BE3710" w:rsidP="00475BBF">
            <w:pPr>
              <w:jc w:val="center"/>
              <w:rPr>
                <w:rFonts w:ascii="Arial" w:eastAsia="Times New Roman" w:hAnsi="Arial" w:cs="Arial"/>
                <w:b/>
                <w:color w:val="000000"/>
                <w:sz w:val="20"/>
                <w:szCs w:val="20"/>
                <w:lang w:eastAsia="es-PA"/>
              </w:rPr>
            </w:pPr>
            <w:r w:rsidRPr="00845B3F">
              <w:rPr>
                <w:rFonts w:ascii="Arial" w:eastAsia="Times New Roman" w:hAnsi="Arial" w:cs="Arial"/>
                <w:b/>
                <w:color w:val="000000"/>
                <w:sz w:val="20"/>
                <w:szCs w:val="20"/>
                <w:lang w:eastAsia="es-PA"/>
              </w:rPr>
              <w:t>Tasa</w:t>
            </w:r>
          </w:p>
        </w:tc>
      </w:tr>
      <w:tr w:rsidR="00BE3710" w:rsidRPr="00845B3F" w:rsidTr="00BE3710">
        <w:trPr>
          <w:trHeight w:val="300"/>
          <w:jc w:val="center"/>
        </w:trPr>
        <w:tc>
          <w:tcPr>
            <w:tcW w:w="2160" w:type="dxa"/>
            <w:tcBorders>
              <w:top w:val="nil"/>
              <w:left w:val="nil"/>
              <w:bottom w:val="nil"/>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Mama</w:t>
            </w:r>
          </w:p>
        </w:tc>
        <w:tc>
          <w:tcPr>
            <w:tcW w:w="1200" w:type="dxa"/>
            <w:tcBorders>
              <w:top w:val="nil"/>
              <w:left w:val="nil"/>
              <w:bottom w:val="nil"/>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14,19</w:t>
            </w:r>
          </w:p>
        </w:tc>
        <w:tc>
          <w:tcPr>
            <w:tcW w:w="2380" w:type="dxa"/>
            <w:tcBorders>
              <w:top w:val="nil"/>
              <w:left w:val="nil"/>
              <w:bottom w:val="nil"/>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Estómago</w:t>
            </w:r>
          </w:p>
        </w:tc>
        <w:tc>
          <w:tcPr>
            <w:tcW w:w="1200" w:type="dxa"/>
            <w:tcBorders>
              <w:top w:val="nil"/>
              <w:left w:val="nil"/>
              <w:bottom w:val="nil"/>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16,49</w:t>
            </w:r>
          </w:p>
        </w:tc>
      </w:tr>
      <w:tr w:rsidR="00BE3710" w:rsidRPr="00845B3F" w:rsidTr="00BE3710">
        <w:trPr>
          <w:trHeight w:val="300"/>
          <w:jc w:val="center"/>
        </w:trPr>
        <w:tc>
          <w:tcPr>
            <w:tcW w:w="2160" w:type="dxa"/>
            <w:tcBorders>
              <w:top w:val="nil"/>
              <w:left w:val="nil"/>
              <w:bottom w:val="nil"/>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Estómago</w:t>
            </w:r>
          </w:p>
        </w:tc>
        <w:tc>
          <w:tcPr>
            <w:tcW w:w="1200" w:type="dxa"/>
            <w:tcBorders>
              <w:top w:val="nil"/>
              <w:left w:val="nil"/>
              <w:bottom w:val="nil"/>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10,21</w:t>
            </w:r>
          </w:p>
        </w:tc>
        <w:tc>
          <w:tcPr>
            <w:tcW w:w="2380" w:type="dxa"/>
            <w:tcBorders>
              <w:top w:val="nil"/>
              <w:left w:val="nil"/>
              <w:bottom w:val="nil"/>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Próstata</w:t>
            </w:r>
          </w:p>
        </w:tc>
        <w:tc>
          <w:tcPr>
            <w:tcW w:w="1200" w:type="dxa"/>
            <w:tcBorders>
              <w:top w:val="nil"/>
              <w:left w:val="nil"/>
              <w:bottom w:val="nil"/>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16,35</w:t>
            </w:r>
          </w:p>
        </w:tc>
      </w:tr>
      <w:tr w:rsidR="00BE3710" w:rsidRPr="00845B3F" w:rsidTr="00BE3710">
        <w:trPr>
          <w:trHeight w:val="300"/>
          <w:jc w:val="center"/>
        </w:trPr>
        <w:tc>
          <w:tcPr>
            <w:tcW w:w="2160" w:type="dxa"/>
            <w:tcBorders>
              <w:top w:val="nil"/>
              <w:left w:val="nil"/>
              <w:bottom w:val="nil"/>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Colon</w:t>
            </w:r>
          </w:p>
        </w:tc>
        <w:tc>
          <w:tcPr>
            <w:tcW w:w="1200" w:type="dxa"/>
            <w:tcBorders>
              <w:top w:val="nil"/>
              <w:left w:val="nil"/>
              <w:bottom w:val="nil"/>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 xml:space="preserve">  8,33</w:t>
            </w:r>
          </w:p>
        </w:tc>
        <w:tc>
          <w:tcPr>
            <w:tcW w:w="2380" w:type="dxa"/>
            <w:tcBorders>
              <w:top w:val="nil"/>
              <w:left w:val="nil"/>
              <w:bottom w:val="nil"/>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Bronquios</w:t>
            </w:r>
          </w:p>
        </w:tc>
        <w:tc>
          <w:tcPr>
            <w:tcW w:w="1200" w:type="dxa"/>
            <w:tcBorders>
              <w:top w:val="nil"/>
              <w:left w:val="nil"/>
              <w:bottom w:val="nil"/>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 xml:space="preserve">  7,79</w:t>
            </w:r>
          </w:p>
        </w:tc>
      </w:tr>
      <w:tr w:rsidR="00BE3710" w:rsidRPr="00845B3F" w:rsidTr="00BE3710">
        <w:trPr>
          <w:trHeight w:val="300"/>
          <w:jc w:val="center"/>
        </w:trPr>
        <w:tc>
          <w:tcPr>
            <w:tcW w:w="2160" w:type="dxa"/>
            <w:tcBorders>
              <w:top w:val="nil"/>
              <w:left w:val="nil"/>
              <w:bottom w:val="nil"/>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Cuello del útero</w:t>
            </w:r>
          </w:p>
        </w:tc>
        <w:tc>
          <w:tcPr>
            <w:tcW w:w="1200" w:type="dxa"/>
            <w:tcBorders>
              <w:top w:val="nil"/>
              <w:left w:val="nil"/>
              <w:bottom w:val="nil"/>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 xml:space="preserve">  5,69</w:t>
            </w:r>
          </w:p>
        </w:tc>
        <w:tc>
          <w:tcPr>
            <w:tcW w:w="2380" w:type="dxa"/>
            <w:tcBorders>
              <w:top w:val="nil"/>
              <w:left w:val="nil"/>
              <w:bottom w:val="nil"/>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Colon</w:t>
            </w:r>
          </w:p>
        </w:tc>
        <w:tc>
          <w:tcPr>
            <w:tcW w:w="1200" w:type="dxa"/>
            <w:tcBorders>
              <w:top w:val="nil"/>
              <w:left w:val="nil"/>
              <w:bottom w:val="nil"/>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 xml:space="preserve">  7,77</w:t>
            </w:r>
          </w:p>
        </w:tc>
      </w:tr>
      <w:tr w:rsidR="00BE3710" w:rsidRPr="00845B3F" w:rsidTr="00BE3710">
        <w:trPr>
          <w:trHeight w:val="300"/>
          <w:jc w:val="center"/>
        </w:trPr>
        <w:tc>
          <w:tcPr>
            <w:tcW w:w="2160" w:type="dxa"/>
            <w:tcBorders>
              <w:top w:val="nil"/>
              <w:left w:val="nil"/>
              <w:bottom w:val="single" w:sz="4" w:space="0" w:color="auto"/>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Páncreas</w:t>
            </w:r>
          </w:p>
        </w:tc>
        <w:tc>
          <w:tcPr>
            <w:tcW w:w="1200" w:type="dxa"/>
            <w:tcBorders>
              <w:top w:val="nil"/>
              <w:left w:val="nil"/>
              <w:bottom w:val="single" w:sz="4" w:space="0" w:color="auto"/>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 xml:space="preserve">  5,57</w:t>
            </w:r>
          </w:p>
        </w:tc>
        <w:tc>
          <w:tcPr>
            <w:tcW w:w="2380" w:type="dxa"/>
            <w:tcBorders>
              <w:top w:val="nil"/>
              <w:left w:val="nil"/>
              <w:bottom w:val="single" w:sz="4" w:space="0" w:color="auto"/>
              <w:right w:val="nil"/>
            </w:tcBorders>
            <w:shd w:val="clear" w:color="auto" w:fill="auto"/>
            <w:noWrap/>
            <w:vAlign w:val="center"/>
            <w:hideMark/>
          </w:tcPr>
          <w:p w:rsidR="00BE3710" w:rsidRPr="00845B3F" w:rsidRDefault="00BE3710" w:rsidP="00475BBF">
            <w:pP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Hígado y vías biliares</w:t>
            </w:r>
          </w:p>
        </w:tc>
        <w:tc>
          <w:tcPr>
            <w:tcW w:w="1200" w:type="dxa"/>
            <w:tcBorders>
              <w:top w:val="nil"/>
              <w:left w:val="nil"/>
              <w:bottom w:val="single" w:sz="4" w:space="0" w:color="auto"/>
              <w:right w:val="nil"/>
            </w:tcBorders>
            <w:shd w:val="clear" w:color="auto" w:fill="auto"/>
            <w:noWrap/>
            <w:vAlign w:val="center"/>
            <w:hideMark/>
          </w:tcPr>
          <w:p w:rsidR="00BE3710" w:rsidRPr="00845B3F" w:rsidRDefault="00BE3710" w:rsidP="00475BBF">
            <w:pPr>
              <w:jc w:val="center"/>
              <w:rPr>
                <w:rFonts w:ascii="Arial" w:eastAsia="Times New Roman" w:hAnsi="Arial" w:cs="Arial"/>
                <w:color w:val="000000"/>
                <w:sz w:val="20"/>
                <w:szCs w:val="20"/>
                <w:lang w:eastAsia="es-PA"/>
              </w:rPr>
            </w:pPr>
            <w:r w:rsidRPr="00845B3F">
              <w:rPr>
                <w:rFonts w:ascii="Arial" w:eastAsia="Times New Roman" w:hAnsi="Arial" w:cs="Arial"/>
                <w:color w:val="000000"/>
                <w:sz w:val="20"/>
                <w:szCs w:val="20"/>
                <w:lang w:eastAsia="es-PA"/>
              </w:rPr>
              <w:t xml:space="preserve">  7,18</w:t>
            </w:r>
          </w:p>
        </w:tc>
      </w:tr>
    </w:tbl>
    <w:p w:rsidR="004777D8" w:rsidRPr="003A05DB" w:rsidRDefault="004777D8" w:rsidP="004777D8">
      <w:pPr>
        <w:jc w:val="center"/>
        <w:rPr>
          <w:rFonts w:ascii="Arial" w:hAnsi="Arial" w:cs="Arial"/>
          <w:sz w:val="20"/>
          <w:lang w:val="es-ES"/>
        </w:rPr>
      </w:pPr>
      <w:r w:rsidRPr="003A05DB">
        <w:rPr>
          <w:rFonts w:ascii="Arial" w:hAnsi="Arial" w:cs="Arial"/>
          <w:b/>
          <w:sz w:val="20"/>
          <w:lang w:val="es-ES"/>
        </w:rPr>
        <w:t>Fuente:</w:t>
      </w:r>
      <w:r w:rsidRPr="003A05DB">
        <w:rPr>
          <w:rFonts w:ascii="Arial" w:hAnsi="Arial" w:cs="Arial"/>
          <w:sz w:val="20"/>
          <w:lang w:val="es-ES"/>
        </w:rPr>
        <w:t xml:space="preserve"> </w:t>
      </w:r>
      <w:r w:rsidR="004B0AE3" w:rsidRPr="003A05DB">
        <w:rPr>
          <w:rFonts w:ascii="Arial" w:hAnsi="Arial" w:cs="Arial"/>
          <w:sz w:val="20"/>
          <w:lang w:val="es-ES"/>
        </w:rPr>
        <w:t xml:space="preserve">INEC, </w:t>
      </w:r>
      <w:r w:rsidRPr="003A05DB">
        <w:rPr>
          <w:rFonts w:ascii="Arial" w:hAnsi="Arial" w:cs="Arial"/>
          <w:sz w:val="20"/>
          <w:lang w:val="es-ES"/>
        </w:rPr>
        <w:t>Dirección Vigilancia de la Salud, Ministerio de Salud</w:t>
      </w:r>
      <w:r w:rsidR="00A56A5B" w:rsidRPr="003A05DB">
        <w:rPr>
          <w:rFonts w:ascii="Arial" w:hAnsi="Arial" w:cs="Arial"/>
          <w:sz w:val="20"/>
          <w:lang w:val="es-ES"/>
        </w:rPr>
        <w:t>,2018.</w:t>
      </w:r>
    </w:p>
    <w:p w:rsidR="004777D8" w:rsidRDefault="004777D8" w:rsidP="004777D8">
      <w:pPr>
        <w:spacing w:line="360" w:lineRule="auto"/>
        <w:rPr>
          <w:rFonts w:ascii="Arial" w:hAnsi="Arial" w:cs="Arial"/>
          <w:lang w:val="es-MX"/>
        </w:rPr>
      </w:pPr>
    </w:p>
    <w:p w:rsidR="00845B3F" w:rsidRDefault="00845B3F">
      <w:pPr>
        <w:spacing w:after="160" w:line="259" w:lineRule="auto"/>
        <w:rPr>
          <w:rFonts w:ascii="Arial" w:hAnsi="Arial" w:cs="Arial"/>
          <w:lang w:val="es-MX"/>
        </w:rPr>
      </w:pPr>
      <w:r>
        <w:rPr>
          <w:rFonts w:ascii="Arial" w:hAnsi="Arial" w:cs="Arial"/>
          <w:lang w:val="es-MX"/>
        </w:rPr>
        <w:br w:type="page"/>
      </w:r>
    </w:p>
    <w:p w:rsidR="004777D8" w:rsidRPr="00845B3F" w:rsidRDefault="004B0AE3" w:rsidP="00845B3F">
      <w:pPr>
        <w:pStyle w:val="Ttulo2"/>
        <w:rPr>
          <w:rFonts w:ascii="Arial" w:hAnsi="Arial" w:cs="Arial"/>
          <w:b/>
          <w:color w:val="auto"/>
          <w:lang w:eastAsia="es-ES"/>
        </w:rPr>
      </w:pPr>
      <w:bookmarkStart w:id="19" w:name="_Toc506187975"/>
      <w:bookmarkStart w:id="20" w:name="_Toc7439658"/>
      <w:r w:rsidRPr="00845B3F">
        <w:rPr>
          <w:rFonts w:ascii="Arial" w:hAnsi="Arial" w:cs="Arial"/>
          <w:b/>
          <w:color w:val="auto"/>
          <w:lang w:eastAsia="es-ES"/>
        </w:rPr>
        <w:lastRenderedPageBreak/>
        <w:t>Vigilancia del estado nutricional</w:t>
      </w:r>
      <w:bookmarkEnd w:id="19"/>
      <w:bookmarkEnd w:id="20"/>
    </w:p>
    <w:p w:rsidR="004B0AE3" w:rsidRPr="003A05DB" w:rsidRDefault="004777D8" w:rsidP="004777D8">
      <w:pPr>
        <w:shd w:val="clear" w:color="auto" w:fill="FFFFFF"/>
        <w:spacing w:before="100" w:beforeAutospacing="1" w:after="100" w:afterAutospacing="1" w:line="276" w:lineRule="auto"/>
        <w:jc w:val="both"/>
        <w:rPr>
          <w:rFonts w:ascii="Arial" w:hAnsi="Arial" w:cs="Arial"/>
          <w:shd w:val="clear" w:color="auto" w:fill="FFFFFF"/>
          <w:lang w:val="es-ES"/>
        </w:rPr>
      </w:pPr>
      <w:r w:rsidRPr="003A05DB">
        <w:rPr>
          <w:rFonts w:ascii="Arial" w:hAnsi="Arial" w:cs="Arial"/>
          <w:shd w:val="clear" w:color="auto" w:fill="FFFFFF"/>
          <w:lang w:val="es-ES"/>
        </w:rPr>
        <w:t xml:space="preserve">El estado nutricional de las poblaciones es </w:t>
      </w:r>
      <w:r w:rsidR="004B0AE3" w:rsidRPr="003A05DB">
        <w:rPr>
          <w:rFonts w:ascii="Arial" w:hAnsi="Arial" w:cs="Arial"/>
          <w:shd w:val="clear" w:color="auto" w:fill="FFFFFF"/>
          <w:lang w:val="es-ES"/>
        </w:rPr>
        <w:t xml:space="preserve">el </w:t>
      </w:r>
      <w:r w:rsidRPr="003A05DB">
        <w:rPr>
          <w:rFonts w:ascii="Arial" w:hAnsi="Arial" w:cs="Arial"/>
          <w:shd w:val="clear" w:color="auto" w:fill="FFFFFF"/>
          <w:lang w:val="es-ES"/>
        </w:rPr>
        <w:t>resultado de una amplia gama de condiciones sociales y económicas, donde distintos sectores, en conjunto, deben adoptar medidas para el control de la malnutrición.</w:t>
      </w:r>
      <w:r w:rsidR="004B0AE3" w:rsidRPr="003A05DB">
        <w:rPr>
          <w:rFonts w:ascii="Arial" w:hAnsi="Arial" w:cs="Arial"/>
          <w:shd w:val="clear" w:color="auto" w:fill="FFFFFF"/>
          <w:lang w:val="es-ES"/>
        </w:rPr>
        <w:t xml:space="preserve"> </w:t>
      </w:r>
      <w:r w:rsidRPr="003A05DB">
        <w:rPr>
          <w:rFonts w:ascii="Arial" w:hAnsi="Arial" w:cs="Arial"/>
          <w:shd w:val="clear" w:color="auto" w:fill="FFFFFF"/>
          <w:lang w:val="es-ES"/>
        </w:rPr>
        <w:t xml:space="preserve"> Llevar una dieta sana a lo largo de la vida ayuda a prevenir la malnutrición en todas sus formas, así como diferentes enfermedades no transmisibles y trastornos de alimentación.</w:t>
      </w:r>
    </w:p>
    <w:p w:rsidR="004777D8" w:rsidRPr="003A05DB" w:rsidRDefault="004777D8" w:rsidP="004777D8">
      <w:pPr>
        <w:shd w:val="clear" w:color="auto" w:fill="FFFFFF"/>
        <w:spacing w:before="100" w:beforeAutospacing="1" w:after="100" w:afterAutospacing="1" w:line="276" w:lineRule="auto"/>
        <w:jc w:val="both"/>
        <w:rPr>
          <w:rFonts w:ascii="Arial" w:hAnsi="Arial" w:cs="Arial"/>
          <w:shd w:val="clear" w:color="auto" w:fill="FFFFFF"/>
          <w:lang w:val="es-ES"/>
        </w:rPr>
      </w:pPr>
      <w:r w:rsidRPr="003A05DB">
        <w:rPr>
          <w:rFonts w:ascii="Arial" w:hAnsi="Arial" w:cs="Arial"/>
          <w:shd w:val="clear" w:color="auto" w:fill="FFFFFF"/>
          <w:lang w:val="es-ES"/>
        </w:rPr>
        <w:t xml:space="preserve">Sin embargo, el aumento de la producción de alimentos procesados, la rápida urbanización y </w:t>
      </w:r>
      <w:r w:rsidR="004B0AE3" w:rsidRPr="003A05DB">
        <w:rPr>
          <w:rFonts w:ascii="Arial" w:hAnsi="Arial" w:cs="Arial"/>
          <w:shd w:val="clear" w:color="auto" w:fill="FFFFFF"/>
          <w:lang w:val="es-ES"/>
        </w:rPr>
        <w:t xml:space="preserve">diversos </w:t>
      </w:r>
      <w:r w:rsidRPr="003A05DB">
        <w:rPr>
          <w:rFonts w:ascii="Arial" w:hAnsi="Arial" w:cs="Arial"/>
          <w:shd w:val="clear" w:color="auto" w:fill="FFFFFF"/>
          <w:lang w:val="es-ES"/>
        </w:rPr>
        <w:t>estilos de vida</w:t>
      </w:r>
      <w:r w:rsidR="004B0AE3" w:rsidRPr="003A05DB">
        <w:rPr>
          <w:rFonts w:ascii="Arial" w:hAnsi="Arial" w:cs="Arial"/>
          <w:shd w:val="clear" w:color="auto" w:fill="FFFFFF"/>
          <w:lang w:val="es-ES"/>
        </w:rPr>
        <w:t>,</w:t>
      </w:r>
      <w:r w:rsidRPr="003A05DB">
        <w:rPr>
          <w:rFonts w:ascii="Arial" w:hAnsi="Arial" w:cs="Arial"/>
          <w:shd w:val="clear" w:color="auto" w:fill="FFFFFF"/>
          <w:lang w:val="es-ES"/>
        </w:rPr>
        <w:t xml:space="preserve"> han dado lugar a un cambio en los hábitos alimentarios.</w:t>
      </w:r>
    </w:p>
    <w:p w:rsidR="004777D8" w:rsidRPr="004B0AE3" w:rsidRDefault="004777D8" w:rsidP="004777D8">
      <w:pPr>
        <w:shd w:val="clear" w:color="auto" w:fill="FFFFFF"/>
        <w:spacing w:before="100" w:beforeAutospacing="1" w:after="100" w:afterAutospacing="1" w:line="276" w:lineRule="auto"/>
        <w:jc w:val="both"/>
        <w:rPr>
          <w:rFonts w:ascii="Arial" w:hAnsi="Arial" w:cs="Arial"/>
          <w:shd w:val="clear" w:color="auto" w:fill="FFFFFF"/>
        </w:rPr>
      </w:pPr>
      <w:r w:rsidRPr="003A05DB">
        <w:rPr>
          <w:rFonts w:ascii="Arial" w:hAnsi="Arial" w:cs="Arial"/>
          <w:shd w:val="clear" w:color="auto" w:fill="FFFFFF"/>
          <w:lang w:val="es-ES"/>
        </w:rPr>
        <w:t xml:space="preserve">En las últimas décadas, Costa Rica ha experimentado transformaciones demográficas, epidemiológicas y nutricionales, procesos de transición complementarios que en el ámbito nutricional han dado lugar a lo que se ha denominado la doble carga de la malnutrición. </w:t>
      </w:r>
      <w:r w:rsidRPr="004B0AE3">
        <w:rPr>
          <w:rFonts w:ascii="Arial" w:hAnsi="Arial" w:cs="Arial"/>
          <w:shd w:val="clear" w:color="auto" w:fill="FFFFFF"/>
        </w:rPr>
        <w:t xml:space="preserve">Este fenómeno está caracterizado por </w:t>
      </w:r>
      <w:r w:rsidR="004B0AE3">
        <w:rPr>
          <w:rFonts w:ascii="Arial" w:hAnsi="Arial" w:cs="Arial"/>
          <w:shd w:val="clear" w:color="auto" w:fill="FFFFFF"/>
        </w:rPr>
        <w:t xml:space="preserve">la </w:t>
      </w:r>
      <w:r w:rsidRPr="004B0AE3">
        <w:rPr>
          <w:rFonts w:ascii="Arial" w:hAnsi="Arial" w:cs="Arial"/>
          <w:shd w:val="clear" w:color="auto" w:fill="FFFFFF"/>
        </w:rPr>
        <w:t xml:space="preserve">coexistencia de malnutrición por déficit </w:t>
      </w:r>
      <w:r w:rsidR="004B0AE3">
        <w:rPr>
          <w:rFonts w:ascii="Arial" w:hAnsi="Arial" w:cs="Arial"/>
          <w:shd w:val="clear" w:color="auto" w:fill="FFFFFF"/>
        </w:rPr>
        <w:t>con la malnutrición por ex</w:t>
      </w:r>
      <w:r w:rsidRPr="004B0AE3">
        <w:rPr>
          <w:rFonts w:ascii="Arial" w:hAnsi="Arial" w:cs="Arial"/>
          <w:shd w:val="clear" w:color="auto" w:fill="FFFFFF"/>
        </w:rPr>
        <w:t xml:space="preserve">ceso en individuos, hogares o comunidades. </w:t>
      </w:r>
      <w:r w:rsidR="004B0AE3">
        <w:rPr>
          <w:rFonts w:ascii="Arial" w:hAnsi="Arial" w:cs="Arial"/>
          <w:shd w:val="clear" w:color="auto" w:fill="FFFFFF"/>
        </w:rPr>
        <w:t>E</w:t>
      </w:r>
      <w:r w:rsidRPr="004B0AE3">
        <w:rPr>
          <w:rFonts w:ascii="Arial" w:hAnsi="Arial" w:cs="Arial"/>
          <w:shd w:val="clear" w:color="auto" w:fill="FFFFFF"/>
        </w:rPr>
        <w:t xml:space="preserve">l concepto de malnutrición incluye, por un lado, a la desnutrición, incluidos los indicadores de bajo peso al nacer, la insuficiencia de peso, el retardo en talla, y el déficit de micronutrientes (hierro, zinc, vitamina A u otros), y por el otro, al sobrepeso y la obesidad. </w:t>
      </w:r>
    </w:p>
    <w:p w:rsidR="004777D8" w:rsidRPr="003A05DB" w:rsidRDefault="004777D8" w:rsidP="004777D8">
      <w:pPr>
        <w:spacing w:before="100" w:beforeAutospacing="1" w:after="100" w:afterAutospacing="1" w:line="276" w:lineRule="auto"/>
        <w:jc w:val="both"/>
        <w:rPr>
          <w:rFonts w:ascii="Arial" w:hAnsi="Arial" w:cs="Arial"/>
          <w:shd w:val="clear" w:color="auto" w:fill="FFFFFF"/>
          <w:lang w:val="es-ES"/>
        </w:rPr>
      </w:pPr>
      <w:r w:rsidRPr="003A05DB">
        <w:rPr>
          <w:rFonts w:ascii="Arial" w:hAnsi="Arial" w:cs="Arial"/>
          <w:shd w:val="clear" w:color="auto" w:fill="FFFFFF"/>
          <w:lang w:val="es-ES"/>
        </w:rPr>
        <w:t>Las altas y crecientes prevalencias de sobrepeso y obesidad impactan como un problema de salud pública en el país</w:t>
      </w:r>
      <w:r w:rsidR="00C73E49" w:rsidRPr="003A05DB">
        <w:rPr>
          <w:rFonts w:ascii="Arial" w:hAnsi="Arial" w:cs="Arial"/>
          <w:shd w:val="clear" w:color="auto" w:fill="FFFFFF"/>
          <w:lang w:val="es-ES"/>
        </w:rPr>
        <w:t>. A</w:t>
      </w:r>
      <w:r w:rsidRPr="003A05DB">
        <w:rPr>
          <w:rFonts w:ascii="Arial" w:hAnsi="Arial" w:cs="Arial"/>
          <w:shd w:val="clear" w:color="auto" w:fill="FFFFFF"/>
          <w:lang w:val="es-ES"/>
        </w:rPr>
        <w:t>dicionalmente, el déficit en la ingesta de micronutrientes (conocido como “hambre oculta”) refleja un estado de malnutrición por insuficiencia de uno o más nutrientes esenciales</w:t>
      </w:r>
      <w:r w:rsidR="00C73E49" w:rsidRPr="003A05DB">
        <w:rPr>
          <w:rFonts w:ascii="Arial" w:hAnsi="Arial" w:cs="Arial"/>
          <w:shd w:val="clear" w:color="auto" w:fill="FFFFFF"/>
          <w:lang w:val="es-ES"/>
        </w:rPr>
        <w:t>,</w:t>
      </w:r>
      <w:r w:rsidRPr="003A05DB">
        <w:rPr>
          <w:rFonts w:ascii="Arial" w:hAnsi="Arial" w:cs="Arial"/>
          <w:shd w:val="clear" w:color="auto" w:fill="FFFFFF"/>
          <w:lang w:val="es-ES"/>
        </w:rPr>
        <w:t xml:space="preserve"> lo que obliga a instaurar la vigilancia alimentaria nutricional con el fin de reorientar las políticas públicas en </w:t>
      </w:r>
      <w:r w:rsidR="00C73E49" w:rsidRPr="003A05DB">
        <w:rPr>
          <w:rFonts w:ascii="Arial" w:hAnsi="Arial" w:cs="Arial"/>
          <w:shd w:val="clear" w:color="auto" w:fill="FFFFFF"/>
          <w:lang w:val="es-ES"/>
        </w:rPr>
        <w:t xml:space="preserve">este </w:t>
      </w:r>
      <w:r w:rsidRPr="003A05DB">
        <w:rPr>
          <w:rFonts w:ascii="Arial" w:hAnsi="Arial" w:cs="Arial"/>
          <w:shd w:val="clear" w:color="auto" w:fill="FFFFFF"/>
          <w:lang w:val="es-ES"/>
        </w:rPr>
        <w:t>tema.</w:t>
      </w:r>
    </w:p>
    <w:p w:rsidR="004777D8" w:rsidRPr="003A05DB" w:rsidRDefault="004777D8" w:rsidP="004777D8">
      <w:pPr>
        <w:spacing w:before="100" w:beforeAutospacing="1" w:after="100" w:afterAutospacing="1" w:line="276" w:lineRule="auto"/>
        <w:jc w:val="both"/>
        <w:rPr>
          <w:rFonts w:ascii="Arial" w:hAnsi="Arial" w:cs="Arial"/>
          <w:shd w:val="clear" w:color="auto" w:fill="FFFFFF"/>
          <w:lang w:val="es-ES"/>
        </w:rPr>
      </w:pPr>
      <w:r w:rsidRPr="003A05DB">
        <w:rPr>
          <w:rFonts w:ascii="Arial" w:hAnsi="Arial" w:cs="Arial"/>
          <w:shd w:val="clear" w:color="auto" w:fill="FFFFFF"/>
          <w:lang w:val="es-ES"/>
        </w:rPr>
        <w:t xml:space="preserve">El impacto de prevenir </w:t>
      </w:r>
      <w:r w:rsidR="00C73E49" w:rsidRPr="003A05DB">
        <w:rPr>
          <w:rFonts w:ascii="Arial" w:hAnsi="Arial" w:cs="Arial"/>
          <w:shd w:val="clear" w:color="auto" w:fill="FFFFFF"/>
          <w:lang w:val="es-ES"/>
        </w:rPr>
        <w:t>el s</w:t>
      </w:r>
      <w:r w:rsidRPr="003A05DB">
        <w:rPr>
          <w:rFonts w:ascii="Arial" w:hAnsi="Arial" w:cs="Arial"/>
          <w:shd w:val="clear" w:color="auto" w:fill="FFFFFF"/>
          <w:lang w:val="es-ES"/>
        </w:rPr>
        <w:t xml:space="preserve">obrepeso y la </w:t>
      </w:r>
      <w:r w:rsidR="00C73E49" w:rsidRPr="003A05DB">
        <w:rPr>
          <w:rFonts w:ascii="Arial" w:hAnsi="Arial" w:cs="Arial"/>
          <w:shd w:val="clear" w:color="auto" w:fill="FFFFFF"/>
          <w:lang w:val="es-ES"/>
        </w:rPr>
        <w:t>o</w:t>
      </w:r>
      <w:r w:rsidRPr="003A05DB">
        <w:rPr>
          <w:rFonts w:ascii="Arial" w:hAnsi="Arial" w:cs="Arial"/>
          <w:shd w:val="clear" w:color="auto" w:fill="FFFFFF"/>
          <w:lang w:val="es-ES"/>
        </w:rPr>
        <w:t>besidad en la disminución de las tasas de morbilidad y muerte asociadas a diabetes, hipertensión, cáncer y enfermedades cardiovasculares, se traduce a largo plazo</w:t>
      </w:r>
      <w:r w:rsidR="00C73E49" w:rsidRPr="003A05DB">
        <w:rPr>
          <w:rFonts w:ascii="Arial" w:hAnsi="Arial" w:cs="Arial"/>
          <w:shd w:val="clear" w:color="auto" w:fill="FFFFFF"/>
          <w:lang w:val="es-ES"/>
        </w:rPr>
        <w:t>,</w:t>
      </w:r>
      <w:r w:rsidRPr="003A05DB">
        <w:rPr>
          <w:rFonts w:ascii="Arial" w:hAnsi="Arial" w:cs="Arial"/>
          <w:shd w:val="clear" w:color="auto" w:fill="FFFFFF"/>
          <w:lang w:val="es-ES"/>
        </w:rPr>
        <w:t xml:space="preserve"> en la reducción de complicaciones para el si</w:t>
      </w:r>
      <w:r w:rsidR="00C73E49" w:rsidRPr="003A05DB">
        <w:rPr>
          <w:rFonts w:ascii="Arial" w:hAnsi="Arial" w:cs="Arial"/>
          <w:shd w:val="clear" w:color="auto" w:fill="FFFFFF"/>
          <w:lang w:val="es-ES"/>
        </w:rPr>
        <w:t xml:space="preserve">stema de salud y la disminución </w:t>
      </w:r>
      <w:r w:rsidRPr="003A05DB">
        <w:rPr>
          <w:rFonts w:ascii="Arial" w:hAnsi="Arial" w:cs="Arial"/>
          <w:shd w:val="clear" w:color="auto" w:fill="FFFFFF"/>
          <w:lang w:val="es-ES"/>
        </w:rPr>
        <w:t xml:space="preserve">del gasto </w:t>
      </w:r>
      <w:r w:rsidR="00C73E49" w:rsidRPr="003A05DB">
        <w:rPr>
          <w:rFonts w:ascii="Arial" w:hAnsi="Arial" w:cs="Arial"/>
          <w:shd w:val="clear" w:color="auto" w:fill="FFFFFF"/>
          <w:lang w:val="es-ES"/>
        </w:rPr>
        <w:t xml:space="preserve">en salud </w:t>
      </w:r>
      <w:r w:rsidRPr="003A05DB">
        <w:rPr>
          <w:rFonts w:ascii="Arial" w:hAnsi="Arial" w:cs="Arial"/>
          <w:shd w:val="clear" w:color="auto" w:fill="FFFFFF"/>
          <w:lang w:val="es-ES"/>
        </w:rPr>
        <w:t xml:space="preserve">en la economía del país. </w:t>
      </w:r>
    </w:p>
    <w:p w:rsidR="004777D8" w:rsidRPr="003A05DB" w:rsidRDefault="004777D8" w:rsidP="004777D8">
      <w:pPr>
        <w:spacing w:before="100" w:beforeAutospacing="1" w:after="100" w:afterAutospacing="1" w:line="276" w:lineRule="auto"/>
        <w:jc w:val="both"/>
        <w:rPr>
          <w:rFonts w:ascii="Arial" w:hAnsi="Arial" w:cs="Arial"/>
          <w:shd w:val="clear" w:color="auto" w:fill="FFFFFF"/>
          <w:lang w:val="es-ES"/>
        </w:rPr>
      </w:pPr>
      <w:r w:rsidRPr="003A05DB">
        <w:rPr>
          <w:rFonts w:ascii="Arial" w:hAnsi="Arial" w:cs="Arial"/>
          <w:shd w:val="clear" w:color="auto" w:fill="FFFFFF"/>
          <w:lang w:val="es-ES"/>
        </w:rPr>
        <w:t>Mediante una correcta alimentación el ser humano puede influir de manera determinante sobre su salud, s</w:t>
      </w:r>
      <w:r w:rsidR="00C73E49" w:rsidRPr="003A05DB">
        <w:rPr>
          <w:rFonts w:ascii="Arial" w:hAnsi="Arial" w:cs="Arial"/>
          <w:shd w:val="clear" w:color="auto" w:fill="FFFFFF"/>
          <w:lang w:val="es-ES"/>
        </w:rPr>
        <w:t xml:space="preserve">u capacidad de rendimiento y su </w:t>
      </w:r>
      <w:r w:rsidRPr="003A05DB">
        <w:rPr>
          <w:rFonts w:ascii="Arial" w:hAnsi="Arial" w:cs="Arial"/>
          <w:shd w:val="clear" w:color="auto" w:fill="FFFFFF"/>
          <w:lang w:val="es-ES"/>
        </w:rPr>
        <w:t>esperanza de vida mejorando el estado de salud de una población en general.</w:t>
      </w:r>
    </w:p>
    <w:p w:rsidR="004777D8" w:rsidRPr="004B0AE3" w:rsidRDefault="004777D8" w:rsidP="004777D8">
      <w:pPr>
        <w:pStyle w:val="Default"/>
        <w:spacing w:after="140" w:line="276" w:lineRule="auto"/>
        <w:rPr>
          <w:rFonts w:ascii="Arial" w:hAnsi="Arial" w:cs="Arial"/>
          <w:b/>
        </w:rPr>
      </w:pPr>
    </w:p>
    <w:p w:rsidR="004777D8" w:rsidRPr="00845B3F" w:rsidRDefault="004777D8" w:rsidP="00845B3F">
      <w:pPr>
        <w:pStyle w:val="Ttulo3"/>
        <w:spacing w:after="240"/>
        <w:rPr>
          <w:rFonts w:ascii="Arial" w:hAnsi="Arial" w:cs="Arial"/>
          <w:b/>
          <w:color w:val="auto"/>
        </w:rPr>
      </w:pPr>
      <w:bookmarkStart w:id="21" w:name="_Toc7439659"/>
      <w:r w:rsidRPr="00845B3F">
        <w:rPr>
          <w:rFonts w:ascii="Arial" w:hAnsi="Arial" w:cs="Arial"/>
          <w:b/>
          <w:color w:val="auto"/>
        </w:rPr>
        <w:lastRenderedPageBreak/>
        <w:t>Desnutrición</w:t>
      </w:r>
      <w:bookmarkEnd w:id="21"/>
    </w:p>
    <w:p w:rsidR="004777D8" w:rsidRPr="003A05DB" w:rsidRDefault="004777D8" w:rsidP="004777D8">
      <w:pPr>
        <w:autoSpaceDE w:val="0"/>
        <w:autoSpaceDN w:val="0"/>
        <w:adjustRightInd w:val="0"/>
        <w:spacing w:line="276" w:lineRule="auto"/>
        <w:jc w:val="both"/>
        <w:rPr>
          <w:rFonts w:ascii="Arial" w:hAnsi="Arial" w:cs="Arial"/>
          <w:color w:val="000000"/>
          <w:lang w:val="es-ES"/>
        </w:rPr>
      </w:pPr>
      <w:r w:rsidRPr="003A05DB">
        <w:rPr>
          <w:rFonts w:ascii="Arial" w:hAnsi="Arial" w:cs="Arial"/>
          <w:color w:val="000000"/>
          <w:lang w:val="es-ES"/>
        </w:rPr>
        <w:t>Es el resultado de una ingesta de alimentos insuficiente para satisfacer las necesidades de energía y nutrientes, por tanto, se define como</w:t>
      </w:r>
      <w:r w:rsidR="00C73E49" w:rsidRPr="003A05DB">
        <w:rPr>
          <w:rFonts w:ascii="Arial" w:hAnsi="Arial" w:cs="Arial"/>
          <w:color w:val="000000"/>
          <w:lang w:val="es-ES"/>
        </w:rPr>
        <w:t>:</w:t>
      </w:r>
      <w:r w:rsidRPr="003A05DB">
        <w:rPr>
          <w:rFonts w:ascii="Arial" w:hAnsi="Arial" w:cs="Arial"/>
          <w:color w:val="000000"/>
          <w:lang w:val="es-ES"/>
        </w:rPr>
        <w:t xml:space="preserve"> el estado patológico resultante de una alimentación deficiente en uno o varios nutrientes esenciales o de una inadecuada asimilación de los alimentos. </w:t>
      </w:r>
    </w:p>
    <w:p w:rsidR="004777D8" w:rsidRPr="003A05DB" w:rsidRDefault="004777D8" w:rsidP="004777D8">
      <w:pPr>
        <w:autoSpaceDE w:val="0"/>
        <w:autoSpaceDN w:val="0"/>
        <w:adjustRightInd w:val="0"/>
        <w:spacing w:line="276" w:lineRule="auto"/>
        <w:jc w:val="both"/>
        <w:rPr>
          <w:rFonts w:ascii="Arial" w:hAnsi="Arial" w:cs="Arial"/>
          <w:color w:val="000000"/>
          <w:lang w:val="es-ES"/>
        </w:rPr>
      </w:pPr>
    </w:p>
    <w:p w:rsidR="004777D8" w:rsidRPr="004B0AE3" w:rsidRDefault="004777D8" w:rsidP="004777D8">
      <w:pPr>
        <w:autoSpaceDE w:val="0"/>
        <w:autoSpaceDN w:val="0"/>
        <w:adjustRightInd w:val="0"/>
        <w:spacing w:line="276" w:lineRule="auto"/>
        <w:jc w:val="both"/>
        <w:rPr>
          <w:rFonts w:ascii="Arial" w:hAnsi="Arial" w:cs="Arial"/>
          <w:color w:val="000000"/>
        </w:rPr>
      </w:pPr>
      <w:r w:rsidRPr="004B0AE3">
        <w:rPr>
          <w:rFonts w:ascii="Arial" w:hAnsi="Arial" w:cs="Arial"/>
          <w:color w:val="000000"/>
        </w:rPr>
        <w:t xml:space="preserve">La desnutrición aguda refleja el peso corporal en proporción al crecimiento alcanzado en longitud o talla indicando la situación actual del estado nutricional del individuo la cual es explicada mediante el indicador de peso para talla, lo que resulta de una pérdida de peso asociada con periodos recientes de hambruna o enfermedad que se desarrolla muy rápidamente y es limitada en el tiempo, independiente de la edad. Este indicador es utilizado en todos los grupos de edad para definir </w:t>
      </w:r>
      <w:r w:rsidR="00C73E49">
        <w:rPr>
          <w:rFonts w:ascii="Arial" w:hAnsi="Arial" w:cs="Arial"/>
          <w:color w:val="000000"/>
        </w:rPr>
        <w:t>“</w:t>
      </w:r>
      <w:r w:rsidR="00C73E49" w:rsidRPr="00C73E49">
        <w:rPr>
          <w:rFonts w:ascii="Arial" w:hAnsi="Arial" w:cs="Arial"/>
          <w:i/>
          <w:color w:val="000000"/>
        </w:rPr>
        <w:t>d</w:t>
      </w:r>
      <w:r w:rsidRPr="00C73E49">
        <w:rPr>
          <w:rFonts w:ascii="Arial" w:hAnsi="Arial" w:cs="Arial"/>
          <w:i/>
          <w:color w:val="000000"/>
        </w:rPr>
        <w:t>esnutrición agud</w:t>
      </w:r>
      <w:r w:rsidRPr="004B0AE3">
        <w:rPr>
          <w:rFonts w:ascii="Arial" w:hAnsi="Arial" w:cs="Arial"/>
          <w:color w:val="000000"/>
        </w:rPr>
        <w:t>a</w:t>
      </w:r>
      <w:r w:rsidR="00C73E49">
        <w:rPr>
          <w:rFonts w:ascii="Arial" w:hAnsi="Arial" w:cs="Arial"/>
          <w:color w:val="000000"/>
        </w:rPr>
        <w:t>”</w:t>
      </w:r>
      <w:r w:rsidRPr="004B0AE3">
        <w:rPr>
          <w:rFonts w:ascii="Arial" w:hAnsi="Arial" w:cs="Arial"/>
          <w:color w:val="000000"/>
        </w:rPr>
        <w:t>.</w:t>
      </w:r>
    </w:p>
    <w:p w:rsidR="004777D8" w:rsidRPr="004B0AE3" w:rsidRDefault="004777D8" w:rsidP="004777D8">
      <w:pPr>
        <w:autoSpaceDE w:val="0"/>
        <w:autoSpaceDN w:val="0"/>
        <w:adjustRightInd w:val="0"/>
        <w:spacing w:line="276" w:lineRule="auto"/>
        <w:jc w:val="both"/>
        <w:rPr>
          <w:rFonts w:ascii="Arial" w:hAnsi="Arial" w:cs="Arial"/>
          <w:color w:val="000000"/>
        </w:rPr>
      </w:pPr>
    </w:p>
    <w:p w:rsidR="004777D8" w:rsidRPr="00C73E49" w:rsidRDefault="004777D8" w:rsidP="004777D8">
      <w:pPr>
        <w:autoSpaceDE w:val="0"/>
        <w:autoSpaceDN w:val="0"/>
        <w:adjustRightInd w:val="0"/>
        <w:spacing w:line="276" w:lineRule="auto"/>
        <w:jc w:val="both"/>
        <w:rPr>
          <w:rFonts w:ascii="Arial" w:hAnsi="Arial" w:cs="Arial"/>
        </w:rPr>
      </w:pPr>
      <w:r w:rsidRPr="003A05DB">
        <w:rPr>
          <w:rFonts w:ascii="Arial" w:hAnsi="Arial" w:cs="Arial"/>
          <w:color w:val="000000"/>
          <w:lang w:val="es-ES"/>
        </w:rPr>
        <w:t xml:space="preserve">El indicador de peso para la edad conocido como el </w:t>
      </w:r>
      <w:r w:rsidR="00C73E49" w:rsidRPr="003A05DB">
        <w:rPr>
          <w:rFonts w:ascii="Arial" w:hAnsi="Arial" w:cs="Arial"/>
          <w:color w:val="000000"/>
          <w:lang w:val="es-ES"/>
        </w:rPr>
        <w:t>“</w:t>
      </w:r>
      <w:r w:rsidRPr="003A05DB">
        <w:rPr>
          <w:rFonts w:ascii="Arial" w:hAnsi="Arial" w:cs="Arial"/>
          <w:i/>
          <w:color w:val="000000"/>
          <w:lang w:val="es-ES"/>
        </w:rPr>
        <w:t>índice global del estado nutricional</w:t>
      </w:r>
      <w:r w:rsidR="00C73E49" w:rsidRPr="003A05DB">
        <w:rPr>
          <w:rFonts w:ascii="Arial" w:hAnsi="Arial" w:cs="Arial"/>
          <w:i/>
          <w:color w:val="000000"/>
          <w:lang w:val="es-ES"/>
        </w:rPr>
        <w:t>”</w:t>
      </w:r>
      <w:r w:rsidRPr="003A05DB">
        <w:rPr>
          <w:rFonts w:ascii="Arial" w:hAnsi="Arial" w:cs="Arial"/>
          <w:color w:val="000000"/>
          <w:lang w:val="es-ES"/>
        </w:rPr>
        <w:t>, se usa únicamente para evaluar si un niño menor de 5 años presenta bajo peso o bajo peso severo</w:t>
      </w:r>
      <w:r w:rsidR="00C73E49" w:rsidRPr="003A05DB">
        <w:rPr>
          <w:rFonts w:ascii="Arial" w:hAnsi="Arial" w:cs="Arial"/>
          <w:color w:val="000000"/>
          <w:lang w:val="es-ES"/>
        </w:rPr>
        <w:t>. E</w:t>
      </w:r>
      <w:r w:rsidRPr="003A05DB">
        <w:rPr>
          <w:rFonts w:ascii="Arial" w:hAnsi="Arial" w:cs="Arial"/>
          <w:color w:val="000000"/>
          <w:lang w:val="es-ES"/>
        </w:rPr>
        <w:t xml:space="preserve">l peso para la edad refleja el peso corporal en relación a la edad del niño en un día determinado. </w:t>
      </w:r>
      <w:r w:rsidRPr="004B0AE3">
        <w:rPr>
          <w:rFonts w:ascii="Arial" w:hAnsi="Arial" w:cs="Arial"/>
          <w:color w:val="000000"/>
        </w:rPr>
        <w:t xml:space="preserve">Este indicador no considera la </w:t>
      </w:r>
      <w:r w:rsidRPr="00C73E49">
        <w:rPr>
          <w:rFonts w:ascii="Arial" w:hAnsi="Arial" w:cs="Arial"/>
          <w:color w:val="000000"/>
        </w:rPr>
        <w:t xml:space="preserve">estatura </w:t>
      </w:r>
    </w:p>
    <w:p w:rsidR="004777D8" w:rsidRPr="004B0AE3" w:rsidRDefault="004777D8" w:rsidP="004777D8">
      <w:pPr>
        <w:autoSpaceDE w:val="0"/>
        <w:autoSpaceDN w:val="0"/>
        <w:adjustRightInd w:val="0"/>
        <w:spacing w:line="276" w:lineRule="auto"/>
        <w:jc w:val="both"/>
        <w:rPr>
          <w:rFonts w:ascii="Arial" w:hAnsi="Arial" w:cs="Arial"/>
          <w:color w:val="000000"/>
        </w:rPr>
      </w:pPr>
    </w:p>
    <w:p w:rsidR="004777D8" w:rsidRPr="003A05DB" w:rsidRDefault="004777D8" w:rsidP="004777D8">
      <w:pPr>
        <w:autoSpaceDE w:val="0"/>
        <w:autoSpaceDN w:val="0"/>
        <w:adjustRightInd w:val="0"/>
        <w:spacing w:line="276" w:lineRule="auto"/>
        <w:jc w:val="both"/>
        <w:rPr>
          <w:rFonts w:ascii="Arial" w:hAnsi="Arial" w:cs="Arial"/>
          <w:color w:val="000000"/>
          <w:lang w:val="es-ES"/>
        </w:rPr>
      </w:pPr>
      <w:r w:rsidRPr="003A05DB">
        <w:rPr>
          <w:rFonts w:ascii="Arial" w:hAnsi="Arial" w:cs="Arial"/>
          <w:color w:val="000000"/>
          <w:lang w:val="es-ES"/>
        </w:rPr>
        <w:t xml:space="preserve">En la Encuesta Nacional de Nutrición (ENN) </w:t>
      </w:r>
      <w:r w:rsidR="00C13C7D" w:rsidRPr="003A05DB">
        <w:rPr>
          <w:rFonts w:ascii="Arial" w:hAnsi="Arial" w:cs="Arial"/>
          <w:color w:val="000000"/>
          <w:lang w:val="es-ES"/>
        </w:rPr>
        <w:t xml:space="preserve">del </w:t>
      </w:r>
      <w:r w:rsidRPr="003A05DB">
        <w:rPr>
          <w:rFonts w:ascii="Arial" w:hAnsi="Arial" w:cs="Arial"/>
          <w:color w:val="000000"/>
          <w:lang w:val="es-ES"/>
        </w:rPr>
        <w:t>2008, la prevalencia de desnutrición aguda en menores de cinco años correspondió al 1% y la desnutrición global al 1.1% a nivel nacional.</w:t>
      </w:r>
    </w:p>
    <w:p w:rsidR="004777D8" w:rsidRPr="004B0AE3" w:rsidRDefault="004777D8" w:rsidP="00C13C7D">
      <w:pPr>
        <w:spacing w:after="240" w:line="276" w:lineRule="auto"/>
        <w:jc w:val="both"/>
        <w:rPr>
          <w:rFonts w:ascii="Arial" w:hAnsi="Arial" w:cs="Arial"/>
          <w:color w:val="000000"/>
        </w:rPr>
      </w:pPr>
      <w:r w:rsidRPr="003A05DB">
        <w:rPr>
          <w:rFonts w:ascii="Arial" w:hAnsi="Arial" w:cs="Arial"/>
          <w:color w:val="000000"/>
          <w:lang w:val="es-ES"/>
        </w:rPr>
        <w:t xml:space="preserve">Los antecedentes de la ENN en la población de 5 a 12 años de edad reflejan una prevalencia del 6.1% a nivel nacional siendo mayor en mujeres (7.1%) que en hombres (5.3%). La información más reciente en este grupo de edad proviene del Censo Escolar peso/talla 2016 del cual se obtiene como resultado que el 1.8% de los escolares a nivel nacional presentan desnutrición según el indicador de </w:t>
      </w:r>
      <w:r w:rsidR="00C13C7D" w:rsidRPr="003A05DB">
        <w:rPr>
          <w:rFonts w:ascii="Arial" w:hAnsi="Arial" w:cs="Arial"/>
          <w:color w:val="000000"/>
          <w:lang w:val="es-ES"/>
        </w:rPr>
        <w:t>í</w:t>
      </w:r>
      <w:r w:rsidRPr="003A05DB">
        <w:rPr>
          <w:rFonts w:ascii="Arial" w:hAnsi="Arial" w:cs="Arial"/>
          <w:color w:val="000000"/>
          <w:lang w:val="es-ES"/>
        </w:rPr>
        <w:t xml:space="preserve">ndice de masa corporal. </w:t>
      </w:r>
      <w:r w:rsidRPr="004B0AE3">
        <w:rPr>
          <w:rFonts w:ascii="Arial" w:hAnsi="Arial" w:cs="Arial"/>
          <w:color w:val="000000"/>
        </w:rPr>
        <w:t xml:space="preserve">Únicamente el 0.3% de los escolares presentaron desnutrición severa, pues </w:t>
      </w:r>
      <w:r w:rsidR="00C13C7D">
        <w:rPr>
          <w:rFonts w:ascii="Arial" w:hAnsi="Arial" w:cs="Arial"/>
          <w:color w:val="000000"/>
        </w:rPr>
        <w:t>e</w:t>
      </w:r>
      <w:r w:rsidRPr="004B0AE3">
        <w:rPr>
          <w:rFonts w:ascii="Arial" w:hAnsi="Arial" w:cs="Arial"/>
          <w:color w:val="000000"/>
        </w:rPr>
        <w:t xml:space="preserve">l 1.5% se ubicó en la categoría de desnutrición. </w:t>
      </w:r>
    </w:p>
    <w:p w:rsidR="004777D8" w:rsidRDefault="004777D8" w:rsidP="004777D8">
      <w:pPr>
        <w:spacing w:line="276" w:lineRule="auto"/>
        <w:jc w:val="both"/>
        <w:rPr>
          <w:rFonts w:ascii="Arial" w:hAnsi="Arial" w:cs="Arial"/>
          <w:color w:val="000000"/>
        </w:rPr>
      </w:pPr>
      <w:r>
        <w:rPr>
          <w:rFonts w:ascii="Arial" w:hAnsi="Arial" w:cs="Arial"/>
          <w:color w:val="000000"/>
        </w:rPr>
        <w:t>C</w:t>
      </w:r>
      <w:r w:rsidRPr="00004791">
        <w:rPr>
          <w:rFonts w:ascii="Arial" w:hAnsi="Arial" w:cs="Arial"/>
          <w:color w:val="000000"/>
        </w:rPr>
        <w:t>on respecto a las prevalencias de desnutrición (IMC ≤-2) no se encontraron diferencias importantes según sexo. Aunque las prevalencias son menores a 2.6% en todas las edades, existe una tendencia</w:t>
      </w:r>
      <w:r w:rsidRPr="00111269">
        <w:rPr>
          <w:rFonts w:ascii="Arial" w:hAnsi="Arial" w:cs="Arial"/>
          <w:color w:val="000000"/>
        </w:rPr>
        <w:t xml:space="preserve"> creciente en la prevalencia de desnutrición con la edad, pues entre los 6 y 12 años se incrementa de 1.8% a 2.5% en hombres y de 1.5% a 2.6% en mujeres.</w:t>
      </w:r>
    </w:p>
    <w:p w:rsidR="00845B3F" w:rsidRDefault="00845B3F">
      <w:pPr>
        <w:spacing w:after="160" w:line="259" w:lineRule="auto"/>
        <w:rPr>
          <w:rFonts w:ascii="Arial" w:hAnsi="Arial" w:cs="Arial"/>
          <w:color w:val="000000"/>
        </w:rPr>
      </w:pPr>
      <w:r>
        <w:rPr>
          <w:rFonts w:ascii="Arial" w:hAnsi="Arial" w:cs="Arial"/>
          <w:color w:val="000000"/>
        </w:rPr>
        <w:br w:type="page"/>
      </w:r>
    </w:p>
    <w:p w:rsidR="004777D8" w:rsidRDefault="00C73E49" w:rsidP="004777D8">
      <w:pPr>
        <w:jc w:val="center"/>
        <w:rPr>
          <w:rFonts w:ascii="Arial" w:hAnsi="Arial" w:cs="Arial"/>
          <w:b/>
          <w:color w:val="000000"/>
        </w:rPr>
      </w:pPr>
      <w:r>
        <w:rPr>
          <w:rFonts w:ascii="Arial" w:hAnsi="Arial" w:cs="Arial"/>
          <w:b/>
          <w:color w:val="000000"/>
        </w:rPr>
        <w:lastRenderedPageBreak/>
        <w:t>Cuadro 1</w:t>
      </w:r>
      <w:r w:rsidR="00DA36A6">
        <w:rPr>
          <w:rFonts w:ascii="Arial" w:hAnsi="Arial" w:cs="Arial"/>
          <w:b/>
          <w:color w:val="000000"/>
        </w:rPr>
        <w:t>4</w:t>
      </w:r>
    </w:p>
    <w:p w:rsidR="004777D8" w:rsidRDefault="00845B3F" w:rsidP="004777D8">
      <w:pPr>
        <w:jc w:val="center"/>
        <w:rPr>
          <w:rFonts w:ascii="Arial" w:hAnsi="Arial" w:cs="Arial"/>
          <w:b/>
          <w:color w:val="000000"/>
        </w:rPr>
      </w:pPr>
      <w:r>
        <w:rPr>
          <w:rFonts w:ascii="Arial" w:hAnsi="Arial" w:cs="Arial"/>
          <w:b/>
          <w:color w:val="000000"/>
        </w:rPr>
        <w:t xml:space="preserve">Costa Rica: </w:t>
      </w:r>
      <w:r w:rsidR="004777D8" w:rsidRPr="00F53059">
        <w:rPr>
          <w:rFonts w:ascii="Arial" w:hAnsi="Arial" w:cs="Arial"/>
          <w:b/>
          <w:color w:val="000000"/>
        </w:rPr>
        <w:t>Prevalencia de desnutrición por sexo y edad</w:t>
      </w:r>
      <w:r w:rsidR="004777D8">
        <w:rPr>
          <w:rFonts w:ascii="Arial" w:hAnsi="Arial" w:cs="Arial"/>
          <w:b/>
          <w:color w:val="000000"/>
        </w:rPr>
        <w:t>, 2016</w:t>
      </w:r>
    </w:p>
    <w:p w:rsidR="00C73E49" w:rsidRPr="00F53059" w:rsidRDefault="00C73E49" w:rsidP="004777D8">
      <w:pPr>
        <w:jc w:val="center"/>
        <w:rPr>
          <w:rFonts w:cs="Arial"/>
          <w:b/>
        </w:rPr>
      </w:pPr>
    </w:p>
    <w:tbl>
      <w:tblPr>
        <w:tblW w:w="5967" w:type="dxa"/>
        <w:jc w:val="center"/>
        <w:tblBorders>
          <w:top w:val="single" w:sz="4" w:space="0" w:color="auto"/>
          <w:bottom w:val="single" w:sz="4" w:space="0" w:color="auto"/>
        </w:tblBorders>
        <w:tblLayout w:type="fixed"/>
        <w:tblLook w:val="04A0" w:firstRow="1" w:lastRow="0" w:firstColumn="1" w:lastColumn="0" w:noHBand="0" w:noVBand="1"/>
      </w:tblPr>
      <w:tblGrid>
        <w:gridCol w:w="1649"/>
        <w:gridCol w:w="2215"/>
        <w:gridCol w:w="2103"/>
      </w:tblGrid>
      <w:tr w:rsidR="004777D8" w:rsidRPr="00F84BE5" w:rsidTr="00DA36A6">
        <w:trPr>
          <w:trHeight w:val="642"/>
          <w:jc w:val="center"/>
        </w:trPr>
        <w:tc>
          <w:tcPr>
            <w:tcW w:w="1649" w:type="dxa"/>
            <w:tcBorders>
              <w:top w:val="single" w:sz="4" w:space="0" w:color="auto"/>
              <w:bottom w:val="single" w:sz="4" w:space="0" w:color="auto"/>
            </w:tcBorders>
            <w:shd w:val="clear" w:color="auto" w:fill="D5DCE4" w:themeFill="text2" w:themeFillTint="33"/>
            <w:noWrap/>
            <w:vAlign w:val="center"/>
          </w:tcPr>
          <w:p w:rsidR="004777D8" w:rsidRPr="00004791" w:rsidRDefault="004777D8" w:rsidP="00475BBF">
            <w:pPr>
              <w:spacing w:line="276" w:lineRule="auto"/>
              <w:rPr>
                <w:rFonts w:ascii="Arial" w:hAnsi="Arial" w:cs="Arial"/>
                <w:b/>
                <w:color w:val="000000"/>
              </w:rPr>
            </w:pPr>
            <w:r w:rsidRPr="00004791">
              <w:rPr>
                <w:rFonts w:ascii="Arial" w:hAnsi="Arial" w:cs="Arial"/>
                <w:b/>
                <w:color w:val="000000"/>
              </w:rPr>
              <w:t>Variable</w:t>
            </w:r>
          </w:p>
        </w:tc>
        <w:tc>
          <w:tcPr>
            <w:tcW w:w="2215" w:type="dxa"/>
            <w:tcBorders>
              <w:top w:val="single" w:sz="4" w:space="0" w:color="auto"/>
              <w:bottom w:val="single" w:sz="4" w:space="0" w:color="auto"/>
            </w:tcBorders>
            <w:shd w:val="clear" w:color="auto" w:fill="D5DCE4" w:themeFill="text2" w:themeFillTint="33"/>
            <w:vAlign w:val="center"/>
          </w:tcPr>
          <w:p w:rsidR="004777D8" w:rsidRPr="00004791" w:rsidRDefault="004777D8" w:rsidP="00475BBF">
            <w:pPr>
              <w:spacing w:line="276" w:lineRule="auto"/>
              <w:jc w:val="center"/>
              <w:rPr>
                <w:rFonts w:ascii="Arial" w:hAnsi="Arial" w:cs="Arial"/>
                <w:b/>
                <w:color w:val="000000"/>
              </w:rPr>
            </w:pPr>
            <w:r w:rsidRPr="00004791">
              <w:rPr>
                <w:rFonts w:ascii="Arial" w:hAnsi="Arial" w:cs="Arial"/>
                <w:b/>
                <w:color w:val="000000"/>
              </w:rPr>
              <w:t>Desnutrición severa</w:t>
            </w:r>
          </w:p>
        </w:tc>
        <w:tc>
          <w:tcPr>
            <w:tcW w:w="2103" w:type="dxa"/>
            <w:tcBorders>
              <w:top w:val="single" w:sz="4" w:space="0" w:color="auto"/>
              <w:bottom w:val="single" w:sz="4" w:space="0" w:color="auto"/>
            </w:tcBorders>
            <w:shd w:val="clear" w:color="auto" w:fill="D5DCE4" w:themeFill="text2" w:themeFillTint="33"/>
            <w:vAlign w:val="center"/>
          </w:tcPr>
          <w:p w:rsidR="004777D8" w:rsidRPr="00004791" w:rsidRDefault="004777D8" w:rsidP="00475BBF">
            <w:pPr>
              <w:spacing w:line="276" w:lineRule="auto"/>
              <w:jc w:val="center"/>
              <w:rPr>
                <w:rFonts w:ascii="Arial" w:hAnsi="Arial" w:cs="Arial"/>
                <w:b/>
                <w:color w:val="000000"/>
              </w:rPr>
            </w:pPr>
            <w:r w:rsidRPr="00004791">
              <w:rPr>
                <w:rFonts w:ascii="Arial" w:hAnsi="Arial" w:cs="Arial"/>
                <w:b/>
                <w:color w:val="000000"/>
              </w:rPr>
              <w:t>Desnutrición</w:t>
            </w:r>
          </w:p>
        </w:tc>
      </w:tr>
      <w:tr w:rsidR="004777D8" w:rsidRPr="00F84BE5" w:rsidTr="00A56A5B">
        <w:trPr>
          <w:trHeight w:val="283"/>
          <w:jc w:val="center"/>
        </w:trPr>
        <w:tc>
          <w:tcPr>
            <w:tcW w:w="1649" w:type="dxa"/>
            <w:tcBorders>
              <w:top w:val="single" w:sz="4" w:space="0" w:color="auto"/>
              <w:bottom w:val="single" w:sz="4" w:space="0" w:color="auto"/>
            </w:tcBorders>
            <w:shd w:val="clear" w:color="000000" w:fill="FFFFFF"/>
            <w:noWrap/>
            <w:vAlign w:val="center"/>
            <w:hideMark/>
          </w:tcPr>
          <w:p w:rsidR="004777D8" w:rsidRPr="00031A87" w:rsidRDefault="004777D8" w:rsidP="00475BBF">
            <w:pPr>
              <w:spacing w:line="276" w:lineRule="auto"/>
              <w:rPr>
                <w:rFonts w:ascii="Arial" w:hAnsi="Arial" w:cs="Arial"/>
                <w:i/>
                <w:color w:val="000000"/>
                <w:sz w:val="20"/>
              </w:rPr>
            </w:pPr>
            <w:r w:rsidRPr="00031A87">
              <w:rPr>
                <w:rFonts w:ascii="Arial" w:hAnsi="Arial" w:cs="Arial"/>
                <w:i/>
                <w:color w:val="000000"/>
                <w:sz w:val="20"/>
              </w:rPr>
              <w:t>Sexo</w:t>
            </w:r>
          </w:p>
        </w:tc>
        <w:tc>
          <w:tcPr>
            <w:tcW w:w="2215" w:type="dxa"/>
            <w:tcBorders>
              <w:top w:val="single" w:sz="4" w:space="0" w:color="auto"/>
              <w:bottom w:val="single" w:sz="4" w:space="0" w:color="auto"/>
            </w:tcBorders>
            <w:shd w:val="clear" w:color="000000" w:fill="FFFFFF"/>
            <w:vAlign w:val="center"/>
            <w:hideMark/>
          </w:tcPr>
          <w:p w:rsidR="004777D8" w:rsidRPr="00031A87" w:rsidRDefault="004777D8" w:rsidP="00475BBF">
            <w:pPr>
              <w:spacing w:line="276" w:lineRule="auto"/>
              <w:jc w:val="center"/>
              <w:rPr>
                <w:rFonts w:ascii="Arial" w:hAnsi="Arial" w:cs="Arial"/>
                <w:color w:val="000000"/>
                <w:sz w:val="20"/>
              </w:rPr>
            </w:pPr>
          </w:p>
        </w:tc>
        <w:tc>
          <w:tcPr>
            <w:tcW w:w="2103" w:type="dxa"/>
            <w:tcBorders>
              <w:top w:val="single" w:sz="4" w:space="0" w:color="auto"/>
              <w:bottom w:val="single" w:sz="4" w:space="0" w:color="auto"/>
            </w:tcBorders>
            <w:shd w:val="clear" w:color="000000" w:fill="FFFFFF"/>
            <w:vAlign w:val="center"/>
            <w:hideMark/>
          </w:tcPr>
          <w:p w:rsidR="004777D8" w:rsidRPr="00031A87" w:rsidRDefault="004777D8" w:rsidP="00475BBF">
            <w:pPr>
              <w:spacing w:line="276" w:lineRule="auto"/>
              <w:jc w:val="center"/>
              <w:rPr>
                <w:rFonts w:ascii="Arial" w:hAnsi="Arial" w:cs="Arial"/>
                <w:color w:val="000000"/>
                <w:sz w:val="20"/>
              </w:rPr>
            </w:pPr>
          </w:p>
        </w:tc>
      </w:tr>
      <w:tr w:rsidR="004777D8" w:rsidRPr="00F84BE5" w:rsidTr="00A56A5B">
        <w:trPr>
          <w:trHeight w:val="280"/>
          <w:jc w:val="center"/>
        </w:trPr>
        <w:tc>
          <w:tcPr>
            <w:tcW w:w="1649" w:type="dxa"/>
            <w:tcBorders>
              <w:top w:val="single" w:sz="4" w:space="0" w:color="auto"/>
              <w:bottom w:val="nil"/>
            </w:tcBorders>
            <w:shd w:val="clear" w:color="000000" w:fill="FFFFFF"/>
            <w:vAlign w:val="center"/>
            <w:hideMark/>
          </w:tcPr>
          <w:p w:rsidR="004777D8" w:rsidRPr="00031A87" w:rsidRDefault="004777D8" w:rsidP="00475BBF">
            <w:pPr>
              <w:spacing w:line="276" w:lineRule="auto"/>
              <w:ind w:left="113"/>
              <w:rPr>
                <w:rFonts w:ascii="Arial" w:hAnsi="Arial" w:cs="Arial"/>
                <w:color w:val="000000"/>
                <w:sz w:val="20"/>
              </w:rPr>
            </w:pPr>
            <w:r w:rsidRPr="00031A87">
              <w:rPr>
                <w:rFonts w:ascii="Arial" w:hAnsi="Arial" w:cs="Arial"/>
                <w:color w:val="000000"/>
                <w:sz w:val="20"/>
              </w:rPr>
              <w:t>Hombre</w:t>
            </w:r>
          </w:p>
        </w:tc>
        <w:tc>
          <w:tcPr>
            <w:tcW w:w="2215" w:type="dxa"/>
            <w:tcBorders>
              <w:top w:val="single" w:sz="4" w:space="0" w:color="auto"/>
              <w:bottom w:val="nil"/>
            </w:tcBorders>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0.3%</w:t>
            </w:r>
          </w:p>
        </w:tc>
        <w:tc>
          <w:tcPr>
            <w:tcW w:w="2103" w:type="dxa"/>
            <w:tcBorders>
              <w:top w:val="single" w:sz="4" w:space="0" w:color="auto"/>
              <w:bottom w:val="nil"/>
            </w:tcBorders>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1.5%</w:t>
            </w:r>
          </w:p>
        </w:tc>
      </w:tr>
      <w:tr w:rsidR="004777D8" w:rsidRPr="00F84BE5" w:rsidTr="00A56A5B">
        <w:trPr>
          <w:trHeight w:val="280"/>
          <w:jc w:val="center"/>
        </w:trPr>
        <w:tc>
          <w:tcPr>
            <w:tcW w:w="1649" w:type="dxa"/>
            <w:tcBorders>
              <w:top w:val="nil"/>
              <w:bottom w:val="single" w:sz="4" w:space="0" w:color="auto"/>
            </w:tcBorders>
            <w:shd w:val="clear" w:color="000000" w:fill="FFFFFF"/>
            <w:vAlign w:val="center"/>
            <w:hideMark/>
          </w:tcPr>
          <w:p w:rsidR="004777D8" w:rsidRPr="00031A87" w:rsidRDefault="004777D8" w:rsidP="00475BBF">
            <w:pPr>
              <w:spacing w:line="276" w:lineRule="auto"/>
              <w:ind w:left="113"/>
              <w:rPr>
                <w:rFonts w:ascii="Arial" w:hAnsi="Arial" w:cs="Arial"/>
                <w:color w:val="000000"/>
                <w:sz w:val="20"/>
              </w:rPr>
            </w:pPr>
            <w:r w:rsidRPr="00031A87">
              <w:rPr>
                <w:rFonts w:ascii="Arial" w:hAnsi="Arial" w:cs="Arial"/>
                <w:color w:val="000000"/>
                <w:sz w:val="20"/>
              </w:rPr>
              <w:t>Mujer</w:t>
            </w:r>
          </w:p>
        </w:tc>
        <w:tc>
          <w:tcPr>
            <w:tcW w:w="2215" w:type="dxa"/>
            <w:tcBorders>
              <w:top w:val="nil"/>
              <w:bottom w:val="single" w:sz="4" w:space="0" w:color="auto"/>
            </w:tcBorders>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0.3%</w:t>
            </w:r>
          </w:p>
        </w:tc>
        <w:tc>
          <w:tcPr>
            <w:tcW w:w="2103" w:type="dxa"/>
            <w:tcBorders>
              <w:top w:val="nil"/>
              <w:bottom w:val="single" w:sz="4" w:space="0" w:color="auto"/>
            </w:tcBorders>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1.6%</w:t>
            </w:r>
          </w:p>
        </w:tc>
      </w:tr>
      <w:tr w:rsidR="004777D8" w:rsidRPr="00F84BE5" w:rsidTr="00A56A5B">
        <w:trPr>
          <w:trHeight w:val="268"/>
          <w:jc w:val="center"/>
        </w:trPr>
        <w:tc>
          <w:tcPr>
            <w:tcW w:w="1649" w:type="dxa"/>
            <w:tcBorders>
              <w:top w:val="single" w:sz="4" w:space="0" w:color="auto"/>
              <w:bottom w:val="single" w:sz="4" w:space="0" w:color="auto"/>
            </w:tcBorders>
            <w:shd w:val="clear" w:color="000000" w:fill="FFFFFF"/>
            <w:noWrap/>
            <w:vAlign w:val="center"/>
            <w:hideMark/>
          </w:tcPr>
          <w:p w:rsidR="004777D8" w:rsidRPr="00031A87" w:rsidRDefault="004777D8" w:rsidP="00475BBF">
            <w:pPr>
              <w:spacing w:line="276" w:lineRule="auto"/>
              <w:rPr>
                <w:rFonts w:ascii="Arial" w:hAnsi="Arial" w:cs="Arial"/>
                <w:i/>
                <w:color w:val="000000"/>
                <w:sz w:val="20"/>
              </w:rPr>
            </w:pPr>
            <w:r w:rsidRPr="00031A87">
              <w:rPr>
                <w:rFonts w:ascii="Arial" w:hAnsi="Arial" w:cs="Arial"/>
                <w:i/>
                <w:color w:val="000000"/>
                <w:sz w:val="20"/>
              </w:rPr>
              <w:t>Edad</w:t>
            </w:r>
          </w:p>
        </w:tc>
        <w:tc>
          <w:tcPr>
            <w:tcW w:w="2215" w:type="dxa"/>
            <w:tcBorders>
              <w:top w:val="single" w:sz="4" w:space="0" w:color="auto"/>
              <w:bottom w:val="single" w:sz="4" w:space="0" w:color="auto"/>
            </w:tcBorders>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p>
        </w:tc>
        <w:tc>
          <w:tcPr>
            <w:tcW w:w="2103" w:type="dxa"/>
            <w:tcBorders>
              <w:top w:val="single" w:sz="4" w:space="0" w:color="auto"/>
              <w:bottom w:val="single" w:sz="4" w:space="0" w:color="auto"/>
            </w:tcBorders>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p>
        </w:tc>
      </w:tr>
      <w:tr w:rsidR="004777D8" w:rsidRPr="00F84BE5" w:rsidTr="00A56A5B">
        <w:trPr>
          <w:trHeight w:val="280"/>
          <w:jc w:val="center"/>
        </w:trPr>
        <w:tc>
          <w:tcPr>
            <w:tcW w:w="1649" w:type="dxa"/>
            <w:tcBorders>
              <w:top w:val="single" w:sz="4" w:space="0" w:color="auto"/>
            </w:tcBorders>
            <w:shd w:val="clear" w:color="000000" w:fill="FFFFFF"/>
            <w:noWrap/>
            <w:vAlign w:val="center"/>
            <w:hideMark/>
          </w:tcPr>
          <w:p w:rsidR="004777D8" w:rsidRPr="00031A87" w:rsidRDefault="004777D8" w:rsidP="00475BBF">
            <w:pPr>
              <w:spacing w:line="276" w:lineRule="auto"/>
              <w:ind w:left="113"/>
              <w:rPr>
                <w:rFonts w:ascii="Arial" w:hAnsi="Arial" w:cs="Arial"/>
                <w:color w:val="000000"/>
                <w:sz w:val="20"/>
              </w:rPr>
            </w:pPr>
            <w:r w:rsidRPr="00031A87">
              <w:rPr>
                <w:rFonts w:ascii="Arial" w:hAnsi="Arial" w:cs="Arial"/>
                <w:color w:val="000000"/>
                <w:sz w:val="20"/>
              </w:rPr>
              <w:t>6 años</w:t>
            </w:r>
          </w:p>
        </w:tc>
        <w:tc>
          <w:tcPr>
            <w:tcW w:w="2215" w:type="dxa"/>
            <w:tcBorders>
              <w:top w:val="single" w:sz="4" w:space="0" w:color="auto"/>
            </w:tcBorders>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0.3%</w:t>
            </w:r>
          </w:p>
        </w:tc>
        <w:tc>
          <w:tcPr>
            <w:tcW w:w="2103" w:type="dxa"/>
            <w:tcBorders>
              <w:top w:val="single" w:sz="4" w:space="0" w:color="auto"/>
            </w:tcBorders>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1.5%</w:t>
            </w:r>
          </w:p>
        </w:tc>
      </w:tr>
      <w:tr w:rsidR="004777D8" w:rsidRPr="00F84BE5" w:rsidTr="00A56A5B">
        <w:trPr>
          <w:trHeight w:val="280"/>
          <w:jc w:val="center"/>
        </w:trPr>
        <w:tc>
          <w:tcPr>
            <w:tcW w:w="1649" w:type="dxa"/>
            <w:shd w:val="clear" w:color="000000" w:fill="FFFFFF"/>
            <w:noWrap/>
            <w:vAlign w:val="center"/>
            <w:hideMark/>
          </w:tcPr>
          <w:p w:rsidR="004777D8" w:rsidRPr="00031A87" w:rsidRDefault="004777D8" w:rsidP="00475BBF">
            <w:pPr>
              <w:spacing w:line="276" w:lineRule="auto"/>
              <w:ind w:left="113"/>
              <w:rPr>
                <w:rFonts w:ascii="Arial" w:hAnsi="Arial" w:cs="Arial"/>
                <w:color w:val="000000"/>
                <w:sz w:val="20"/>
              </w:rPr>
            </w:pPr>
            <w:r w:rsidRPr="00031A87">
              <w:rPr>
                <w:rFonts w:ascii="Arial" w:hAnsi="Arial" w:cs="Arial"/>
                <w:color w:val="000000"/>
                <w:sz w:val="20"/>
              </w:rPr>
              <w:t>7 años</w:t>
            </w:r>
          </w:p>
        </w:tc>
        <w:tc>
          <w:tcPr>
            <w:tcW w:w="2215"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0.2%</w:t>
            </w:r>
          </w:p>
        </w:tc>
        <w:tc>
          <w:tcPr>
            <w:tcW w:w="2103"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1.3%</w:t>
            </w:r>
          </w:p>
        </w:tc>
      </w:tr>
      <w:tr w:rsidR="004777D8" w:rsidRPr="00F84BE5" w:rsidTr="00A56A5B">
        <w:trPr>
          <w:trHeight w:val="280"/>
          <w:jc w:val="center"/>
        </w:trPr>
        <w:tc>
          <w:tcPr>
            <w:tcW w:w="1649" w:type="dxa"/>
            <w:shd w:val="clear" w:color="000000" w:fill="FFFFFF"/>
            <w:noWrap/>
            <w:vAlign w:val="center"/>
            <w:hideMark/>
          </w:tcPr>
          <w:p w:rsidR="004777D8" w:rsidRPr="00031A87" w:rsidRDefault="004777D8" w:rsidP="00475BBF">
            <w:pPr>
              <w:spacing w:line="276" w:lineRule="auto"/>
              <w:ind w:left="113"/>
              <w:rPr>
                <w:rFonts w:ascii="Arial" w:hAnsi="Arial" w:cs="Arial"/>
                <w:color w:val="000000"/>
                <w:sz w:val="20"/>
              </w:rPr>
            </w:pPr>
            <w:r w:rsidRPr="00031A87">
              <w:rPr>
                <w:rFonts w:ascii="Arial" w:hAnsi="Arial" w:cs="Arial"/>
                <w:color w:val="000000"/>
                <w:sz w:val="20"/>
              </w:rPr>
              <w:t>8 años</w:t>
            </w:r>
          </w:p>
        </w:tc>
        <w:tc>
          <w:tcPr>
            <w:tcW w:w="2215"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0.3%</w:t>
            </w:r>
          </w:p>
        </w:tc>
        <w:tc>
          <w:tcPr>
            <w:tcW w:w="2103"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1.3%</w:t>
            </w:r>
          </w:p>
        </w:tc>
      </w:tr>
      <w:tr w:rsidR="004777D8" w:rsidRPr="00F84BE5" w:rsidTr="00A56A5B">
        <w:trPr>
          <w:trHeight w:val="280"/>
          <w:jc w:val="center"/>
        </w:trPr>
        <w:tc>
          <w:tcPr>
            <w:tcW w:w="1649" w:type="dxa"/>
            <w:shd w:val="clear" w:color="000000" w:fill="FFFFFF"/>
            <w:noWrap/>
            <w:vAlign w:val="center"/>
            <w:hideMark/>
          </w:tcPr>
          <w:p w:rsidR="004777D8" w:rsidRPr="00031A87" w:rsidRDefault="004777D8" w:rsidP="00475BBF">
            <w:pPr>
              <w:spacing w:line="276" w:lineRule="auto"/>
              <w:ind w:left="113"/>
              <w:rPr>
                <w:rFonts w:ascii="Arial" w:hAnsi="Arial" w:cs="Arial"/>
                <w:color w:val="000000"/>
                <w:sz w:val="20"/>
              </w:rPr>
            </w:pPr>
            <w:r w:rsidRPr="00031A87">
              <w:rPr>
                <w:rFonts w:ascii="Arial" w:hAnsi="Arial" w:cs="Arial"/>
                <w:color w:val="000000"/>
                <w:sz w:val="20"/>
              </w:rPr>
              <w:t>9 años</w:t>
            </w:r>
          </w:p>
        </w:tc>
        <w:tc>
          <w:tcPr>
            <w:tcW w:w="2215"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0.3%</w:t>
            </w:r>
          </w:p>
        </w:tc>
        <w:tc>
          <w:tcPr>
            <w:tcW w:w="2103"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1.2%</w:t>
            </w:r>
          </w:p>
        </w:tc>
      </w:tr>
      <w:tr w:rsidR="004777D8" w:rsidRPr="00F84BE5" w:rsidTr="00A56A5B">
        <w:trPr>
          <w:trHeight w:val="280"/>
          <w:jc w:val="center"/>
        </w:trPr>
        <w:tc>
          <w:tcPr>
            <w:tcW w:w="1649" w:type="dxa"/>
            <w:shd w:val="clear" w:color="000000" w:fill="FFFFFF"/>
            <w:noWrap/>
            <w:vAlign w:val="center"/>
            <w:hideMark/>
          </w:tcPr>
          <w:p w:rsidR="004777D8" w:rsidRPr="00031A87" w:rsidRDefault="004777D8" w:rsidP="00475BBF">
            <w:pPr>
              <w:spacing w:line="276" w:lineRule="auto"/>
              <w:ind w:left="113"/>
              <w:rPr>
                <w:rFonts w:ascii="Arial" w:hAnsi="Arial" w:cs="Arial"/>
                <w:color w:val="000000"/>
                <w:sz w:val="20"/>
              </w:rPr>
            </w:pPr>
            <w:r w:rsidRPr="00031A87">
              <w:rPr>
                <w:rFonts w:ascii="Arial" w:hAnsi="Arial" w:cs="Arial"/>
                <w:color w:val="000000"/>
                <w:sz w:val="20"/>
              </w:rPr>
              <w:t>10 años</w:t>
            </w:r>
          </w:p>
        </w:tc>
        <w:tc>
          <w:tcPr>
            <w:tcW w:w="2215"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0.3%</w:t>
            </w:r>
          </w:p>
        </w:tc>
        <w:tc>
          <w:tcPr>
            <w:tcW w:w="2103"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1.5%</w:t>
            </w:r>
          </w:p>
        </w:tc>
      </w:tr>
      <w:tr w:rsidR="004777D8" w:rsidRPr="00F84BE5" w:rsidTr="00A56A5B">
        <w:trPr>
          <w:trHeight w:val="280"/>
          <w:jc w:val="center"/>
        </w:trPr>
        <w:tc>
          <w:tcPr>
            <w:tcW w:w="1649" w:type="dxa"/>
            <w:shd w:val="clear" w:color="000000" w:fill="FFFFFF"/>
            <w:noWrap/>
            <w:vAlign w:val="center"/>
            <w:hideMark/>
          </w:tcPr>
          <w:p w:rsidR="004777D8" w:rsidRPr="00031A87" w:rsidRDefault="004777D8" w:rsidP="00475BBF">
            <w:pPr>
              <w:spacing w:line="276" w:lineRule="auto"/>
              <w:ind w:left="113"/>
              <w:rPr>
                <w:rFonts w:ascii="Arial" w:hAnsi="Arial" w:cs="Arial"/>
                <w:color w:val="000000"/>
                <w:sz w:val="20"/>
              </w:rPr>
            </w:pPr>
            <w:r w:rsidRPr="00031A87">
              <w:rPr>
                <w:rFonts w:ascii="Arial" w:hAnsi="Arial" w:cs="Arial"/>
                <w:color w:val="000000"/>
                <w:sz w:val="20"/>
              </w:rPr>
              <w:t>11 años</w:t>
            </w:r>
          </w:p>
        </w:tc>
        <w:tc>
          <w:tcPr>
            <w:tcW w:w="2215"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0.4%</w:t>
            </w:r>
          </w:p>
        </w:tc>
        <w:tc>
          <w:tcPr>
            <w:tcW w:w="2103"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1.8%</w:t>
            </w:r>
          </w:p>
        </w:tc>
      </w:tr>
      <w:tr w:rsidR="004777D8" w:rsidRPr="00F84BE5" w:rsidTr="00A56A5B">
        <w:trPr>
          <w:trHeight w:val="280"/>
          <w:jc w:val="center"/>
        </w:trPr>
        <w:tc>
          <w:tcPr>
            <w:tcW w:w="1649" w:type="dxa"/>
            <w:shd w:val="clear" w:color="000000" w:fill="FFFFFF"/>
            <w:noWrap/>
            <w:vAlign w:val="center"/>
            <w:hideMark/>
          </w:tcPr>
          <w:p w:rsidR="004777D8" w:rsidRPr="00031A87" w:rsidRDefault="004777D8" w:rsidP="00475BBF">
            <w:pPr>
              <w:spacing w:line="276" w:lineRule="auto"/>
              <w:ind w:left="113"/>
              <w:rPr>
                <w:rFonts w:ascii="Arial" w:hAnsi="Arial" w:cs="Arial"/>
                <w:color w:val="000000"/>
                <w:sz w:val="20"/>
              </w:rPr>
            </w:pPr>
            <w:r w:rsidRPr="00031A87">
              <w:rPr>
                <w:rFonts w:ascii="Arial" w:hAnsi="Arial" w:cs="Arial"/>
                <w:color w:val="000000"/>
                <w:sz w:val="20"/>
              </w:rPr>
              <w:t>12 años</w:t>
            </w:r>
          </w:p>
        </w:tc>
        <w:tc>
          <w:tcPr>
            <w:tcW w:w="2215"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0.5%</w:t>
            </w:r>
          </w:p>
        </w:tc>
        <w:tc>
          <w:tcPr>
            <w:tcW w:w="2103" w:type="dxa"/>
            <w:shd w:val="clear" w:color="000000" w:fill="FFFFFF"/>
            <w:noWrap/>
            <w:vAlign w:val="center"/>
            <w:hideMark/>
          </w:tcPr>
          <w:p w:rsidR="004777D8" w:rsidRPr="00031A87" w:rsidRDefault="004777D8" w:rsidP="00475BBF">
            <w:pPr>
              <w:spacing w:line="276" w:lineRule="auto"/>
              <w:jc w:val="center"/>
              <w:rPr>
                <w:rFonts w:ascii="Arial" w:hAnsi="Arial" w:cs="Arial"/>
                <w:color w:val="000000"/>
                <w:sz w:val="20"/>
              </w:rPr>
            </w:pPr>
            <w:r w:rsidRPr="00031A87">
              <w:rPr>
                <w:rFonts w:ascii="Arial" w:hAnsi="Arial" w:cs="Arial"/>
                <w:color w:val="000000"/>
                <w:sz w:val="20"/>
              </w:rPr>
              <w:t>2.1%</w:t>
            </w:r>
          </w:p>
        </w:tc>
      </w:tr>
    </w:tbl>
    <w:p w:rsidR="004777D8" w:rsidRPr="00031A87" w:rsidRDefault="004777D8" w:rsidP="004777D8">
      <w:pPr>
        <w:autoSpaceDE w:val="0"/>
        <w:autoSpaceDN w:val="0"/>
        <w:adjustRightInd w:val="0"/>
        <w:rPr>
          <w:rFonts w:ascii="Arial" w:hAnsi="Arial" w:cs="Arial"/>
          <w:color w:val="000000"/>
          <w:sz w:val="20"/>
        </w:rPr>
      </w:pPr>
    </w:p>
    <w:p w:rsidR="00A56A5B" w:rsidRDefault="004777D8" w:rsidP="00A56A5B">
      <w:pPr>
        <w:jc w:val="center"/>
        <w:rPr>
          <w:rFonts w:ascii="Arial" w:hAnsi="Arial" w:cs="Arial"/>
          <w:color w:val="000000"/>
          <w:sz w:val="18"/>
        </w:rPr>
      </w:pPr>
      <w:r w:rsidRPr="00C13C7D">
        <w:rPr>
          <w:rFonts w:ascii="Arial" w:hAnsi="Arial" w:cs="Arial"/>
          <w:b/>
          <w:color w:val="000000"/>
          <w:sz w:val="18"/>
        </w:rPr>
        <w:t>Fuente:</w:t>
      </w:r>
      <w:r w:rsidRPr="00031A87">
        <w:rPr>
          <w:rFonts w:ascii="Arial" w:hAnsi="Arial" w:cs="Arial"/>
          <w:color w:val="000000"/>
          <w:sz w:val="18"/>
        </w:rPr>
        <w:t xml:space="preserve"> Censo Escolar Peso/Talla 2016.</w:t>
      </w:r>
      <w:r w:rsidR="00A56A5B">
        <w:rPr>
          <w:rFonts w:ascii="Arial" w:hAnsi="Arial" w:cs="Arial"/>
          <w:color w:val="000000"/>
          <w:sz w:val="18"/>
        </w:rPr>
        <w:t xml:space="preserve"> </w:t>
      </w:r>
      <w:r w:rsidRPr="00031A87">
        <w:rPr>
          <w:rFonts w:ascii="Arial" w:hAnsi="Arial" w:cs="Arial"/>
          <w:color w:val="000000"/>
          <w:sz w:val="18"/>
        </w:rPr>
        <w:t>Dirección de Vigilancia de la Salud</w:t>
      </w:r>
      <w:r w:rsidR="00A56A5B">
        <w:rPr>
          <w:rFonts w:ascii="Arial" w:hAnsi="Arial" w:cs="Arial"/>
          <w:color w:val="000000"/>
          <w:sz w:val="18"/>
        </w:rPr>
        <w:t>,</w:t>
      </w:r>
    </w:p>
    <w:p w:rsidR="004777D8" w:rsidRPr="00031A87" w:rsidRDefault="00A56A5B" w:rsidP="00A56A5B">
      <w:pPr>
        <w:rPr>
          <w:rFonts w:ascii="Arial" w:hAnsi="Arial" w:cs="Arial"/>
          <w:color w:val="000000"/>
          <w:sz w:val="18"/>
        </w:rPr>
      </w:pPr>
      <w:r>
        <w:rPr>
          <w:rFonts w:ascii="Arial" w:hAnsi="Arial" w:cs="Arial"/>
          <w:color w:val="000000"/>
          <w:sz w:val="18"/>
        </w:rPr>
        <w:tab/>
      </w:r>
      <w:r>
        <w:rPr>
          <w:rFonts w:ascii="Arial" w:hAnsi="Arial" w:cs="Arial"/>
          <w:color w:val="000000"/>
          <w:sz w:val="18"/>
        </w:rPr>
        <w:tab/>
      </w:r>
      <w:r>
        <w:rPr>
          <w:rFonts w:ascii="Arial" w:hAnsi="Arial" w:cs="Arial"/>
          <w:color w:val="000000"/>
          <w:sz w:val="18"/>
        </w:rPr>
        <w:tab/>
      </w:r>
      <w:r w:rsidR="004777D8" w:rsidRPr="00031A87">
        <w:rPr>
          <w:rFonts w:ascii="Arial" w:hAnsi="Arial" w:cs="Arial"/>
          <w:color w:val="000000"/>
          <w:sz w:val="18"/>
        </w:rPr>
        <w:t>Ministerio de Salud</w:t>
      </w:r>
      <w:r>
        <w:rPr>
          <w:rFonts w:ascii="Arial" w:hAnsi="Arial" w:cs="Arial"/>
          <w:color w:val="000000"/>
          <w:sz w:val="18"/>
        </w:rPr>
        <w:t>, 201</w:t>
      </w:r>
      <w:r w:rsidR="00DA36A6">
        <w:rPr>
          <w:rFonts w:ascii="Arial" w:hAnsi="Arial" w:cs="Arial"/>
          <w:color w:val="000000"/>
          <w:sz w:val="18"/>
        </w:rPr>
        <w:t>9</w:t>
      </w:r>
      <w:r>
        <w:rPr>
          <w:rFonts w:ascii="Arial" w:hAnsi="Arial" w:cs="Arial"/>
          <w:color w:val="000000"/>
          <w:sz w:val="18"/>
        </w:rPr>
        <w:t>.</w:t>
      </w:r>
    </w:p>
    <w:p w:rsidR="004777D8" w:rsidRDefault="004777D8" w:rsidP="00A56A5B">
      <w:pPr>
        <w:autoSpaceDE w:val="0"/>
        <w:autoSpaceDN w:val="0"/>
        <w:adjustRightInd w:val="0"/>
        <w:spacing w:line="276" w:lineRule="auto"/>
        <w:jc w:val="center"/>
        <w:rPr>
          <w:rFonts w:ascii="Arial" w:hAnsi="Arial" w:cs="Arial"/>
          <w:color w:val="000000"/>
        </w:rPr>
      </w:pPr>
    </w:p>
    <w:p w:rsidR="004777D8" w:rsidRDefault="004777D8" w:rsidP="00C13C7D">
      <w:pPr>
        <w:autoSpaceDE w:val="0"/>
        <w:autoSpaceDN w:val="0"/>
        <w:adjustRightInd w:val="0"/>
        <w:spacing w:after="240" w:line="276" w:lineRule="auto"/>
        <w:jc w:val="both"/>
        <w:rPr>
          <w:rFonts w:ascii="Arial" w:hAnsi="Arial" w:cs="Arial"/>
          <w:color w:val="000000"/>
        </w:rPr>
      </w:pPr>
      <w:r w:rsidRPr="003A05DB">
        <w:rPr>
          <w:rFonts w:ascii="Arial" w:hAnsi="Arial" w:cs="Arial"/>
          <w:color w:val="000000"/>
          <w:lang w:val="es-ES"/>
        </w:rPr>
        <w:t>En el grupo de edad de 13 a 19 años</w:t>
      </w:r>
      <w:r w:rsidR="00C13C7D" w:rsidRPr="003A05DB">
        <w:rPr>
          <w:rFonts w:ascii="Arial" w:hAnsi="Arial" w:cs="Arial"/>
          <w:color w:val="000000"/>
          <w:lang w:val="es-ES"/>
        </w:rPr>
        <w:t xml:space="preserve">, la ENN-2008 mostró </w:t>
      </w:r>
      <w:r w:rsidRPr="003A05DB">
        <w:rPr>
          <w:rFonts w:ascii="Arial" w:hAnsi="Arial" w:cs="Arial"/>
          <w:color w:val="000000"/>
          <w:lang w:val="es-ES"/>
        </w:rPr>
        <w:t xml:space="preserve">una prevalencia de </w:t>
      </w:r>
      <w:r w:rsidR="00C13C7D" w:rsidRPr="003A05DB">
        <w:rPr>
          <w:rFonts w:ascii="Arial" w:hAnsi="Arial" w:cs="Arial"/>
          <w:color w:val="000000"/>
          <w:lang w:val="es-ES"/>
        </w:rPr>
        <w:t xml:space="preserve">desnutrición de </w:t>
      </w:r>
      <w:r w:rsidRPr="003A05DB">
        <w:rPr>
          <w:rFonts w:ascii="Arial" w:hAnsi="Arial" w:cs="Arial"/>
          <w:color w:val="000000"/>
          <w:lang w:val="es-ES"/>
        </w:rPr>
        <w:t xml:space="preserve">3 % siendo más alta en hombres (3.5%) que en mujeres (2.5%). </w:t>
      </w:r>
      <w:r w:rsidR="00C13C7D">
        <w:rPr>
          <w:rFonts w:ascii="Arial" w:hAnsi="Arial" w:cs="Arial"/>
          <w:color w:val="000000"/>
        </w:rPr>
        <w:t xml:space="preserve">Este </w:t>
      </w:r>
      <w:r>
        <w:rPr>
          <w:rFonts w:ascii="Arial" w:hAnsi="Arial" w:cs="Arial"/>
          <w:color w:val="000000"/>
        </w:rPr>
        <w:t xml:space="preserve">indicador </w:t>
      </w:r>
      <w:r w:rsidR="00C13C7D">
        <w:rPr>
          <w:rFonts w:ascii="Arial" w:hAnsi="Arial" w:cs="Arial"/>
          <w:color w:val="000000"/>
        </w:rPr>
        <w:t xml:space="preserve">se actualizará </w:t>
      </w:r>
      <w:r>
        <w:rPr>
          <w:rFonts w:ascii="Arial" w:hAnsi="Arial" w:cs="Arial"/>
          <w:color w:val="000000"/>
        </w:rPr>
        <w:t>con la</w:t>
      </w:r>
      <w:r w:rsidR="00E36389">
        <w:rPr>
          <w:rFonts w:ascii="Arial" w:hAnsi="Arial" w:cs="Arial"/>
          <w:color w:val="000000"/>
        </w:rPr>
        <w:t xml:space="preserve"> información de la próxima </w:t>
      </w:r>
      <w:r w:rsidR="00C13C7D">
        <w:rPr>
          <w:rFonts w:ascii="Arial" w:hAnsi="Arial" w:cs="Arial"/>
          <w:color w:val="000000"/>
        </w:rPr>
        <w:t>“</w:t>
      </w:r>
      <w:r w:rsidRPr="00C13C7D">
        <w:rPr>
          <w:rFonts w:ascii="Arial" w:hAnsi="Arial" w:cs="Arial"/>
          <w:i/>
          <w:color w:val="000000"/>
        </w:rPr>
        <w:t>Encuesta Colegial de Vigilancia Nutricional y Actividad Física</w:t>
      </w:r>
      <w:r w:rsidR="00C13C7D" w:rsidRPr="00C13C7D">
        <w:rPr>
          <w:rFonts w:ascii="Arial" w:hAnsi="Arial" w:cs="Arial"/>
          <w:i/>
          <w:color w:val="000000"/>
        </w:rPr>
        <w:t>”</w:t>
      </w:r>
      <w:r>
        <w:rPr>
          <w:rFonts w:ascii="Arial" w:hAnsi="Arial" w:cs="Arial"/>
          <w:color w:val="000000"/>
        </w:rPr>
        <w:t xml:space="preserve">, </w:t>
      </w:r>
      <w:r w:rsidR="00C13C7D">
        <w:rPr>
          <w:rFonts w:ascii="Arial" w:hAnsi="Arial" w:cs="Arial"/>
          <w:color w:val="000000"/>
        </w:rPr>
        <w:t xml:space="preserve">que también brindará </w:t>
      </w:r>
      <w:r>
        <w:rPr>
          <w:rFonts w:ascii="Arial" w:hAnsi="Arial" w:cs="Arial"/>
          <w:color w:val="000000"/>
        </w:rPr>
        <w:t xml:space="preserve">resultados </w:t>
      </w:r>
      <w:r w:rsidR="00E36389">
        <w:rPr>
          <w:rFonts w:ascii="Arial" w:hAnsi="Arial" w:cs="Arial"/>
          <w:color w:val="000000"/>
        </w:rPr>
        <w:t>de</w:t>
      </w:r>
      <w:r>
        <w:rPr>
          <w:rFonts w:ascii="Arial" w:hAnsi="Arial" w:cs="Arial"/>
          <w:color w:val="000000"/>
        </w:rPr>
        <w:t xml:space="preserve"> hábitos de consumo y sedentarismo.</w:t>
      </w:r>
    </w:p>
    <w:p w:rsidR="004777D8" w:rsidRDefault="004777D8" w:rsidP="004777D8">
      <w:pPr>
        <w:autoSpaceDE w:val="0"/>
        <w:autoSpaceDN w:val="0"/>
        <w:adjustRightInd w:val="0"/>
        <w:spacing w:line="276" w:lineRule="auto"/>
        <w:jc w:val="both"/>
        <w:rPr>
          <w:rFonts w:ascii="Arial" w:hAnsi="Arial" w:cs="Arial"/>
          <w:color w:val="000000"/>
        </w:rPr>
      </w:pPr>
      <w:r>
        <w:rPr>
          <w:rFonts w:ascii="Arial" w:hAnsi="Arial" w:cs="Arial"/>
          <w:color w:val="000000"/>
        </w:rPr>
        <w:t>La desnutrición en los grupos de edad de 20 a 44 y de 45 a 64 represent</w:t>
      </w:r>
      <w:r w:rsidR="00C13C7D">
        <w:rPr>
          <w:rFonts w:ascii="Arial" w:hAnsi="Arial" w:cs="Arial"/>
          <w:color w:val="000000"/>
        </w:rPr>
        <w:t>ó</w:t>
      </w:r>
      <w:r>
        <w:rPr>
          <w:rFonts w:ascii="Arial" w:hAnsi="Arial" w:cs="Arial"/>
          <w:color w:val="000000"/>
        </w:rPr>
        <w:t xml:space="preserve"> el 2% y el 0.6% respectivamente.  En los adultos mayores de 65 años el 3.3% present</w:t>
      </w:r>
      <w:r w:rsidR="00E36389">
        <w:rPr>
          <w:rFonts w:ascii="Arial" w:hAnsi="Arial" w:cs="Arial"/>
          <w:color w:val="000000"/>
        </w:rPr>
        <w:t>ó</w:t>
      </w:r>
      <w:r>
        <w:rPr>
          <w:rFonts w:ascii="Arial" w:hAnsi="Arial" w:cs="Arial"/>
          <w:color w:val="000000"/>
        </w:rPr>
        <w:t xml:space="preserve"> en el 2008, siendo mayor la prevalencia en mujeres </w:t>
      </w:r>
      <w:r w:rsidR="00E36389">
        <w:rPr>
          <w:rFonts w:ascii="Arial" w:hAnsi="Arial" w:cs="Arial"/>
          <w:color w:val="000000"/>
        </w:rPr>
        <w:t>(</w:t>
      </w:r>
      <w:r>
        <w:rPr>
          <w:rFonts w:ascii="Arial" w:hAnsi="Arial" w:cs="Arial"/>
          <w:color w:val="000000"/>
        </w:rPr>
        <w:t>5.7%</w:t>
      </w:r>
      <w:r w:rsidR="00E36389">
        <w:rPr>
          <w:rFonts w:ascii="Arial" w:hAnsi="Arial" w:cs="Arial"/>
          <w:color w:val="000000"/>
        </w:rPr>
        <w:t>)</w:t>
      </w:r>
      <w:r>
        <w:rPr>
          <w:rFonts w:ascii="Arial" w:hAnsi="Arial" w:cs="Arial"/>
          <w:color w:val="000000"/>
        </w:rPr>
        <w:t xml:space="preserve"> </w:t>
      </w:r>
      <w:r w:rsidR="00E36389">
        <w:rPr>
          <w:rFonts w:ascii="Arial" w:hAnsi="Arial" w:cs="Arial"/>
          <w:color w:val="000000"/>
        </w:rPr>
        <w:t>que en</w:t>
      </w:r>
      <w:r>
        <w:rPr>
          <w:rFonts w:ascii="Arial" w:hAnsi="Arial" w:cs="Arial"/>
          <w:color w:val="000000"/>
        </w:rPr>
        <w:t xml:space="preserve"> hombres </w:t>
      </w:r>
      <w:r w:rsidR="00E36389">
        <w:rPr>
          <w:rFonts w:ascii="Arial" w:hAnsi="Arial" w:cs="Arial"/>
          <w:color w:val="000000"/>
        </w:rPr>
        <w:t>(</w:t>
      </w:r>
      <w:r>
        <w:rPr>
          <w:rFonts w:ascii="Arial" w:hAnsi="Arial" w:cs="Arial"/>
          <w:color w:val="000000"/>
        </w:rPr>
        <w:t>0.9%</w:t>
      </w:r>
      <w:r w:rsidR="00E36389">
        <w:rPr>
          <w:rFonts w:ascii="Arial" w:hAnsi="Arial" w:cs="Arial"/>
          <w:color w:val="000000"/>
        </w:rPr>
        <w:t>)</w:t>
      </w:r>
      <w:r>
        <w:rPr>
          <w:rFonts w:ascii="Arial" w:hAnsi="Arial" w:cs="Arial"/>
          <w:color w:val="000000"/>
        </w:rPr>
        <w:t>.</w:t>
      </w:r>
    </w:p>
    <w:p w:rsidR="004777D8" w:rsidRDefault="004777D8" w:rsidP="004777D8">
      <w:pPr>
        <w:autoSpaceDE w:val="0"/>
        <w:autoSpaceDN w:val="0"/>
        <w:adjustRightInd w:val="0"/>
        <w:spacing w:line="276" w:lineRule="auto"/>
        <w:jc w:val="both"/>
        <w:rPr>
          <w:rFonts w:ascii="Arial" w:hAnsi="Arial" w:cs="Arial"/>
          <w:color w:val="000000"/>
        </w:rPr>
      </w:pPr>
    </w:p>
    <w:p w:rsidR="004777D8" w:rsidRPr="00545BA0" w:rsidRDefault="004777D8" w:rsidP="00026E23">
      <w:pPr>
        <w:autoSpaceDE w:val="0"/>
        <w:autoSpaceDN w:val="0"/>
        <w:adjustRightInd w:val="0"/>
        <w:spacing w:line="276" w:lineRule="auto"/>
        <w:jc w:val="both"/>
        <w:rPr>
          <w:rFonts w:ascii="Arial" w:hAnsi="Arial" w:cs="Arial"/>
          <w:color w:val="000000"/>
        </w:rPr>
      </w:pPr>
      <w:r>
        <w:rPr>
          <w:rFonts w:ascii="Arial" w:hAnsi="Arial" w:cs="Arial"/>
          <w:color w:val="000000"/>
        </w:rPr>
        <w:t>A finales del 2016 se incluy</w:t>
      </w:r>
      <w:r w:rsidR="008D2838">
        <w:rPr>
          <w:rFonts w:ascii="Arial" w:hAnsi="Arial" w:cs="Arial"/>
          <w:color w:val="000000"/>
        </w:rPr>
        <w:t>ó</w:t>
      </w:r>
      <w:r>
        <w:rPr>
          <w:rFonts w:ascii="Arial" w:hAnsi="Arial" w:cs="Arial"/>
          <w:color w:val="000000"/>
        </w:rPr>
        <w:t xml:space="preserve"> en el decreto de vigilancia de la salud</w:t>
      </w:r>
      <w:r w:rsidR="008D2838">
        <w:rPr>
          <w:rFonts w:ascii="Arial" w:hAnsi="Arial" w:cs="Arial"/>
          <w:color w:val="000000"/>
        </w:rPr>
        <w:t>,</w:t>
      </w:r>
      <w:r>
        <w:rPr>
          <w:rFonts w:ascii="Arial" w:hAnsi="Arial" w:cs="Arial"/>
          <w:color w:val="000000"/>
        </w:rPr>
        <w:t xml:space="preserve"> la notificación </w:t>
      </w:r>
      <w:r w:rsidR="008D2838">
        <w:rPr>
          <w:rFonts w:ascii="Arial" w:hAnsi="Arial" w:cs="Arial"/>
          <w:color w:val="000000"/>
        </w:rPr>
        <w:t xml:space="preserve">obligatoria </w:t>
      </w:r>
      <w:r>
        <w:rPr>
          <w:rFonts w:ascii="Arial" w:hAnsi="Arial" w:cs="Arial"/>
          <w:color w:val="000000"/>
        </w:rPr>
        <w:t xml:space="preserve">del </w:t>
      </w:r>
      <w:r w:rsidR="008D2838">
        <w:rPr>
          <w:rFonts w:ascii="Arial" w:hAnsi="Arial" w:cs="Arial"/>
          <w:color w:val="000000"/>
        </w:rPr>
        <w:t>“r</w:t>
      </w:r>
      <w:r>
        <w:rPr>
          <w:rFonts w:ascii="Arial" w:hAnsi="Arial" w:cs="Arial"/>
          <w:color w:val="000000"/>
        </w:rPr>
        <w:t>iesgo nutricional</w:t>
      </w:r>
      <w:r w:rsidR="008D2838">
        <w:rPr>
          <w:rFonts w:ascii="Arial" w:hAnsi="Arial" w:cs="Arial"/>
          <w:color w:val="000000"/>
        </w:rPr>
        <w:t>”</w:t>
      </w:r>
      <w:r>
        <w:rPr>
          <w:rFonts w:ascii="Arial" w:hAnsi="Arial" w:cs="Arial"/>
          <w:color w:val="000000"/>
        </w:rPr>
        <w:t xml:space="preserve"> en adultos </w:t>
      </w:r>
      <w:r w:rsidR="008D2838">
        <w:rPr>
          <w:rFonts w:ascii="Arial" w:hAnsi="Arial" w:cs="Arial"/>
          <w:color w:val="000000"/>
        </w:rPr>
        <w:t>mayores,</w:t>
      </w:r>
      <w:r>
        <w:rPr>
          <w:rFonts w:ascii="Arial" w:hAnsi="Arial" w:cs="Arial"/>
          <w:color w:val="000000"/>
        </w:rPr>
        <w:t xml:space="preserve"> </w:t>
      </w:r>
      <w:r w:rsidR="008D2838">
        <w:rPr>
          <w:rFonts w:ascii="Arial" w:hAnsi="Arial" w:cs="Arial"/>
          <w:color w:val="000000"/>
        </w:rPr>
        <w:t xml:space="preserve">ya que </w:t>
      </w:r>
      <w:r w:rsidRPr="00545BA0">
        <w:rPr>
          <w:rFonts w:ascii="Arial" w:hAnsi="Arial" w:cs="Arial"/>
          <w:color w:val="000000"/>
        </w:rPr>
        <w:t xml:space="preserve">las deficiencias nutricionales pueden contribuir con un aumento en la morbilidad y mortalidad </w:t>
      </w:r>
      <w:r w:rsidR="008D2838">
        <w:rPr>
          <w:rFonts w:ascii="Arial" w:hAnsi="Arial" w:cs="Arial"/>
          <w:color w:val="000000"/>
        </w:rPr>
        <w:t>de ste grupo de población</w:t>
      </w:r>
      <w:r w:rsidR="008D2838">
        <w:rPr>
          <w:rStyle w:val="Refdenotaalpie"/>
          <w:rFonts w:ascii="Arial" w:hAnsi="Arial" w:cs="Arial"/>
          <w:color w:val="000000"/>
        </w:rPr>
        <w:footnoteReference w:id="10"/>
      </w:r>
      <w:r w:rsidR="008D2838">
        <w:rPr>
          <w:rFonts w:ascii="Arial" w:hAnsi="Arial" w:cs="Arial"/>
          <w:color w:val="000000"/>
        </w:rPr>
        <w:t>.</w:t>
      </w:r>
      <w:r w:rsidR="00026E23">
        <w:rPr>
          <w:rFonts w:ascii="Arial" w:hAnsi="Arial" w:cs="Arial"/>
          <w:color w:val="000000"/>
        </w:rPr>
        <w:t xml:space="preserve">  </w:t>
      </w:r>
      <w:r>
        <w:rPr>
          <w:rFonts w:ascii="Arial" w:hAnsi="Arial" w:cs="Arial"/>
          <w:color w:val="000000"/>
        </w:rPr>
        <w:t>Dado que este evento es reciente</w:t>
      </w:r>
      <w:r w:rsidR="008D2838">
        <w:rPr>
          <w:rFonts w:ascii="Arial" w:hAnsi="Arial" w:cs="Arial"/>
          <w:color w:val="000000"/>
        </w:rPr>
        <w:t>,</w:t>
      </w:r>
      <w:r>
        <w:rPr>
          <w:rFonts w:ascii="Arial" w:hAnsi="Arial" w:cs="Arial"/>
          <w:color w:val="000000"/>
        </w:rPr>
        <w:t xml:space="preserve"> </w:t>
      </w:r>
      <w:r w:rsidR="008D2838">
        <w:rPr>
          <w:rFonts w:ascii="Arial" w:hAnsi="Arial" w:cs="Arial"/>
          <w:color w:val="000000"/>
        </w:rPr>
        <w:t>las tasas de</w:t>
      </w:r>
      <w:r>
        <w:rPr>
          <w:rFonts w:ascii="Arial" w:hAnsi="Arial" w:cs="Arial"/>
          <w:color w:val="000000"/>
        </w:rPr>
        <w:t xml:space="preserve"> notificación </w:t>
      </w:r>
      <w:r w:rsidR="008D2838">
        <w:rPr>
          <w:rFonts w:ascii="Arial" w:hAnsi="Arial" w:cs="Arial"/>
          <w:color w:val="000000"/>
        </w:rPr>
        <w:t xml:space="preserve">han ido </w:t>
      </w:r>
      <w:r>
        <w:rPr>
          <w:rFonts w:ascii="Arial" w:hAnsi="Arial" w:cs="Arial"/>
          <w:color w:val="000000"/>
        </w:rPr>
        <w:t>de 1 por 100.000 habitantes en el 2016 y de 3.9 por 100.000 habitantes</w:t>
      </w:r>
      <w:r w:rsidR="00026E23">
        <w:rPr>
          <w:rFonts w:ascii="Arial" w:hAnsi="Arial" w:cs="Arial"/>
          <w:color w:val="000000"/>
        </w:rPr>
        <w:t xml:space="preserve"> en el 2017.</w:t>
      </w:r>
      <w:r>
        <w:rPr>
          <w:rFonts w:ascii="Arial" w:hAnsi="Arial" w:cs="Arial"/>
          <w:color w:val="000000"/>
        </w:rPr>
        <w:t xml:space="preserve"> </w:t>
      </w:r>
    </w:p>
    <w:p w:rsidR="004777D8" w:rsidRDefault="004777D8" w:rsidP="004777D8">
      <w:pPr>
        <w:autoSpaceDE w:val="0"/>
        <w:autoSpaceDN w:val="0"/>
        <w:adjustRightInd w:val="0"/>
        <w:spacing w:line="276" w:lineRule="auto"/>
        <w:jc w:val="both"/>
        <w:rPr>
          <w:rFonts w:ascii="Arial" w:hAnsi="Arial" w:cs="Arial"/>
          <w:color w:val="000000"/>
        </w:rPr>
      </w:pPr>
    </w:p>
    <w:p w:rsidR="004777D8" w:rsidRPr="003A05DB" w:rsidRDefault="004777D8" w:rsidP="004777D8">
      <w:pPr>
        <w:autoSpaceDE w:val="0"/>
        <w:autoSpaceDN w:val="0"/>
        <w:adjustRightInd w:val="0"/>
        <w:spacing w:line="276" w:lineRule="auto"/>
        <w:jc w:val="both"/>
        <w:rPr>
          <w:rFonts w:ascii="Arial" w:hAnsi="Arial" w:cs="Arial"/>
          <w:color w:val="000000"/>
          <w:lang w:val="es-ES"/>
        </w:rPr>
      </w:pPr>
      <w:r w:rsidRPr="003A05DB">
        <w:rPr>
          <w:rFonts w:ascii="Arial" w:hAnsi="Arial" w:cs="Arial"/>
          <w:color w:val="000000"/>
          <w:lang w:val="es-ES"/>
        </w:rPr>
        <w:t xml:space="preserve">La morbilidad de desnutrición según los reportes de notificación obligatoria muestra que en Costa Rica el kwashiorkor, el marasmo nutricional y el kwashiorkor marasmático no tienen incidencia significativa, sin embargo, la desnutrición proteica calórica de grado leve y moderado ocupan las mayores tasas y en menor proporción </w:t>
      </w:r>
      <w:r w:rsidRPr="003A05DB">
        <w:rPr>
          <w:rFonts w:ascii="Arial" w:hAnsi="Arial" w:cs="Arial"/>
          <w:color w:val="000000"/>
          <w:lang w:val="es-ES"/>
        </w:rPr>
        <w:lastRenderedPageBreak/>
        <w:t xml:space="preserve">la </w:t>
      </w:r>
      <w:r w:rsidR="00026E23" w:rsidRPr="003A05DB">
        <w:rPr>
          <w:rFonts w:ascii="Arial" w:hAnsi="Arial" w:cs="Arial"/>
          <w:color w:val="000000"/>
          <w:lang w:val="es-ES"/>
        </w:rPr>
        <w:t>“d</w:t>
      </w:r>
      <w:r w:rsidRPr="003A05DB">
        <w:rPr>
          <w:rFonts w:ascii="Arial" w:hAnsi="Arial" w:cs="Arial"/>
          <w:color w:val="000000"/>
          <w:lang w:val="es-ES"/>
        </w:rPr>
        <w:t>esnutrición severa</w:t>
      </w:r>
      <w:r w:rsidR="00026E23" w:rsidRPr="003A05DB">
        <w:rPr>
          <w:rFonts w:ascii="Arial" w:hAnsi="Arial" w:cs="Arial"/>
          <w:color w:val="000000"/>
          <w:lang w:val="es-ES"/>
        </w:rPr>
        <w:t>”</w:t>
      </w:r>
      <w:r w:rsidRPr="003A05DB">
        <w:rPr>
          <w:rFonts w:ascii="Arial" w:hAnsi="Arial" w:cs="Arial"/>
          <w:color w:val="000000"/>
          <w:lang w:val="es-ES"/>
        </w:rPr>
        <w:t xml:space="preserve">. En general las tasas por sexo son mayores en mujeres que en hombres del 2014 al 2017. </w:t>
      </w:r>
    </w:p>
    <w:p w:rsidR="004777D8" w:rsidRPr="003A05DB" w:rsidRDefault="004777D8" w:rsidP="004777D8">
      <w:pPr>
        <w:autoSpaceDE w:val="0"/>
        <w:autoSpaceDN w:val="0"/>
        <w:adjustRightInd w:val="0"/>
        <w:spacing w:line="276" w:lineRule="auto"/>
        <w:ind w:hanging="708"/>
        <w:jc w:val="center"/>
        <w:rPr>
          <w:rFonts w:ascii="Arial" w:hAnsi="Arial" w:cs="Arial"/>
          <w:b/>
          <w:color w:val="000000"/>
          <w:lang w:val="es-ES"/>
        </w:rPr>
      </w:pPr>
    </w:p>
    <w:p w:rsidR="004777D8" w:rsidRDefault="00026E23" w:rsidP="004777D8">
      <w:pPr>
        <w:autoSpaceDE w:val="0"/>
        <w:autoSpaceDN w:val="0"/>
        <w:adjustRightInd w:val="0"/>
        <w:spacing w:line="276" w:lineRule="auto"/>
        <w:ind w:hanging="708"/>
        <w:jc w:val="center"/>
        <w:rPr>
          <w:rFonts w:ascii="Arial" w:hAnsi="Arial" w:cs="Arial"/>
          <w:b/>
          <w:color w:val="000000"/>
        </w:rPr>
      </w:pPr>
      <w:r>
        <w:rPr>
          <w:rFonts w:ascii="Arial" w:hAnsi="Arial" w:cs="Arial"/>
          <w:b/>
          <w:color w:val="000000"/>
        </w:rPr>
        <w:t>Cuadro 1</w:t>
      </w:r>
      <w:r w:rsidR="00DA36A6">
        <w:rPr>
          <w:rFonts w:ascii="Arial" w:hAnsi="Arial" w:cs="Arial"/>
          <w:b/>
          <w:color w:val="000000"/>
        </w:rPr>
        <w:t>5</w:t>
      </w:r>
    </w:p>
    <w:p w:rsidR="00845B3F" w:rsidRDefault="00845B3F" w:rsidP="004777D8">
      <w:pPr>
        <w:autoSpaceDE w:val="0"/>
        <w:autoSpaceDN w:val="0"/>
        <w:adjustRightInd w:val="0"/>
        <w:spacing w:line="276" w:lineRule="auto"/>
        <w:ind w:hanging="708"/>
        <w:jc w:val="center"/>
        <w:rPr>
          <w:rFonts w:ascii="Arial" w:hAnsi="Arial" w:cs="Arial"/>
          <w:b/>
          <w:color w:val="000000"/>
        </w:rPr>
      </w:pPr>
      <w:r>
        <w:rPr>
          <w:rFonts w:ascii="Arial" w:hAnsi="Arial" w:cs="Arial"/>
          <w:b/>
          <w:color w:val="000000"/>
        </w:rPr>
        <w:t xml:space="preserve">Costa Rica: </w:t>
      </w:r>
      <w:r w:rsidR="004777D8" w:rsidRPr="001C763F">
        <w:rPr>
          <w:rFonts w:ascii="Arial" w:hAnsi="Arial" w:cs="Arial"/>
          <w:b/>
          <w:color w:val="000000"/>
        </w:rPr>
        <w:t xml:space="preserve">Incidencia de </w:t>
      </w:r>
      <w:r w:rsidR="00026E23">
        <w:rPr>
          <w:rFonts w:ascii="Arial" w:hAnsi="Arial" w:cs="Arial"/>
          <w:b/>
          <w:color w:val="000000"/>
        </w:rPr>
        <w:t>d</w:t>
      </w:r>
      <w:r w:rsidR="004777D8" w:rsidRPr="001C763F">
        <w:rPr>
          <w:rFonts w:ascii="Arial" w:hAnsi="Arial" w:cs="Arial"/>
          <w:b/>
          <w:color w:val="000000"/>
        </w:rPr>
        <w:t xml:space="preserve">esnutrición según </w:t>
      </w:r>
    </w:p>
    <w:p w:rsidR="00026E23" w:rsidRPr="003A05DB" w:rsidRDefault="004777D8" w:rsidP="004777D8">
      <w:pPr>
        <w:autoSpaceDE w:val="0"/>
        <w:autoSpaceDN w:val="0"/>
        <w:adjustRightInd w:val="0"/>
        <w:spacing w:line="276" w:lineRule="auto"/>
        <w:ind w:hanging="708"/>
        <w:jc w:val="center"/>
        <w:rPr>
          <w:rFonts w:ascii="Arial" w:hAnsi="Arial" w:cs="Arial"/>
          <w:b/>
          <w:color w:val="000000"/>
          <w:lang w:val="es-ES"/>
        </w:rPr>
      </w:pPr>
      <w:r w:rsidRPr="003A05DB">
        <w:rPr>
          <w:rFonts w:ascii="Arial" w:hAnsi="Arial" w:cs="Arial"/>
          <w:b/>
          <w:color w:val="000000"/>
          <w:lang w:val="es-ES"/>
        </w:rPr>
        <w:t>notificación</w:t>
      </w:r>
      <w:r w:rsidR="00026E23" w:rsidRPr="003A05DB">
        <w:rPr>
          <w:rFonts w:ascii="Arial" w:hAnsi="Arial" w:cs="Arial"/>
          <w:b/>
          <w:color w:val="000000"/>
          <w:lang w:val="es-ES"/>
        </w:rPr>
        <w:t xml:space="preserve"> o</w:t>
      </w:r>
      <w:r w:rsidRPr="003A05DB">
        <w:rPr>
          <w:rFonts w:ascii="Arial" w:hAnsi="Arial" w:cs="Arial"/>
          <w:b/>
          <w:color w:val="000000"/>
          <w:lang w:val="es-ES"/>
        </w:rPr>
        <w:t>bligatoria 2014-2017.</w:t>
      </w:r>
    </w:p>
    <w:p w:rsidR="004777D8" w:rsidRPr="003A05DB" w:rsidRDefault="004777D8" w:rsidP="004777D8">
      <w:pPr>
        <w:autoSpaceDE w:val="0"/>
        <w:autoSpaceDN w:val="0"/>
        <w:adjustRightInd w:val="0"/>
        <w:spacing w:line="276" w:lineRule="auto"/>
        <w:ind w:hanging="708"/>
        <w:jc w:val="center"/>
        <w:rPr>
          <w:rFonts w:ascii="Arial" w:hAnsi="Arial" w:cs="Arial"/>
          <w:b/>
          <w:color w:val="000000"/>
          <w:lang w:val="es-ES"/>
        </w:rPr>
      </w:pPr>
      <w:r w:rsidRPr="003A05DB">
        <w:rPr>
          <w:rFonts w:ascii="Arial" w:hAnsi="Arial" w:cs="Arial"/>
          <w:b/>
          <w:color w:val="000000"/>
          <w:lang w:val="es-ES"/>
        </w:rPr>
        <w:t>(</w:t>
      </w:r>
      <w:r w:rsidR="00026E23" w:rsidRPr="003A05DB">
        <w:rPr>
          <w:rFonts w:ascii="Arial" w:hAnsi="Arial" w:cs="Arial"/>
          <w:b/>
          <w:color w:val="000000"/>
          <w:sz w:val="20"/>
          <w:szCs w:val="20"/>
          <w:lang w:val="es-ES"/>
        </w:rPr>
        <w:t>t</w:t>
      </w:r>
      <w:r w:rsidRPr="003A05DB">
        <w:rPr>
          <w:rFonts w:ascii="Arial" w:hAnsi="Arial" w:cs="Arial"/>
          <w:b/>
          <w:color w:val="000000"/>
          <w:sz w:val="20"/>
          <w:szCs w:val="20"/>
          <w:lang w:val="es-ES"/>
        </w:rPr>
        <w:t>asas por 100.000 habitantes</w:t>
      </w:r>
      <w:r w:rsidRPr="003A05DB">
        <w:rPr>
          <w:rFonts w:ascii="Arial" w:hAnsi="Arial" w:cs="Arial"/>
          <w:b/>
          <w:color w:val="000000"/>
          <w:lang w:val="es-ES"/>
        </w:rPr>
        <w:t>)</w:t>
      </w:r>
    </w:p>
    <w:tbl>
      <w:tblPr>
        <w:tblW w:w="8505" w:type="dxa"/>
        <w:tblCellMar>
          <w:left w:w="70" w:type="dxa"/>
          <w:right w:w="70" w:type="dxa"/>
        </w:tblCellMar>
        <w:tblLook w:val="04A0" w:firstRow="1" w:lastRow="0" w:firstColumn="1" w:lastColumn="0" w:noHBand="0" w:noVBand="1"/>
      </w:tblPr>
      <w:tblGrid>
        <w:gridCol w:w="3727"/>
        <w:gridCol w:w="1076"/>
        <w:gridCol w:w="1076"/>
        <w:gridCol w:w="1005"/>
        <w:gridCol w:w="1621"/>
      </w:tblGrid>
      <w:tr w:rsidR="004777D8" w:rsidRPr="00845B3F" w:rsidTr="00026E23">
        <w:trPr>
          <w:trHeight w:val="267"/>
        </w:trPr>
        <w:tc>
          <w:tcPr>
            <w:tcW w:w="3727" w:type="dxa"/>
            <w:tcBorders>
              <w:top w:val="single" w:sz="4" w:space="0" w:color="auto"/>
              <w:bottom w:val="single" w:sz="4" w:space="0" w:color="auto"/>
            </w:tcBorders>
            <w:shd w:val="clear" w:color="auto" w:fill="auto"/>
            <w:noWrap/>
            <w:hideMark/>
          </w:tcPr>
          <w:p w:rsidR="004777D8" w:rsidRPr="00845B3F" w:rsidRDefault="004777D8" w:rsidP="00475BBF">
            <w:pPr>
              <w:spacing w:line="276" w:lineRule="auto"/>
              <w:rPr>
                <w:rFonts w:ascii="Arial" w:eastAsia="Times New Roman" w:hAnsi="Arial" w:cs="Arial"/>
                <w:b/>
                <w:color w:val="000000"/>
                <w:sz w:val="20"/>
                <w:szCs w:val="20"/>
                <w:lang w:eastAsia="es-CR"/>
              </w:rPr>
            </w:pPr>
            <w:r w:rsidRPr="00845B3F">
              <w:rPr>
                <w:rFonts w:ascii="Arial" w:eastAsia="Times New Roman" w:hAnsi="Arial" w:cs="Arial"/>
                <w:b/>
                <w:color w:val="000000"/>
                <w:sz w:val="20"/>
                <w:szCs w:val="20"/>
                <w:lang w:eastAsia="es-CR"/>
              </w:rPr>
              <w:t>Evento</w:t>
            </w:r>
          </w:p>
        </w:tc>
        <w:tc>
          <w:tcPr>
            <w:tcW w:w="1076" w:type="dxa"/>
            <w:tcBorders>
              <w:top w:val="single" w:sz="4" w:space="0" w:color="auto"/>
              <w:bottom w:val="single" w:sz="4" w:space="0" w:color="auto"/>
            </w:tcBorders>
            <w:shd w:val="clear" w:color="auto" w:fill="auto"/>
            <w:noWrap/>
            <w:hideMark/>
          </w:tcPr>
          <w:p w:rsidR="004777D8" w:rsidRPr="00845B3F" w:rsidRDefault="004777D8" w:rsidP="00475BBF">
            <w:pPr>
              <w:spacing w:line="276" w:lineRule="auto"/>
              <w:jc w:val="center"/>
              <w:rPr>
                <w:rFonts w:ascii="Arial" w:eastAsia="Times New Roman" w:hAnsi="Arial" w:cs="Arial"/>
                <w:b/>
                <w:color w:val="000000"/>
                <w:sz w:val="20"/>
                <w:szCs w:val="20"/>
                <w:lang w:eastAsia="es-CR"/>
              </w:rPr>
            </w:pPr>
            <w:r w:rsidRPr="00845B3F">
              <w:rPr>
                <w:rFonts w:ascii="Arial" w:eastAsia="Times New Roman" w:hAnsi="Arial" w:cs="Arial"/>
                <w:b/>
                <w:color w:val="000000"/>
                <w:sz w:val="20"/>
                <w:szCs w:val="20"/>
                <w:lang w:eastAsia="es-CR"/>
              </w:rPr>
              <w:t>2014</w:t>
            </w:r>
          </w:p>
        </w:tc>
        <w:tc>
          <w:tcPr>
            <w:tcW w:w="1076" w:type="dxa"/>
            <w:tcBorders>
              <w:top w:val="single" w:sz="4" w:space="0" w:color="auto"/>
              <w:bottom w:val="single" w:sz="4" w:space="0" w:color="auto"/>
            </w:tcBorders>
            <w:shd w:val="clear" w:color="auto" w:fill="auto"/>
            <w:noWrap/>
            <w:hideMark/>
          </w:tcPr>
          <w:p w:rsidR="004777D8" w:rsidRPr="00845B3F" w:rsidRDefault="004777D8" w:rsidP="00475BBF">
            <w:pPr>
              <w:spacing w:line="276" w:lineRule="auto"/>
              <w:jc w:val="center"/>
              <w:rPr>
                <w:rFonts w:ascii="Arial" w:eastAsia="Times New Roman" w:hAnsi="Arial" w:cs="Arial"/>
                <w:b/>
                <w:color w:val="000000"/>
                <w:sz w:val="20"/>
                <w:szCs w:val="20"/>
                <w:lang w:eastAsia="es-CR"/>
              </w:rPr>
            </w:pPr>
            <w:r w:rsidRPr="00845B3F">
              <w:rPr>
                <w:rFonts w:ascii="Arial" w:eastAsia="Times New Roman" w:hAnsi="Arial" w:cs="Arial"/>
                <w:b/>
                <w:color w:val="000000"/>
                <w:sz w:val="20"/>
                <w:szCs w:val="20"/>
                <w:lang w:eastAsia="es-CR"/>
              </w:rPr>
              <w:t>2015</w:t>
            </w:r>
          </w:p>
        </w:tc>
        <w:tc>
          <w:tcPr>
            <w:tcW w:w="1005" w:type="dxa"/>
            <w:tcBorders>
              <w:top w:val="single" w:sz="4" w:space="0" w:color="auto"/>
              <w:bottom w:val="single" w:sz="4" w:space="0" w:color="auto"/>
            </w:tcBorders>
            <w:shd w:val="clear" w:color="auto" w:fill="auto"/>
            <w:noWrap/>
            <w:hideMark/>
          </w:tcPr>
          <w:p w:rsidR="004777D8" w:rsidRPr="00845B3F" w:rsidRDefault="004777D8" w:rsidP="00475BBF">
            <w:pPr>
              <w:spacing w:line="276" w:lineRule="auto"/>
              <w:jc w:val="center"/>
              <w:rPr>
                <w:rFonts w:ascii="Arial" w:eastAsia="Times New Roman" w:hAnsi="Arial" w:cs="Arial"/>
                <w:b/>
                <w:color w:val="000000"/>
                <w:sz w:val="20"/>
                <w:szCs w:val="20"/>
                <w:lang w:eastAsia="es-CR"/>
              </w:rPr>
            </w:pPr>
            <w:r w:rsidRPr="00845B3F">
              <w:rPr>
                <w:rFonts w:ascii="Arial" w:eastAsia="Times New Roman" w:hAnsi="Arial" w:cs="Arial"/>
                <w:b/>
                <w:color w:val="000000"/>
                <w:sz w:val="20"/>
                <w:szCs w:val="20"/>
                <w:lang w:eastAsia="es-CR"/>
              </w:rPr>
              <w:t>2016</w:t>
            </w:r>
          </w:p>
        </w:tc>
        <w:tc>
          <w:tcPr>
            <w:tcW w:w="1621" w:type="dxa"/>
            <w:tcBorders>
              <w:top w:val="single" w:sz="4" w:space="0" w:color="auto"/>
              <w:bottom w:val="single" w:sz="4" w:space="0" w:color="auto"/>
            </w:tcBorders>
            <w:shd w:val="clear" w:color="auto" w:fill="auto"/>
            <w:noWrap/>
            <w:vAlign w:val="bottom"/>
            <w:hideMark/>
          </w:tcPr>
          <w:p w:rsidR="004777D8" w:rsidRPr="00845B3F" w:rsidRDefault="004777D8" w:rsidP="00475BBF">
            <w:pPr>
              <w:spacing w:line="276" w:lineRule="auto"/>
              <w:jc w:val="center"/>
              <w:rPr>
                <w:rFonts w:ascii="Arial" w:eastAsia="Times New Roman" w:hAnsi="Arial" w:cs="Arial"/>
                <w:b/>
                <w:color w:val="000000"/>
                <w:sz w:val="20"/>
                <w:szCs w:val="20"/>
                <w:lang w:eastAsia="es-CR"/>
              </w:rPr>
            </w:pPr>
            <w:r w:rsidRPr="00845B3F">
              <w:rPr>
                <w:rFonts w:ascii="Arial" w:eastAsia="Times New Roman" w:hAnsi="Arial" w:cs="Arial"/>
                <w:b/>
                <w:color w:val="000000"/>
                <w:sz w:val="20"/>
                <w:szCs w:val="20"/>
                <w:lang w:eastAsia="es-CR"/>
              </w:rPr>
              <w:t>2017</w:t>
            </w:r>
          </w:p>
        </w:tc>
      </w:tr>
      <w:tr w:rsidR="004777D8" w:rsidRPr="00845B3F" w:rsidTr="00026E23">
        <w:trPr>
          <w:trHeight w:val="668"/>
        </w:trPr>
        <w:tc>
          <w:tcPr>
            <w:tcW w:w="3727" w:type="dxa"/>
            <w:tcBorders>
              <w:top w:val="single" w:sz="4" w:space="0" w:color="auto"/>
              <w:bottom w:val="single" w:sz="4" w:space="0" w:color="auto"/>
            </w:tcBorders>
            <w:shd w:val="clear" w:color="auto" w:fill="auto"/>
            <w:hideMark/>
          </w:tcPr>
          <w:p w:rsidR="004777D8" w:rsidRPr="00845B3F" w:rsidRDefault="004777D8" w:rsidP="00475BBF">
            <w:pPr>
              <w:spacing w:line="276" w:lineRule="auto"/>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E43- Desnutrición proteico calórica severa, no especificada</w:t>
            </w:r>
          </w:p>
        </w:tc>
        <w:tc>
          <w:tcPr>
            <w:tcW w:w="1076" w:type="dxa"/>
            <w:tcBorders>
              <w:top w:val="single" w:sz="4" w:space="0" w:color="auto"/>
              <w:bottom w:val="single" w:sz="4" w:space="0" w:color="auto"/>
            </w:tcBorders>
            <w:shd w:val="clear" w:color="auto" w:fill="auto"/>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3,9</w:t>
            </w:r>
          </w:p>
        </w:tc>
        <w:tc>
          <w:tcPr>
            <w:tcW w:w="1076" w:type="dxa"/>
            <w:tcBorders>
              <w:top w:val="single" w:sz="4" w:space="0" w:color="auto"/>
              <w:bottom w:val="single" w:sz="4" w:space="0" w:color="auto"/>
            </w:tcBorders>
            <w:shd w:val="clear" w:color="auto" w:fill="auto"/>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4,0</w:t>
            </w:r>
          </w:p>
        </w:tc>
        <w:tc>
          <w:tcPr>
            <w:tcW w:w="1005" w:type="dxa"/>
            <w:tcBorders>
              <w:top w:val="single" w:sz="4" w:space="0" w:color="auto"/>
              <w:bottom w:val="single" w:sz="4" w:space="0" w:color="auto"/>
            </w:tcBorders>
            <w:shd w:val="clear" w:color="auto" w:fill="auto"/>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2,2</w:t>
            </w:r>
          </w:p>
        </w:tc>
        <w:tc>
          <w:tcPr>
            <w:tcW w:w="1621" w:type="dxa"/>
            <w:tcBorders>
              <w:top w:val="single" w:sz="4" w:space="0" w:color="auto"/>
              <w:bottom w:val="single" w:sz="4" w:space="0" w:color="auto"/>
            </w:tcBorders>
            <w:shd w:val="clear" w:color="auto" w:fill="auto"/>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2,8</w:t>
            </w:r>
          </w:p>
        </w:tc>
      </w:tr>
      <w:tr w:rsidR="004777D8" w:rsidRPr="00845B3F" w:rsidTr="00026E23">
        <w:trPr>
          <w:trHeight w:val="692"/>
        </w:trPr>
        <w:tc>
          <w:tcPr>
            <w:tcW w:w="3727" w:type="dxa"/>
            <w:tcBorders>
              <w:top w:val="single" w:sz="4" w:space="0" w:color="auto"/>
              <w:bottom w:val="single" w:sz="4" w:space="0" w:color="auto"/>
            </w:tcBorders>
            <w:shd w:val="clear" w:color="auto" w:fill="auto"/>
            <w:hideMark/>
          </w:tcPr>
          <w:p w:rsidR="004777D8" w:rsidRPr="00845B3F" w:rsidRDefault="004777D8" w:rsidP="00475BBF">
            <w:pPr>
              <w:spacing w:line="276" w:lineRule="auto"/>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E44- Desnutrición proteico calórica de grado moderado y leve</w:t>
            </w:r>
          </w:p>
        </w:tc>
        <w:tc>
          <w:tcPr>
            <w:tcW w:w="1076" w:type="dxa"/>
            <w:tcBorders>
              <w:top w:val="single" w:sz="4" w:space="0" w:color="auto"/>
              <w:bottom w:val="single" w:sz="4" w:space="0" w:color="auto"/>
            </w:tcBorders>
            <w:shd w:val="clear" w:color="auto" w:fill="auto"/>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17,7</w:t>
            </w:r>
          </w:p>
        </w:tc>
        <w:tc>
          <w:tcPr>
            <w:tcW w:w="1076" w:type="dxa"/>
            <w:tcBorders>
              <w:top w:val="single" w:sz="4" w:space="0" w:color="auto"/>
              <w:bottom w:val="single" w:sz="4" w:space="0" w:color="auto"/>
            </w:tcBorders>
            <w:shd w:val="clear" w:color="auto" w:fill="auto"/>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29,4</w:t>
            </w:r>
          </w:p>
        </w:tc>
        <w:tc>
          <w:tcPr>
            <w:tcW w:w="1005" w:type="dxa"/>
            <w:tcBorders>
              <w:top w:val="single" w:sz="4" w:space="0" w:color="auto"/>
              <w:bottom w:val="single" w:sz="4" w:space="0" w:color="auto"/>
            </w:tcBorders>
            <w:shd w:val="clear" w:color="auto" w:fill="auto"/>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12,3</w:t>
            </w:r>
          </w:p>
        </w:tc>
        <w:tc>
          <w:tcPr>
            <w:tcW w:w="1621" w:type="dxa"/>
            <w:tcBorders>
              <w:top w:val="single" w:sz="4" w:space="0" w:color="auto"/>
              <w:bottom w:val="single" w:sz="4" w:space="0" w:color="auto"/>
            </w:tcBorders>
            <w:shd w:val="clear" w:color="auto" w:fill="auto"/>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eastAsia="es-CR"/>
              </w:rPr>
            </w:pPr>
            <w:r w:rsidRPr="00845B3F">
              <w:rPr>
                <w:rFonts w:ascii="Arial" w:eastAsia="Times New Roman" w:hAnsi="Arial" w:cs="Arial"/>
                <w:color w:val="000000"/>
                <w:sz w:val="20"/>
                <w:szCs w:val="20"/>
                <w:lang w:eastAsia="es-CR"/>
              </w:rPr>
              <w:t>13,4</w:t>
            </w:r>
          </w:p>
        </w:tc>
      </w:tr>
    </w:tbl>
    <w:p w:rsidR="004777D8" w:rsidRPr="00ED752E" w:rsidRDefault="00026E23" w:rsidP="00026E23">
      <w:pPr>
        <w:autoSpaceDE w:val="0"/>
        <w:autoSpaceDN w:val="0"/>
        <w:adjustRightInd w:val="0"/>
        <w:spacing w:line="276" w:lineRule="auto"/>
        <w:ind w:firstLine="708"/>
        <w:jc w:val="right"/>
        <w:rPr>
          <w:rFonts w:ascii="Arial" w:hAnsi="Arial" w:cs="Arial"/>
          <w:color w:val="000000"/>
          <w:sz w:val="16"/>
          <w:szCs w:val="20"/>
        </w:rPr>
      </w:pPr>
      <w:r>
        <w:rPr>
          <w:rFonts w:ascii="Arial" w:hAnsi="Arial" w:cs="Arial"/>
          <w:b/>
          <w:color w:val="000000"/>
          <w:sz w:val="16"/>
          <w:szCs w:val="20"/>
        </w:rPr>
        <w:tab/>
      </w:r>
      <w:r w:rsidR="004777D8" w:rsidRPr="00026E23">
        <w:rPr>
          <w:rFonts w:ascii="Arial" w:hAnsi="Arial" w:cs="Arial"/>
          <w:b/>
          <w:color w:val="000000"/>
          <w:sz w:val="16"/>
          <w:szCs w:val="20"/>
        </w:rPr>
        <w:t>Fuente:</w:t>
      </w:r>
      <w:r w:rsidR="004777D8" w:rsidRPr="00ED752E">
        <w:rPr>
          <w:rFonts w:ascii="Arial" w:hAnsi="Arial" w:cs="Arial"/>
          <w:color w:val="000000"/>
          <w:sz w:val="16"/>
          <w:szCs w:val="20"/>
        </w:rPr>
        <w:t xml:space="preserve"> Dirección Vigilancia de la Salud, Ministerio de Salud</w:t>
      </w:r>
      <w:r>
        <w:rPr>
          <w:rFonts w:ascii="Arial" w:hAnsi="Arial" w:cs="Arial"/>
          <w:color w:val="000000"/>
          <w:sz w:val="16"/>
          <w:szCs w:val="20"/>
        </w:rPr>
        <w:t>, 201</w:t>
      </w:r>
      <w:r w:rsidR="00DA36A6">
        <w:rPr>
          <w:rFonts w:ascii="Arial" w:hAnsi="Arial" w:cs="Arial"/>
          <w:color w:val="000000"/>
          <w:sz w:val="16"/>
          <w:szCs w:val="20"/>
        </w:rPr>
        <w:t>9</w:t>
      </w:r>
      <w:r>
        <w:rPr>
          <w:rFonts w:ascii="Arial" w:hAnsi="Arial" w:cs="Arial"/>
          <w:color w:val="000000"/>
          <w:sz w:val="16"/>
          <w:szCs w:val="20"/>
        </w:rPr>
        <w:t>.</w:t>
      </w:r>
    </w:p>
    <w:p w:rsidR="004777D8" w:rsidRDefault="004777D8" w:rsidP="004777D8">
      <w:pPr>
        <w:autoSpaceDE w:val="0"/>
        <w:autoSpaceDN w:val="0"/>
        <w:adjustRightInd w:val="0"/>
        <w:spacing w:line="276" w:lineRule="auto"/>
        <w:rPr>
          <w:rFonts w:ascii="Arial" w:hAnsi="Arial" w:cs="Arial"/>
          <w:color w:val="000000"/>
        </w:rPr>
      </w:pPr>
    </w:p>
    <w:p w:rsidR="004777D8" w:rsidRDefault="004777D8" w:rsidP="004777D8">
      <w:pPr>
        <w:autoSpaceDE w:val="0"/>
        <w:autoSpaceDN w:val="0"/>
        <w:adjustRightInd w:val="0"/>
        <w:spacing w:line="276" w:lineRule="auto"/>
        <w:jc w:val="both"/>
        <w:rPr>
          <w:rFonts w:ascii="Arial" w:hAnsi="Arial" w:cs="Arial"/>
          <w:color w:val="000000"/>
        </w:rPr>
      </w:pPr>
      <w:r w:rsidRPr="003A05DB">
        <w:rPr>
          <w:rFonts w:ascii="Arial" w:hAnsi="Arial" w:cs="Arial"/>
          <w:color w:val="000000"/>
          <w:lang w:val="es-ES"/>
        </w:rPr>
        <w:t>La provincia con mayor incidencia en desnutrición es Puntarenas</w:t>
      </w:r>
      <w:r w:rsidR="00026E23" w:rsidRPr="003A05DB">
        <w:rPr>
          <w:rFonts w:ascii="Arial" w:hAnsi="Arial" w:cs="Arial"/>
          <w:color w:val="000000"/>
          <w:lang w:val="es-ES"/>
        </w:rPr>
        <w:t>,</w:t>
      </w:r>
      <w:r w:rsidRPr="003A05DB">
        <w:rPr>
          <w:rFonts w:ascii="Arial" w:hAnsi="Arial" w:cs="Arial"/>
          <w:color w:val="000000"/>
          <w:lang w:val="es-ES"/>
        </w:rPr>
        <w:t xml:space="preserve"> seguida de San José, mientras que la provincia con menor incidencia es Heredia. Dichos datos no son coincidentes con los resultados arrojados en </w:t>
      </w:r>
      <w:r w:rsidR="00026E23" w:rsidRPr="003A05DB">
        <w:rPr>
          <w:rFonts w:ascii="Arial" w:hAnsi="Arial" w:cs="Arial"/>
          <w:color w:val="000000"/>
          <w:lang w:val="es-ES"/>
        </w:rPr>
        <w:t xml:space="preserve">la </w:t>
      </w:r>
      <w:r w:rsidRPr="003A05DB">
        <w:rPr>
          <w:rFonts w:ascii="Arial" w:hAnsi="Arial" w:cs="Arial"/>
          <w:color w:val="000000"/>
          <w:lang w:val="es-ES"/>
        </w:rPr>
        <w:t>población de 6-12 años del censo escolar peso/ talla</w:t>
      </w:r>
      <w:r w:rsidR="00026E23" w:rsidRPr="003A05DB">
        <w:rPr>
          <w:rFonts w:ascii="Arial" w:hAnsi="Arial" w:cs="Arial"/>
          <w:color w:val="000000"/>
          <w:lang w:val="es-ES"/>
        </w:rPr>
        <w:t xml:space="preserve">. </w:t>
      </w:r>
      <w:r w:rsidR="00026E23">
        <w:rPr>
          <w:rFonts w:ascii="Arial" w:hAnsi="Arial" w:cs="Arial"/>
          <w:color w:val="000000"/>
        </w:rPr>
        <w:t>E</w:t>
      </w:r>
      <w:r>
        <w:rPr>
          <w:rFonts w:ascii="Arial" w:hAnsi="Arial" w:cs="Arial"/>
          <w:color w:val="000000"/>
        </w:rPr>
        <w:t>n dicho censo</w:t>
      </w:r>
      <w:r w:rsidR="00026E23">
        <w:rPr>
          <w:rFonts w:ascii="Arial" w:hAnsi="Arial" w:cs="Arial"/>
          <w:color w:val="000000"/>
        </w:rPr>
        <w:t>,</w:t>
      </w:r>
      <w:r>
        <w:rPr>
          <w:rFonts w:ascii="Arial" w:hAnsi="Arial" w:cs="Arial"/>
          <w:color w:val="000000"/>
        </w:rPr>
        <w:t xml:space="preserve"> Guanacaste y Puntarenas son las provincias con mayor prevalencia de desnutrición</w:t>
      </w:r>
      <w:r w:rsidR="00026E23">
        <w:rPr>
          <w:rFonts w:ascii="Arial" w:hAnsi="Arial" w:cs="Arial"/>
          <w:color w:val="000000"/>
        </w:rPr>
        <w:t>,</w:t>
      </w:r>
      <w:r>
        <w:rPr>
          <w:rFonts w:ascii="Arial" w:hAnsi="Arial" w:cs="Arial"/>
          <w:color w:val="000000"/>
        </w:rPr>
        <w:t xml:space="preserve"> mientras que Cartago</w:t>
      </w:r>
      <w:r w:rsidR="00026E23">
        <w:rPr>
          <w:rFonts w:ascii="Arial" w:hAnsi="Arial" w:cs="Arial"/>
          <w:color w:val="000000"/>
        </w:rPr>
        <w:t>,</w:t>
      </w:r>
      <w:r>
        <w:rPr>
          <w:rFonts w:ascii="Arial" w:hAnsi="Arial" w:cs="Arial"/>
          <w:color w:val="000000"/>
        </w:rPr>
        <w:t xml:space="preserve"> la que presentó menor prevalencia de este evento</w:t>
      </w:r>
      <w:r w:rsidR="00026E23">
        <w:rPr>
          <w:rFonts w:ascii="Arial" w:hAnsi="Arial" w:cs="Arial"/>
          <w:color w:val="000000"/>
        </w:rPr>
        <w:t>,</w:t>
      </w:r>
      <w:r>
        <w:rPr>
          <w:rFonts w:ascii="Arial" w:hAnsi="Arial" w:cs="Arial"/>
          <w:color w:val="000000"/>
        </w:rPr>
        <w:t xml:space="preserve"> </w:t>
      </w:r>
      <w:r w:rsidR="00026E23">
        <w:rPr>
          <w:rFonts w:ascii="Arial" w:hAnsi="Arial" w:cs="Arial"/>
          <w:color w:val="000000"/>
        </w:rPr>
        <w:t xml:space="preserve">con </w:t>
      </w:r>
      <w:r>
        <w:rPr>
          <w:rFonts w:ascii="Arial" w:hAnsi="Arial" w:cs="Arial"/>
          <w:color w:val="000000"/>
        </w:rPr>
        <w:t>una tasa de 12.1 por 1000 habitantes en ambos sexos.</w:t>
      </w:r>
    </w:p>
    <w:p w:rsidR="00026E23" w:rsidRDefault="00026E23" w:rsidP="004777D8">
      <w:pPr>
        <w:autoSpaceDE w:val="0"/>
        <w:autoSpaceDN w:val="0"/>
        <w:adjustRightInd w:val="0"/>
        <w:spacing w:line="276" w:lineRule="auto"/>
        <w:jc w:val="both"/>
        <w:rPr>
          <w:rFonts w:ascii="Arial" w:hAnsi="Arial" w:cs="Arial"/>
          <w:color w:val="000000"/>
        </w:rPr>
      </w:pPr>
    </w:p>
    <w:p w:rsidR="004777D8" w:rsidRPr="003A05DB" w:rsidRDefault="00026E23" w:rsidP="004777D8">
      <w:pPr>
        <w:autoSpaceDE w:val="0"/>
        <w:autoSpaceDN w:val="0"/>
        <w:adjustRightInd w:val="0"/>
        <w:spacing w:line="276" w:lineRule="auto"/>
        <w:jc w:val="both"/>
        <w:rPr>
          <w:rFonts w:ascii="Arial" w:hAnsi="Arial" w:cs="Arial"/>
          <w:color w:val="000000"/>
          <w:lang w:val="es-ES"/>
        </w:rPr>
      </w:pPr>
      <w:r w:rsidRPr="003A05DB">
        <w:rPr>
          <w:rFonts w:ascii="Arial" w:hAnsi="Arial" w:cs="Arial"/>
          <w:color w:val="000000"/>
          <w:lang w:val="es-ES"/>
        </w:rPr>
        <w:t>En el 2017</w:t>
      </w:r>
      <w:r w:rsidR="00260520" w:rsidRPr="003A05DB">
        <w:rPr>
          <w:rFonts w:ascii="Arial" w:hAnsi="Arial" w:cs="Arial"/>
          <w:color w:val="000000"/>
          <w:lang w:val="es-ES"/>
        </w:rPr>
        <w:t>, l</w:t>
      </w:r>
      <w:r w:rsidR="004777D8" w:rsidRPr="003A05DB">
        <w:rPr>
          <w:rFonts w:ascii="Arial" w:hAnsi="Arial" w:cs="Arial"/>
          <w:color w:val="000000"/>
          <w:lang w:val="es-ES"/>
        </w:rPr>
        <w:t xml:space="preserve">os cantones con mayor notificación </w:t>
      </w:r>
      <w:r w:rsidR="00260520" w:rsidRPr="003A05DB">
        <w:rPr>
          <w:rFonts w:ascii="Arial" w:hAnsi="Arial" w:cs="Arial"/>
          <w:color w:val="000000"/>
          <w:lang w:val="es-ES"/>
        </w:rPr>
        <w:t xml:space="preserve">de desnutrición </w:t>
      </w:r>
      <w:r w:rsidR="004777D8" w:rsidRPr="003A05DB">
        <w:rPr>
          <w:rFonts w:ascii="Arial" w:hAnsi="Arial" w:cs="Arial"/>
          <w:color w:val="000000"/>
          <w:lang w:val="es-ES"/>
        </w:rPr>
        <w:t>fueron Buenos Aire</w:t>
      </w:r>
      <w:r w:rsidR="00260520" w:rsidRPr="003A05DB">
        <w:rPr>
          <w:rFonts w:ascii="Arial" w:hAnsi="Arial" w:cs="Arial"/>
          <w:color w:val="000000"/>
          <w:lang w:val="es-ES"/>
        </w:rPr>
        <w:t>s</w:t>
      </w:r>
      <w:r w:rsidR="004777D8" w:rsidRPr="003A05DB">
        <w:rPr>
          <w:rFonts w:ascii="Arial" w:hAnsi="Arial" w:cs="Arial"/>
          <w:color w:val="000000"/>
          <w:lang w:val="es-ES"/>
        </w:rPr>
        <w:t>, Osa, Acosta y Tarrazú.</w:t>
      </w:r>
    </w:p>
    <w:p w:rsidR="004777D8" w:rsidRPr="003A05DB" w:rsidRDefault="004777D8" w:rsidP="004777D8">
      <w:pPr>
        <w:autoSpaceDE w:val="0"/>
        <w:autoSpaceDN w:val="0"/>
        <w:adjustRightInd w:val="0"/>
        <w:spacing w:line="276" w:lineRule="auto"/>
        <w:jc w:val="both"/>
        <w:rPr>
          <w:rFonts w:ascii="Arial" w:hAnsi="Arial" w:cs="Arial"/>
          <w:color w:val="000000"/>
          <w:lang w:val="es-ES"/>
        </w:rPr>
      </w:pPr>
    </w:p>
    <w:p w:rsidR="004777D8" w:rsidRDefault="004777D8" w:rsidP="004777D8">
      <w:pPr>
        <w:autoSpaceDE w:val="0"/>
        <w:autoSpaceDN w:val="0"/>
        <w:adjustRightInd w:val="0"/>
        <w:spacing w:line="276" w:lineRule="auto"/>
        <w:jc w:val="both"/>
        <w:rPr>
          <w:rFonts w:ascii="Arial" w:hAnsi="Arial" w:cs="Arial"/>
          <w:color w:val="000000"/>
        </w:rPr>
      </w:pPr>
      <w:r w:rsidRPr="003A05DB">
        <w:rPr>
          <w:rFonts w:ascii="Arial" w:hAnsi="Arial" w:cs="Arial"/>
          <w:color w:val="000000"/>
          <w:lang w:val="es-ES"/>
        </w:rPr>
        <w:t xml:space="preserve">La mortalidad por desnutrición en infantes menores de 5 años presenta tasas bajas en comparación </w:t>
      </w:r>
      <w:r w:rsidR="00260520" w:rsidRPr="003A05DB">
        <w:rPr>
          <w:rFonts w:ascii="Arial" w:hAnsi="Arial" w:cs="Arial"/>
          <w:color w:val="000000"/>
          <w:lang w:val="es-ES"/>
        </w:rPr>
        <w:t>con</w:t>
      </w:r>
      <w:r w:rsidRPr="003A05DB">
        <w:rPr>
          <w:rFonts w:ascii="Arial" w:hAnsi="Arial" w:cs="Arial"/>
          <w:color w:val="000000"/>
          <w:lang w:val="es-ES"/>
        </w:rPr>
        <w:t xml:space="preserve"> las tasas de </w:t>
      </w:r>
      <w:r w:rsidR="00260520" w:rsidRPr="003A05DB">
        <w:rPr>
          <w:rFonts w:ascii="Arial" w:hAnsi="Arial" w:cs="Arial"/>
          <w:color w:val="000000"/>
          <w:lang w:val="es-ES"/>
        </w:rPr>
        <w:t xml:space="preserve">otros </w:t>
      </w:r>
      <w:r w:rsidRPr="003A05DB">
        <w:rPr>
          <w:rFonts w:ascii="Arial" w:hAnsi="Arial" w:cs="Arial"/>
          <w:color w:val="000000"/>
          <w:lang w:val="es-ES"/>
        </w:rPr>
        <w:t>países centroamericanos</w:t>
      </w:r>
      <w:r w:rsidR="00260520" w:rsidRPr="003A05DB">
        <w:rPr>
          <w:rFonts w:ascii="Arial" w:hAnsi="Arial" w:cs="Arial"/>
          <w:color w:val="000000"/>
          <w:lang w:val="es-ES"/>
        </w:rPr>
        <w:t>. L</w:t>
      </w:r>
      <w:r w:rsidRPr="003A05DB">
        <w:rPr>
          <w:rFonts w:ascii="Arial" w:hAnsi="Arial" w:cs="Arial"/>
          <w:color w:val="000000"/>
          <w:lang w:val="es-ES"/>
        </w:rPr>
        <w:t xml:space="preserve">a tasa más alta se presentó en el 2014 </w:t>
      </w:r>
      <w:r w:rsidR="00260520" w:rsidRPr="003A05DB">
        <w:rPr>
          <w:rFonts w:ascii="Arial" w:hAnsi="Arial" w:cs="Arial"/>
          <w:color w:val="000000"/>
          <w:lang w:val="es-ES"/>
        </w:rPr>
        <w:t xml:space="preserve">y fue de </w:t>
      </w:r>
      <w:r w:rsidRPr="003A05DB">
        <w:rPr>
          <w:rFonts w:ascii="Arial" w:hAnsi="Arial" w:cs="Arial"/>
          <w:color w:val="000000"/>
          <w:lang w:val="es-ES"/>
        </w:rPr>
        <w:t>4.2 muertes por desnutrición por 100.000 habitantes</w:t>
      </w:r>
      <w:r w:rsidR="00260520" w:rsidRPr="003A05DB">
        <w:rPr>
          <w:rFonts w:ascii="Arial" w:hAnsi="Arial" w:cs="Arial"/>
          <w:color w:val="000000"/>
          <w:lang w:val="es-ES"/>
        </w:rPr>
        <w:t>.</w:t>
      </w:r>
      <w:r w:rsidRPr="003A05DB">
        <w:rPr>
          <w:rFonts w:ascii="Arial" w:hAnsi="Arial" w:cs="Arial"/>
          <w:color w:val="000000"/>
          <w:lang w:val="es-ES"/>
        </w:rPr>
        <w:t xml:space="preserve"> </w:t>
      </w:r>
      <w:r w:rsidR="00260520" w:rsidRPr="003A05DB">
        <w:rPr>
          <w:rFonts w:ascii="Arial" w:hAnsi="Arial" w:cs="Arial"/>
          <w:color w:val="000000"/>
          <w:lang w:val="es-ES"/>
        </w:rPr>
        <w:t>P</w:t>
      </w:r>
      <w:r w:rsidRPr="003A05DB">
        <w:rPr>
          <w:rFonts w:ascii="Arial" w:hAnsi="Arial" w:cs="Arial"/>
          <w:color w:val="000000"/>
          <w:lang w:val="es-ES"/>
        </w:rPr>
        <w:t xml:space="preserve">ara el 2015 y el 2017 la tasa por 100.000 habitantes correspondió </w:t>
      </w:r>
      <w:r w:rsidR="00260520" w:rsidRPr="003A05DB">
        <w:rPr>
          <w:rFonts w:ascii="Arial" w:hAnsi="Arial" w:cs="Arial"/>
          <w:color w:val="000000"/>
          <w:lang w:val="es-ES"/>
        </w:rPr>
        <w:t xml:space="preserve">fue de </w:t>
      </w:r>
      <w:r w:rsidRPr="003A05DB">
        <w:rPr>
          <w:rFonts w:ascii="Arial" w:hAnsi="Arial" w:cs="Arial"/>
          <w:color w:val="000000"/>
          <w:lang w:val="es-ES"/>
        </w:rPr>
        <w:t xml:space="preserve">1.4 y en el 2016 </w:t>
      </w:r>
      <w:r w:rsidR="00260520" w:rsidRPr="003A05DB">
        <w:rPr>
          <w:rFonts w:ascii="Arial" w:hAnsi="Arial" w:cs="Arial"/>
          <w:color w:val="000000"/>
          <w:lang w:val="es-ES"/>
        </w:rPr>
        <w:t>fue cero</w:t>
      </w:r>
      <w:r w:rsidRPr="003A05DB">
        <w:rPr>
          <w:rFonts w:ascii="Arial" w:hAnsi="Arial" w:cs="Arial"/>
          <w:color w:val="000000"/>
          <w:lang w:val="es-ES"/>
        </w:rPr>
        <w:t>. En el 2016</w:t>
      </w:r>
      <w:r w:rsidR="00260520" w:rsidRPr="003A05DB">
        <w:rPr>
          <w:rFonts w:ascii="Arial" w:hAnsi="Arial" w:cs="Arial"/>
          <w:color w:val="000000"/>
          <w:lang w:val="es-ES"/>
        </w:rPr>
        <w:t>,</w:t>
      </w:r>
      <w:r w:rsidRPr="003A05DB">
        <w:rPr>
          <w:rFonts w:ascii="Arial" w:hAnsi="Arial" w:cs="Arial"/>
          <w:color w:val="000000"/>
          <w:lang w:val="es-ES"/>
        </w:rPr>
        <w:t xml:space="preserve"> se presentó un</w:t>
      </w:r>
      <w:r w:rsidR="00260520" w:rsidRPr="003A05DB">
        <w:rPr>
          <w:rFonts w:ascii="Arial" w:hAnsi="Arial" w:cs="Arial"/>
          <w:color w:val="000000"/>
          <w:lang w:val="es-ES"/>
        </w:rPr>
        <w:t>a</w:t>
      </w:r>
      <w:r w:rsidRPr="003A05DB">
        <w:rPr>
          <w:rFonts w:ascii="Arial" w:hAnsi="Arial" w:cs="Arial"/>
          <w:color w:val="000000"/>
          <w:lang w:val="es-ES"/>
        </w:rPr>
        <w:t xml:space="preserve"> muerte por Kwashiorkor y no se han presentado </w:t>
      </w:r>
      <w:r w:rsidR="00260520" w:rsidRPr="003A05DB">
        <w:rPr>
          <w:rFonts w:ascii="Arial" w:hAnsi="Arial" w:cs="Arial"/>
          <w:color w:val="000000"/>
          <w:lang w:val="es-ES"/>
        </w:rPr>
        <w:t xml:space="preserve">muertes </w:t>
      </w:r>
      <w:r w:rsidRPr="003A05DB">
        <w:rPr>
          <w:rFonts w:ascii="Arial" w:hAnsi="Arial" w:cs="Arial"/>
          <w:color w:val="000000"/>
          <w:lang w:val="es-ES"/>
        </w:rPr>
        <w:t>por marasmo o Kwashiorkor marasmático</w:t>
      </w:r>
      <w:r w:rsidR="00260520" w:rsidRPr="003A05DB">
        <w:rPr>
          <w:rFonts w:ascii="Arial" w:hAnsi="Arial" w:cs="Arial"/>
          <w:color w:val="000000"/>
          <w:lang w:val="es-ES"/>
        </w:rPr>
        <w:t xml:space="preserve"> en el quinquenio</w:t>
      </w:r>
      <w:r w:rsidRPr="003A05DB">
        <w:rPr>
          <w:rFonts w:ascii="Arial" w:hAnsi="Arial" w:cs="Arial"/>
          <w:color w:val="000000"/>
          <w:lang w:val="es-ES"/>
        </w:rPr>
        <w:t xml:space="preserve">. </w:t>
      </w:r>
      <w:r w:rsidR="00260520">
        <w:rPr>
          <w:rFonts w:ascii="Arial" w:hAnsi="Arial" w:cs="Arial"/>
          <w:color w:val="000000"/>
        </w:rPr>
        <w:t>L</w:t>
      </w:r>
      <w:r>
        <w:rPr>
          <w:rFonts w:ascii="Arial" w:hAnsi="Arial" w:cs="Arial"/>
          <w:color w:val="000000"/>
        </w:rPr>
        <w:t xml:space="preserve">a mortalidad por desnutrición en adultos mayores, </w:t>
      </w:r>
      <w:r w:rsidR="00260520">
        <w:rPr>
          <w:rFonts w:ascii="Arial" w:hAnsi="Arial" w:cs="Arial"/>
          <w:color w:val="000000"/>
        </w:rPr>
        <w:t xml:space="preserve">se presenta en el rango de 75 años y más. La tasa más alta del quinquenio se presentó en el </w:t>
      </w:r>
      <w:r>
        <w:rPr>
          <w:rFonts w:ascii="Arial" w:hAnsi="Arial" w:cs="Arial"/>
          <w:color w:val="000000"/>
        </w:rPr>
        <w:t xml:space="preserve">2015 </w:t>
      </w:r>
      <w:r w:rsidR="00260520">
        <w:rPr>
          <w:rFonts w:ascii="Arial" w:hAnsi="Arial" w:cs="Arial"/>
          <w:color w:val="000000"/>
        </w:rPr>
        <w:t xml:space="preserve">y </w:t>
      </w:r>
      <w:r>
        <w:rPr>
          <w:rFonts w:ascii="Arial" w:hAnsi="Arial" w:cs="Arial"/>
          <w:color w:val="000000"/>
        </w:rPr>
        <w:t>fue de 13.2 muertes por 100.000 habitantes</w:t>
      </w:r>
      <w:r w:rsidR="00260520">
        <w:rPr>
          <w:rFonts w:ascii="Arial" w:hAnsi="Arial" w:cs="Arial"/>
          <w:color w:val="000000"/>
        </w:rPr>
        <w:t>,</w:t>
      </w:r>
      <w:r>
        <w:rPr>
          <w:rFonts w:ascii="Arial" w:hAnsi="Arial" w:cs="Arial"/>
          <w:color w:val="000000"/>
        </w:rPr>
        <w:t xml:space="preserve"> disminuyendo en el 2017 con </w:t>
      </w:r>
      <w:r w:rsidR="00260520">
        <w:rPr>
          <w:rFonts w:ascii="Arial" w:hAnsi="Arial" w:cs="Arial"/>
          <w:color w:val="000000"/>
        </w:rPr>
        <w:t xml:space="preserve">una tasas de </w:t>
      </w:r>
      <w:r>
        <w:rPr>
          <w:rFonts w:ascii="Arial" w:hAnsi="Arial" w:cs="Arial"/>
          <w:color w:val="000000"/>
        </w:rPr>
        <w:t>6 muertes por 100.000 habitantes.</w:t>
      </w:r>
    </w:p>
    <w:p w:rsidR="00845B3F" w:rsidRDefault="00845B3F">
      <w:pPr>
        <w:spacing w:after="160" w:line="259" w:lineRule="auto"/>
        <w:rPr>
          <w:rFonts w:ascii="Arial" w:hAnsi="Arial" w:cs="Arial"/>
          <w:color w:val="000000"/>
        </w:rPr>
      </w:pPr>
      <w:r>
        <w:rPr>
          <w:rFonts w:ascii="Arial" w:hAnsi="Arial" w:cs="Arial"/>
          <w:color w:val="000000"/>
        </w:rPr>
        <w:br w:type="page"/>
      </w:r>
    </w:p>
    <w:p w:rsidR="004777D8" w:rsidRPr="00845B3F" w:rsidRDefault="004777D8" w:rsidP="00845B3F">
      <w:pPr>
        <w:pStyle w:val="Ttulo3"/>
        <w:spacing w:after="240"/>
        <w:rPr>
          <w:rFonts w:ascii="Arial" w:hAnsi="Arial" w:cs="Arial"/>
          <w:b/>
          <w:color w:val="auto"/>
        </w:rPr>
      </w:pPr>
      <w:bookmarkStart w:id="22" w:name="_Toc7439660"/>
      <w:r w:rsidRPr="00845B3F">
        <w:rPr>
          <w:rFonts w:ascii="Arial" w:hAnsi="Arial" w:cs="Arial"/>
          <w:b/>
          <w:color w:val="auto"/>
        </w:rPr>
        <w:lastRenderedPageBreak/>
        <w:t xml:space="preserve">Baja </w:t>
      </w:r>
      <w:r w:rsidR="00260520" w:rsidRPr="00845B3F">
        <w:rPr>
          <w:rFonts w:ascii="Arial" w:hAnsi="Arial" w:cs="Arial"/>
          <w:b/>
          <w:color w:val="auto"/>
        </w:rPr>
        <w:t>t</w:t>
      </w:r>
      <w:r w:rsidRPr="00845B3F">
        <w:rPr>
          <w:rFonts w:ascii="Arial" w:hAnsi="Arial" w:cs="Arial"/>
          <w:b/>
          <w:color w:val="auto"/>
        </w:rPr>
        <w:t xml:space="preserve">alla o retardo en talla </w:t>
      </w:r>
      <w:r w:rsidR="00260520" w:rsidRPr="00845B3F">
        <w:rPr>
          <w:rFonts w:ascii="Arial" w:hAnsi="Arial" w:cs="Arial"/>
          <w:b/>
          <w:color w:val="auto"/>
        </w:rPr>
        <w:t>(</w:t>
      </w:r>
      <w:r w:rsidRPr="00845B3F">
        <w:rPr>
          <w:rFonts w:ascii="Arial" w:hAnsi="Arial" w:cs="Arial"/>
          <w:b/>
          <w:color w:val="auto"/>
        </w:rPr>
        <w:t>retardo del crecimiento).</w:t>
      </w:r>
      <w:bookmarkEnd w:id="22"/>
    </w:p>
    <w:p w:rsidR="004777D8" w:rsidRPr="003A05DB" w:rsidRDefault="004777D8" w:rsidP="004777D8">
      <w:pPr>
        <w:shd w:val="clear" w:color="auto" w:fill="FFFFFF"/>
        <w:spacing w:line="276" w:lineRule="auto"/>
        <w:jc w:val="both"/>
        <w:textAlignment w:val="baseline"/>
        <w:rPr>
          <w:rFonts w:ascii="Arial" w:eastAsia="Times New Roman" w:hAnsi="Arial" w:cs="Arial"/>
          <w:color w:val="333333"/>
          <w:szCs w:val="20"/>
          <w:lang w:val="es-ES" w:eastAsia="es-CR"/>
        </w:rPr>
      </w:pPr>
      <w:r w:rsidRPr="003A05DB">
        <w:rPr>
          <w:rFonts w:ascii="Arial" w:hAnsi="Arial" w:cs="Arial"/>
          <w:color w:val="000000"/>
          <w:lang w:val="es-ES"/>
        </w:rPr>
        <w:t>El ret</w:t>
      </w:r>
      <w:r w:rsidR="00260520" w:rsidRPr="003A05DB">
        <w:rPr>
          <w:rFonts w:ascii="Arial" w:hAnsi="Arial" w:cs="Arial"/>
          <w:color w:val="000000"/>
          <w:lang w:val="es-ES"/>
        </w:rPr>
        <w:t>ardo</w:t>
      </w:r>
      <w:r w:rsidRPr="003A05DB">
        <w:rPr>
          <w:rFonts w:ascii="Arial" w:hAnsi="Arial" w:cs="Arial"/>
          <w:color w:val="000000"/>
          <w:lang w:val="es-ES"/>
        </w:rPr>
        <w:t xml:space="preserve"> del crecimiento, o talla baja para la edad, se define como una estatura inferior en más de dos desviaciones típicas a la mediana de los patrones de crecimiento infantil de la Organización Mundial de la Salud</w:t>
      </w:r>
      <w:r w:rsidR="00260520" w:rsidRPr="003A05DB">
        <w:rPr>
          <w:rFonts w:ascii="Arial" w:hAnsi="Arial" w:cs="Arial"/>
          <w:color w:val="000000"/>
          <w:lang w:val="es-ES"/>
        </w:rPr>
        <w:t xml:space="preserve">. </w:t>
      </w:r>
      <w:r w:rsidRPr="003A05DB">
        <w:rPr>
          <w:rFonts w:ascii="Arial" w:hAnsi="Arial" w:cs="Arial"/>
          <w:color w:val="000000"/>
          <w:lang w:val="es-ES"/>
        </w:rPr>
        <w:t xml:space="preserve"> </w:t>
      </w:r>
      <w:r w:rsidRPr="003A05DB">
        <w:rPr>
          <w:rFonts w:ascii="Arial" w:hAnsi="Arial" w:cs="Arial"/>
          <w:lang w:val="es-ES"/>
        </w:rPr>
        <w:t>Es un resultado, en gran medida irreversible, de una nutrición inadecuada y brotes de infección repetidos durante los primeros 1</w:t>
      </w:r>
      <w:r w:rsidR="00260520" w:rsidRPr="003A05DB">
        <w:rPr>
          <w:rFonts w:ascii="Arial" w:hAnsi="Arial" w:cs="Arial"/>
          <w:lang w:val="es-ES"/>
        </w:rPr>
        <w:t>.</w:t>
      </w:r>
      <w:r w:rsidRPr="003A05DB">
        <w:rPr>
          <w:rFonts w:ascii="Arial" w:hAnsi="Arial" w:cs="Arial"/>
          <w:lang w:val="es-ES"/>
        </w:rPr>
        <w:t>000 días de vida. El ret</w:t>
      </w:r>
      <w:r w:rsidR="00260520" w:rsidRPr="003A05DB">
        <w:rPr>
          <w:rFonts w:ascii="Arial" w:hAnsi="Arial" w:cs="Arial"/>
          <w:lang w:val="es-ES"/>
        </w:rPr>
        <w:t>ardo</w:t>
      </w:r>
      <w:r w:rsidRPr="003A05DB">
        <w:rPr>
          <w:rFonts w:ascii="Arial" w:hAnsi="Arial" w:cs="Arial"/>
          <w:lang w:val="es-ES"/>
        </w:rPr>
        <w:t xml:space="preserve"> del crecimiento tiene una serie de efectos a largo plazo para los individuos y la sociedad: disminución del desarrollo cognitivo y físico, reducción de la capacidad productiva, mala salud y aumento del riesgo de enfermedades</w:t>
      </w:r>
      <w:r w:rsidR="00260520" w:rsidRPr="003A05DB">
        <w:rPr>
          <w:rFonts w:ascii="Arial" w:hAnsi="Arial" w:cs="Arial"/>
          <w:lang w:val="es-ES"/>
        </w:rPr>
        <w:t xml:space="preserve"> degenerativas como la diabetes.</w:t>
      </w:r>
    </w:p>
    <w:p w:rsidR="004777D8" w:rsidRPr="003A05DB" w:rsidRDefault="004777D8" w:rsidP="004777D8">
      <w:pPr>
        <w:autoSpaceDE w:val="0"/>
        <w:autoSpaceDN w:val="0"/>
        <w:adjustRightInd w:val="0"/>
        <w:spacing w:line="276" w:lineRule="auto"/>
        <w:jc w:val="both"/>
        <w:rPr>
          <w:rFonts w:ascii="Arial" w:hAnsi="Arial" w:cs="Arial"/>
          <w:color w:val="000000"/>
          <w:lang w:val="es-ES"/>
        </w:rPr>
      </w:pPr>
    </w:p>
    <w:p w:rsidR="0049051E" w:rsidRDefault="004777D8" w:rsidP="0049051E">
      <w:pPr>
        <w:autoSpaceDE w:val="0"/>
        <w:autoSpaceDN w:val="0"/>
        <w:adjustRightInd w:val="0"/>
        <w:spacing w:after="240" w:line="276" w:lineRule="auto"/>
        <w:jc w:val="both"/>
        <w:rPr>
          <w:rFonts w:ascii="Arial" w:hAnsi="Arial" w:cs="Arial"/>
          <w:color w:val="000000"/>
        </w:rPr>
      </w:pPr>
      <w:r>
        <w:rPr>
          <w:rFonts w:ascii="Arial" w:hAnsi="Arial" w:cs="Arial"/>
          <w:color w:val="000000"/>
        </w:rPr>
        <w:t xml:space="preserve">En la Encuesta Nacional de Nutrición del 2008 la prevalencia de desnutrición crónica en menores de cinco años </w:t>
      </w:r>
      <w:r w:rsidR="0049051E">
        <w:rPr>
          <w:rFonts w:ascii="Arial" w:hAnsi="Arial" w:cs="Arial"/>
          <w:color w:val="000000"/>
        </w:rPr>
        <w:t>fue de</w:t>
      </w:r>
      <w:r>
        <w:rPr>
          <w:rFonts w:ascii="Arial" w:hAnsi="Arial" w:cs="Arial"/>
          <w:color w:val="000000"/>
        </w:rPr>
        <w:t xml:space="preserve"> 5.6% a nivel nacional. En el Censo Escolar peso/talla del 2016</w:t>
      </w:r>
      <w:r w:rsidR="0049051E">
        <w:rPr>
          <w:rFonts w:ascii="Arial" w:hAnsi="Arial" w:cs="Arial"/>
          <w:color w:val="000000"/>
        </w:rPr>
        <w:t>,</w:t>
      </w:r>
      <w:r w:rsidRPr="00985345">
        <w:rPr>
          <w:rFonts w:ascii="Arial" w:hAnsi="Arial" w:cs="Arial"/>
          <w:color w:val="000000"/>
        </w:rPr>
        <w:t xml:space="preserve"> se evidenci</w:t>
      </w:r>
      <w:r w:rsidR="0049051E">
        <w:rPr>
          <w:rFonts w:ascii="Arial" w:hAnsi="Arial" w:cs="Arial"/>
          <w:color w:val="000000"/>
        </w:rPr>
        <w:t>ó</w:t>
      </w:r>
      <w:r w:rsidRPr="00985345">
        <w:rPr>
          <w:rFonts w:ascii="Arial" w:hAnsi="Arial" w:cs="Arial"/>
          <w:color w:val="000000"/>
        </w:rPr>
        <w:t xml:space="preserve"> una prevalencia de 3.6% de baja talla de la cual el 3.2% correspond</w:t>
      </w:r>
      <w:r w:rsidR="0049051E">
        <w:rPr>
          <w:rFonts w:ascii="Arial" w:hAnsi="Arial" w:cs="Arial"/>
          <w:color w:val="000000"/>
        </w:rPr>
        <w:t>ió</w:t>
      </w:r>
      <w:r w:rsidRPr="00985345">
        <w:rPr>
          <w:rFonts w:ascii="Arial" w:hAnsi="Arial" w:cs="Arial"/>
          <w:color w:val="000000"/>
        </w:rPr>
        <w:t xml:space="preserve"> a </w:t>
      </w:r>
      <w:r w:rsidR="0049051E">
        <w:rPr>
          <w:rFonts w:ascii="Arial" w:hAnsi="Arial" w:cs="Arial"/>
          <w:color w:val="000000"/>
        </w:rPr>
        <w:t>b</w:t>
      </w:r>
      <w:r w:rsidRPr="00985345">
        <w:rPr>
          <w:rFonts w:ascii="Arial" w:hAnsi="Arial" w:cs="Arial"/>
          <w:color w:val="000000"/>
        </w:rPr>
        <w:t xml:space="preserve">aja </w:t>
      </w:r>
      <w:r w:rsidR="0049051E">
        <w:rPr>
          <w:rFonts w:ascii="Arial" w:hAnsi="Arial" w:cs="Arial"/>
          <w:color w:val="000000"/>
        </w:rPr>
        <w:t>t</w:t>
      </w:r>
      <w:r w:rsidRPr="00985345">
        <w:rPr>
          <w:rFonts w:ascii="Arial" w:hAnsi="Arial" w:cs="Arial"/>
          <w:color w:val="000000"/>
        </w:rPr>
        <w:t xml:space="preserve">alla y el 0.4% a </w:t>
      </w:r>
      <w:r w:rsidR="0049051E">
        <w:rPr>
          <w:rFonts w:ascii="Arial" w:hAnsi="Arial" w:cs="Arial"/>
          <w:color w:val="000000"/>
        </w:rPr>
        <w:t>b</w:t>
      </w:r>
      <w:r w:rsidRPr="00985345">
        <w:rPr>
          <w:rFonts w:ascii="Arial" w:hAnsi="Arial" w:cs="Arial"/>
          <w:color w:val="000000"/>
        </w:rPr>
        <w:t xml:space="preserve">aja </w:t>
      </w:r>
      <w:r w:rsidR="0049051E">
        <w:rPr>
          <w:rFonts w:ascii="Arial" w:hAnsi="Arial" w:cs="Arial"/>
          <w:color w:val="000000"/>
        </w:rPr>
        <w:t>t</w:t>
      </w:r>
      <w:r w:rsidRPr="00985345">
        <w:rPr>
          <w:rFonts w:ascii="Arial" w:hAnsi="Arial" w:cs="Arial"/>
          <w:color w:val="000000"/>
        </w:rPr>
        <w:t xml:space="preserve">alla severa. </w:t>
      </w:r>
    </w:p>
    <w:p w:rsidR="004777D8" w:rsidRDefault="004777D8" w:rsidP="0049051E">
      <w:pPr>
        <w:autoSpaceDE w:val="0"/>
        <w:autoSpaceDN w:val="0"/>
        <w:adjustRightInd w:val="0"/>
        <w:spacing w:after="240" w:line="276" w:lineRule="auto"/>
        <w:jc w:val="both"/>
        <w:rPr>
          <w:rFonts w:ascii="Arial" w:hAnsi="Arial" w:cs="Arial"/>
          <w:color w:val="000000"/>
        </w:rPr>
      </w:pPr>
      <w:r w:rsidRPr="00985345">
        <w:rPr>
          <w:rFonts w:ascii="Arial" w:hAnsi="Arial" w:cs="Arial"/>
          <w:color w:val="000000"/>
        </w:rPr>
        <w:t xml:space="preserve">La prevalencia más elevada de baja talla se encontró en la población de zonas indígenas que asisten a centros educativos (16.0%), seguida por 5.4% en </w:t>
      </w:r>
      <w:r w:rsidR="0049051E">
        <w:rPr>
          <w:rFonts w:ascii="Arial" w:hAnsi="Arial" w:cs="Arial"/>
          <w:color w:val="000000"/>
        </w:rPr>
        <w:t xml:space="preserve">los niños que asisten a </w:t>
      </w:r>
      <w:r w:rsidRPr="00985345">
        <w:rPr>
          <w:rFonts w:ascii="Arial" w:hAnsi="Arial" w:cs="Arial"/>
          <w:color w:val="000000"/>
        </w:rPr>
        <w:t>C</w:t>
      </w:r>
      <w:r>
        <w:rPr>
          <w:rFonts w:ascii="Arial" w:hAnsi="Arial" w:cs="Arial"/>
          <w:color w:val="000000"/>
        </w:rPr>
        <w:t xml:space="preserve">EN-CINAI. La tasa de </w:t>
      </w:r>
      <w:r w:rsidR="0049051E">
        <w:rPr>
          <w:rFonts w:ascii="Arial" w:hAnsi="Arial" w:cs="Arial"/>
          <w:color w:val="000000"/>
        </w:rPr>
        <w:t>b</w:t>
      </w:r>
      <w:r>
        <w:rPr>
          <w:rFonts w:ascii="Arial" w:hAnsi="Arial" w:cs="Arial"/>
          <w:color w:val="000000"/>
        </w:rPr>
        <w:t>aja talla en el censo fue de 24.3 por 1</w:t>
      </w:r>
      <w:r w:rsidR="0049051E">
        <w:rPr>
          <w:rFonts w:ascii="Arial" w:hAnsi="Arial" w:cs="Arial"/>
          <w:color w:val="000000"/>
        </w:rPr>
        <w:t>.</w:t>
      </w:r>
      <w:r>
        <w:rPr>
          <w:rFonts w:ascii="Arial" w:hAnsi="Arial" w:cs="Arial"/>
          <w:color w:val="000000"/>
        </w:rPr>
        <w:t>000 habitantes.</w:t>
      </w:r>
    </w:p>
    <w:p w:rsidR="004777D8" w:rsidRPr="003A05DB" w:rsidRDefault="0049051E" w:rsidP="004777D8">
      <w:pPr>
        <w:autoSpaceDE w:val="0"/>
        <w:autoSpaceDN w:val="0"/>
        <w:adjustRightInd w:val="0"/>
        <w:spacing w:line="276" w:lineRule="auto"/>
        <w:jc w:val="both"/>
        <w:rPr>
          <w:rFonts w:ascii="Arial" w:hAnsi="Arial" w:cs="Arial"/>
          <w:color w:val="000000"/>
          <w:lang w:val="es-ES"/>
        </w:rPr>
      </w:pPr>
      <w:r w:rsidRPr="003A05DB">
        <w:rPr>
          <w:rFonts w:ascii="Arial" w:hAnsi="Arial" w:cs="Arial"/>
          <w:color w:val="000000"/>
          <w:lang w:val="es-ES"/>
        </w:rPr>
        <w:t>En el 2016 y el 2017 l</w:t>
      </w:r>
      <w:r w:rsidR="004777D8" w:rsidRPr="003A05DB">
        <w:rPr>
          <w:rFonts w:ascii="Arial" w:hAnsi="Arial" w:cs="Arial"/>
          <w:color w:val="000000"/>
          <w:lang w:val="es-ES"/>
        </w:rPr>
        <w:t xml:space="preserve">as tasas generales </w:t>
      </w:r>
      <w:r w:rsidRPr="003A05DB">
        <w:rPr>
          <w:rFonts w:ascii="Arial" w:hAnsi="Arial" w:cs="Arial"/>
          <w:color w:val="000000"/>
          <w:lang w:val="es-ES"/>
        </w:rPr>
        <w:t xml:space="preserve">de baja talla </w:t>
      </w:r>
      <w:r w:rsidR="004777D8" w:rsidRPr="003A05DB">
        <w:rPr>
          <w:rFonts w:ascii="Arial" w:hAnsi="Arial" w:cs="Arial"/>
          <w:color w:val="000000"/>
          <w:lang w:val="es-ES"/>
        </w:rPr>
        <w:t xml:space="preserve">en menores de 5 años </w:t>
      </w:r>
      <w:r w:rsidRPr="003A05DB">
        <w:rPr>
          <w:rFonts w:ascii="Arial" w:hAnsi="Arial" w:cs="Arial"/>
          <w:color w:val="000000"/>
          <w:lang w:val="es-ES"/>
        </w:rPr>
        <w:t xml:space="preserve">fueron de </w:t>
      </w:r>
      <w:r w:rsidR="004777D8" w:rsidRPr="003A05DB">
        <w:rPr>
          <w:rFonts w:ascii="Arial" w:hAnsi="Arial" w:cs="Arial"/>
          <w:color w:val="000000"/>
          <w:lang w:val="es-ES"/>
        </w:rPr>
        <w:t>2.5 y 2.2</w:t>
      </w:r>
      <w:r w:rsidRPr="003A05DB">
        <w:rPr>
          <w:rFonts w:ascii="Arial" w:hAnsi="Arial" w:cs="Arial"/>
          <w:color w:val="000000"/>
          <w:lang w:val="es-ES"/>
        </w:rPr>
        <w:t xml:space="preserve"> respectivamente</w:t>
      </w:r>
      <w:r w:rsidR="004777D8" w:rsidRPr="003A05DB">
        <w:rPr>
          <w:rFonts w:ascii="Arial" w:hAnsi="Arial" w:cs="Arial"/>
          <w:color w:val="000000"/>
          <w:lang w:val="es-ES"/>
        </w:rPr>
        <w:t xml:space="preserve">. La provincia que presento mayor </w:t>
      </w:r>
      <w:r w:rsidRPr="003A05DB">
        <w:rPr>
          <w:rFonts w:ascii="Arial" w:hAnsi="Arial" w:cs="Arial"/>
          <w:color w:val="000000"/>
          <w:lang w:val="es-ES"/>
        </w:rPr>
        <w:t xml:space="preserve">notificación </w:t>
      </w:r>
      <w:r w:rsidR="004777D8" w:rsidRPr="003A05DB">
        <w:rPr>
          <w:rFonts w:ascii="Arial" w:hAnsi="Arial" w:cs="Arial"/>
          <w:color w:val="000000"/>
          <w:lang w:val="es-ES"/>
        </w:rPr>
        <w:t xml:space="preserve">de </w:t>
      </w:r>
      <w:r w:rsidRPr="003A05DB">
        <w:rPr>
          <w:rFonts w:ascii="Arial" w:hAnsi="Arial" w:cs="Arial"/>
          <w:color w:val="000000"/>
          <w:lang w:val="es-ES"/>
        </w:rPr>
        <w:t>b</w:t>
      </w:r>
      <w:r w:rsidR="004777D8" w:rsidRPr="003A05DB">
        <w:rPr>
          <w:rFonts w:ascii="Arial" w:hAnsi="Arial" w:cs="Arial"/>
          <w:color w:val="000000"/>
          <w:lang w:val="es-ES"/>
        </w:rPr>
        <w:t>aja talla en ambos años</w:t>
      </w:r>
      <w:r w:rsidRPr="003A05DB">
        <w:rPr>
          <w:rFonts w:ascii="Arial" w:hAnsi="Arial" w:cs="Arial"/>
          <w:color w:val="000000"/>
          <w:lang w:val="es-ES"/>
        </w:rPr>
        <w:t>,</w:t>
      </w:r>
      <w:r w:rsidR="004777D8" w:rsidRPr="003A05DB">
        <w:rPr>
          <w:rFonts w:ascii="Arial" w:hAnsi="Arial" w:cs="Arial"/>
          <w:color w:val="000000"/>
          <w:lang w:val="es-ES"/>
        </w:rPr>
        <w:t xml:space="preserve"> fue </w:t>
      </w:r>
      <w:r w:rsidRPr="003A05DB">
        <w:rPr>
          <w:rFonts w:ascii="Arial" w:hAnsi="Arial" w:cs="Arial"/>
          <w:color w:val="000000"/>
          <w:lang w:val="es-ES"/>
        </w:rPr>
        <w:t xml:space="preserve">la de </w:t>
      </w:r>
      <w:r w:rsidR="004777D8" w:rsidRPr="003A05DB">
        <w:rPr>
          <w:rFonts w:ascii="Arial" w:hAnsi="Arial" w:cs="Arial"/>
          <w:color w:val="000000"/>
          <w:lang w:val="es-ES"/>
        </w:rPr>
        <w:t>San José</w:t>
      </w:r>
      <w:r w:rsidRPr="003A05DB">
        <w:rPr>
          <w:rFonts w:ascii="Arial" w:hAnsi="Arial" w:cs="Arial"/>
          <w:color w:val="000000"/>
          <w:lang w:val="es-ES"/>
        </w:rPr>
        <w:t>,</w:t>
      </w:r>
      <w:r w:rsidR="004777D8" w:rsidRPr="003A05DB">
        <w:rPr>
          <w:rFonts w:ascii="Arial" w:hAnsi="Arial" w:cs="Arial"/>
          <w:color w:val="000000"/>
          <w:lang w:val="es-ES"/>
        </w:rPr>
        <w:t xml:space="preserve"> seguida de Puntarenas</w:t>
      </w:r>
      <w:r w:rsidRPr="003A05DB">
        <w:rPr>
          <w:rFonts w:ascii="Arial" w:hAnsi="Arial" w:cs="Arial"/>
          <w:color w:val="000000"/>
          <w:lang w:val="es-ES"/>
        </w:rPr>
        <w:t>.</w:t>
      </w:r>
      <w:r w:rsidR="004777D8" w:rsidRPr="003A05DB">
        <w:rPr>
          <w:rFonts w:ascii="Arial" w:hAnsi="Arial" w:cs="Arial"/>
          <w:color w:val="000000"/>
          <w:lang w:val="es-ES"/>
        </w:rPr>
        <w:t xml:space="preserve"> </w:t>
      </w:r>
      <w:r w:rsidRPr="003A05DB">
        <w:rPr>
          <w:rFonts w:ascii="Arial" w:hAnsi="Arial" w:cs="Arial"/>
          <w:color w:val="000000"/>
          <w:lang w:val="es-ES"/>
        </w:rPr>
        <w:t>E</w:t>
      </w:r>
      <w:r w:rsidR="004777D8" w:rsidRPr="003A05DB">
        <w:rPr>
          <w:rFonts w:ascii="Arial" w:hAnsi="Arial" w:cs="Arial"/>
          <w:color w:val="000000"/>
          <w:lang w:val="es-ES"/>
        </w:rPr>
        <w:t>n el 2017, Alajuela, Heredia</w:t>
      </w:r>
      <w:r w:rsidRPr="003A05DB">
        <w:rPr>
          <w:rFonts w:ascii="Arial" w:hAnsi="Arial" w:cs="Arial"/>
          <w:color w:val="000000"/>
          <w:lang w:val="es-ES"/>
        </w:rPr>
        <w:t>,</w:t>
      </w:r>
      <w:r w:rsidR="004777D8" w:rsidRPr="003A05DB">
        <w:rPr>
          <w:rFonts w:ascii="Arial" w:hAnsi="Arial" w:cs="Arial"/>
          <w:color w:val="000000"/>
          <w:lang w:val="es-ES"/>
        </w:rPr>
        <w:t xml:space="preserve"> G</w:t>
      </w:r>
      <w:r w:rsidRPr="003A05DB">
        <w:rPr>
          <w:rFonts w:ascii="Arial" w:hAnsi="Arial" w:cs="Arial"/>
          <w:color w:val="000000"/>
          <w:lang w:val="es-ES"/>
        </w:rPr>
        <w:t xml:space="preserve">uanacaste y Limón no notificaron </w:t>
      </w:r>
      <w:r w:rsidR="004777D8" w:rsidRPr="003A05DB">
        <w:rPr>
          <w:rFonts w:ascii="Arial" w:hAnsi="Arial" w:cs="Arial"/>
          <w:color w:val="000000"/>
          <w:lang w:val="es-ES"/>
        </w:rPr>
        <w:t xml:space="preserve">casos </w:t>
      </w:r>
      <w:r w:rsidRPr="003A05DB">
        <w:rPr>
          <w:rFonts w:ascii="Arial" w:hAnsi="Arial" w:cs="Arial"/>
          <w:color w:val="000000"/>
          <w:lang w:val="es-ES"/>
        </w:rPr>
        <w:t>de este evento. En este mismo año, l</w:t>
      </w:r>
      <w:r w:rsidR="004777D8" w:rsidRPr="003A05DB">
        <w:rPr>
          <w:rFonts w:ascii="Arial" w:hAnsi="Arial" w:cs="Arial"/>
          <w:color w:val="000000"/>
          <w:lang w:val="es-ES"/>
        </w:rPr>
        <w:t xml:space="preserve">os cantones con más </w:t>
      </w:r>
      <w:r w:rsidRPr="003A05DB">
        <w:rPr>
          <w:rFonts w:ascii="Arial" w:hAnsi="Arial" w:cs="Arial"/>
          <w:color w:val="000000"/>
          <w:lang w:val="es-ES"/>
        </w:rPr>
        <w:t xml:space="preserve">notificaciones fueron </w:t>
      </w:r>
      <w:r w:rsidR="004777D8" w:rsidRPr="003A05DB">
        <w:rPr>
          <w:rFonts w:ascii="Arial" w:hAnsi="Arial" w:cs="Arial"/>
          <w:color w:val="000000"/>
          <w:lang w:val="es-ES"/>
        </w:rPr>
        <w:t>Pérez Zeledón y Dota.</w:t>
      </w:r>
    </w:p>
    <w:p w:rsidR="00845B3F" w:rsidRPr="003A05DB" w:rsidRDefault="00845B3F" w:rsidP="004777D8">
      <w:pPr>
        <w:autoSpaceDE w:val="0"/>
        <w:autoSpaceDN w:val="0"/>
        <w:adjustRightInd w:val="0"/>
        <w:spacing w:line="276" w:lineRule="auto"/>
        <w:jc w:val="both"/>
        <w:rPr>
          <w:rFonts w:ascii="Arial" w:hAnsi="Arial" w:cs="Arial"/>
          <w:color w:val="000000"/>
          <w:lang w:val="es-ES"/>
        </w:rPr>
      </w:pPr>
    </w:p>
    <w:p w:rsidR="004777D8" w:rsidRPr="00845B3F" w:rsidRDefault="004777D8" w:rsidP="00845B3F">
      <w:pPr>
        <w:pStyle w:val="Ttulo3"/>
        <w:spacing w:after="240"/>
        <w:rPr>
          <w:rFonts w:ascii="Arial" w:hAnsi="Arial" w:cs="Arial"/>
          <w:b/>
          <w:color w:val="auto"/>
        </w:rPr>
      </w:pPr>
      <w:bookmarkStart w:id="23" w:name="_Toc7439661"/>
      <w:r w:rsidRPr="00845B3F">
        <w:rPr>
          <w:rFonts w:ascii="Arial" w:hAnsi="Arial" w:cs="Arial"/>
          <w:b/>
          <w:color w:val="auto"/>
        </w:rPr>
        <w:t>Sobrepeso y Obesidad</w:t>
      </w:r>
      <w:bookmarkEnd w:id="23"/>
    </w:p>
    <w:p w:rsidR="00257CAC" w:rsidRDefault="00257CAC" w:rsidP="00257CAC">
      <w:pPr>
        <w:pStyle w:val="Default"/>
        <w:spacing w:after="240" w:line="276" w:lineRule="auto"/>
        <w:jc w:val="both"/>
        <w:rPr>
          <w:rFonts w:ascii="Arial" w:hAnsi="Arial" w:cs="Arial"/>
        </w:rPr>
      </w:pPr>
      <w:r>
        <w:rPr>
          <w:rFonts w:ascii="Arial" w:hAnsi="Arial" w:cs="Arial"/>
        </w:rPr>
        <w:t>La</w:t>
      </w:r>
      <w:r w:rsidRPr="00FA070E">
        <w:rPr>
          <w:rFonts w:ascii="Arial" w:hAnsi="Arial" w:cs="Arial"/>
        </w:rPr>
        <w:t xml:space="preserve"> obesidad </w:t>
      </w:r>
      <w:r>
        <w:rPr>
          <w:rFonts w:ascii="Arial" w:hAnsi="Arial" w:cs="Arial"/>
        </w:rPr>
        <w:t xml:space="preserve">se define </w:t>
      </w:r>
      <w:r w:rsidRPr="00FA070E">
        <w:rPr>
          <w:rFonts w:ascii="Arial" w:hAnsi="Arial" w:cs="Arial"/>
        </w:rPr>
        <w:t xml:space="preserve">como </w:t>
      </w:r>
      <w:r>
        <w:rPr>
          <w:rFonts w:ascii="Arial" w:hAnsi="Arial" w:cs="Arial"/>
        </w:rPr>
        <w:t>el</w:t>
      </w:r>
      <w:r w:rsidRPr="00FA070E">
        <w:rPr>
          <w:rFonts w:ascii="Arial" w:hAnsi="Arial" w:cs="Arial"/>
        </w:rPr>
        <w:t xml:space="preserve"> exceso de grasa corporal (tejido adiposo), acompañado por un aumento en la relación entre el peso y la estatura</w:t>
      </w:r>
      <w:r>
        <w:rPr>
          <w:rFonts w:ascii="Arial" w:hAnsi="Arial" w:cs="Arial"/>
        </w:rPr>
        <w:t>;</w:t>
      </w:r>
      <w:r w:rsidRPr="00FA070E">
        <w:rPr>
          <w:rFonts w:ascii="Arial" w:hAnsi="Arial" w:cs="Arial"/>
        </w:rPr>
        <w:t xml:space="preserve"> </w:t>
      </w:r>
      <w:r>
        <w:rPr>
          <w:rFonts w:ascii="Arial" w:hAnsi="Arial" w:cs="Arial"/>
        </w:rPr>
        <w:t xml:space="preserve">se mide por medio </w:t>
      </w:r>
      <w:r w:rsidRPr="00FA070E">
        <w:rPr>
          <w:rFonts w:ascii="Arial" w:hAnsi="Arial" w:cs="Arial"/>
        </w:rPr>
        <w:t>del Índice de Masa Corporal</w:t>
      </w:r>
      <w:r>
        <w:rPr>
          <w:rFonts w:ascii="Arial" w:hAnsi="Arial" w:cs="Arial"/>
        </w:rPr>
        <w:t xml:space="preserve"> (IMC)</w:t>
      </w:r>
      <w:r w:rsidRPr="00FA070E">
        <w:rPr>
          <w:rFonts w:ascii="Arial" w:hAnsi="Arial" w:cs="Arial"/>
        </w:rPr>
        <w:t xml:space="preserve">. </w:t>
      </w:r>
      <w:r>
        <w:rPr>
          <w:rFonts w:ascii="Arial" w:hAnsi="Arial" w:cs="Arial"/>
        </w:rPr>
        <w:t>Tanto e</w:t>
      </w:r>
      <w:r w:rsidRPr="00FA070E">
        <w:rPr>
          <w:rFonts w:ascii="Arial" w:hAnsi="Arial" w:cs="Arial"/>
        </w:rPr>
        <w:t xml:space="preserve">l sobrepeso </w:t>
      </w:r>
      <w:r>
        <w:rPr>
          <w:rFonts w:ascii="Arial" w:hAnsi="Arial" w:cs="Arial"/>
        </w:rPr>
        <w:t>como</w:t>
      </w:r>
      <w:r w:rsidRPr="00FA070E">
        <w:rPr>
          <w:rFonts w:ascii="Arial" w:hAnsi="Arial" w:cs="Arial"/>
        </w:rPr>
        <w:t xml:space="preserve"> la obesidad </w:t>
      </w:r>
      <w:r>
        <w:rPr>
          <w:rFonts w:ascii="Arial" w:hAnsi="Arial" w:cs="Arial"/>
        </w:rPr>
        <w:t xml:space="preserve">constituyen </w:t>
      </w:r>
      <w:r w:rsidRPr="00FA070E">
        <w:rPr>
          <w:rFonts w:ascii="Arial" w:hAnsi="Arial" w:cs="Arial"/>
        </w:rPr>
        <w:t>trastorno</w:t>
      </w:r>
      <w:r>
        <w:rPr>
          <w:rFonts w:ascii="Arial" w:hAnsi="Arial" w:cs="Arial"/>
        </w:rPr>
        <w:t>s</w:t>
      </w:r>
      <w:r w:rsidRPr="00FA070E">
        <w:rPr>
          <w:rFonts w:ascii="Arial" w:hAnsi="Arial" w:cs="Arial"/>
        </w:rPr>
        <w:t xml:space="preserve"> crónico</w:t>
      </w:r>
      <w:r>
        <w:rPr>
          <w:rFonts w:ascii="Arial" w:hAnsi="Arial" w:cs="Arial"/>
        </w:rPr>
        <w:t>s</w:t>
      </w:r>
      <w:r w:rsidRPr="00FA070E">
        <w:rPr>
          <w:rFonts w:ascii="Arial" w:hAnsi="Arial" w:cs="Arial"/>
        </w:rPr>
        <w:t xml:space="preserve"> y multi</w:t>
      </w:r>
      <w:r>
        <w:rPr>
          <w:rFonts w:ascii="Arial" w:hAnsi="Arial" w:cs="Arial"/>
        </w:rPr>
        <w:t xml:space="preserve">factoriales, que constituyen </w:t>
      </w:r>
      <w:r w:rsidRPr="00FA070E">
        <w:rPr>
          <w:rFonts w:ascii="Arial" w:hAnsi="Arial" w:cs="Arial"/>
        </w:rPr>
        <w:t xml:space="preserve">factores de </w:t>
      </w:r>
      <w:r>
        <w:rPr>
          <w:rFonts w:ascii="Arial" w:hAnsi="Arial" w:cs="Arial"/>
        </w:rPr>
        <w:t xml:space="preserve">riesgo de </w:t>
      </w:r>
      <w:r w:rsidRPr="00FA070E">
        <w:rPr>
          <w:rFonts w:ascii="Arial" w:hAnsi="Arial" w:cs="Arial"/>
        </w:rPr>
        <w:t>diferentes enfermedades, entre ellas: la diabetes mellit</w:t>
      </w:r>
      <w:r>
        <w:rPr>
          <w:rFonts w:ascii="Arial" w:hAnsi="Arial" w:cs="Arial"/>
        </w:rPr>
        <w:t>us, la hipertensión y el cáncer.</w:t>
      </w:r>
      <w:r w:rsidRPr="00FA070E">
        <w:rPr>
          <w:rFonts w:ascii="Arial" w:hAnsi="Arial" w:cs="Arial"/>
        </w:rPr>
        <w:t xml:space="preserve"> </w:t>
      </w:r>
    </w:p>
    <w:p w:rsidR="00845B3F" w:rsidRDefault="004777D8" w:rsidP="00257CAC">
      <w:pPr>
        <w:pStyle w:val="Default"/>
        <w:spacing w:after="240" w:line="276" w:lineRule="auto"/>
        <w:jc w:val="both"/>
        <w:rPr>
          <w:rFonts w:ascii="Arial" w:hAnsi="Arial" w:cs="Arial"/>
        </w:rPr>
      </w:pPr>
      <w:r w:rsidRPr="0049051E">
        <w:rPr>
          <w:rFonts w:ascii="Arial" w:hAnsi="Arial" w:cs="Arial"/>
        </w:rPr>
        <w:t>Costa Rica ha alcanzado importantes avances en la reducción de la desnutrición</w:t>
      </w:r>
      <w:r w:rsidR="00FA070E">
        <w:rPr>
          <w:rFonts w:ascii="Arial" w:hAnsi="Arial" w:cs="Arial"/>
        </w:rPr>
        <w:t>,</w:t>
      </w:r>
      <w:r w:rsidRPr="0049051E">
        <w:rPr>
          <w:rFonts w:ascii="Arial" w:hAnsi="Arial" w:cs="Arial"/>
        </w:rPr>
        <w:t xml:space="preserve"> </w:t>
      </w:r>
      <w:r w:rsidR="00257CAC">
        <w:rPr>
          <w:rFonts w:ascii="Arial" w:hAnsi="Arial" w:cs="Arial"/>
        </w:rPr>
        <w:t>s</w:t>
      </w:r>
      <w:r w:rsidRPr="0049051E">
        <w:rPr>
          <w:rFonts w:ascii="Arial" w:hAnsi="Arial" w:cs="Arial"/>
        </w:rPr>
        <w:t>in embargo</w:t>
      </w:r>
      <w:r w:rsidR="00FA070E">
        <w:rPr>
          <w:rFonts w:ascii="Arial" w:hAnsi="Arial" w:cs="Arial"/>
        </w:rPr>
        <w:t>,</w:t>
      </w:r>
      <w:r w:rsidRPr="0049051E">
        <w:rPr>
          <w:rFonts w:ascii="Arial" w:hAnsi="Arial" w:cs="Arial"/>
        </w:rPr>
        <w:t xml:space="preserve"> </w:t>
      </w:r>
      <w:r w:rsidR="00257CAC">
        <w:rPr>
          <w:rFonts w:ascii="Arial" w:hAnsi="Arial" w:cs="Arial"/>
        </w:rPr>
        <w:t>el</w:t>
      </w:r>
      <w:r w:rsidRPr="0049051E">
        <w:rPr>
          <w:rFonts w:ascii="Arial" w:hAnsi="Arial" w:cs="Arial"/>
        </w:rPr>
        <w:t xml:space="preserve"> </w:t>
      </w:r>
      <w:r w:rsidR="00257CAC">
        <w:rPr>
          <w:rFonts w:ascii="Arial" w:hAnsi="Arial" w:cs="Arial"/>
        </w:rPr>
        <w:t>sobrepeso y la obesidad</w:t>
      </w:r>
      <w:r w:rsidRPr="0049051E">
        <w:rPr>
          <w:rFonts w:ascii="Arial" w:hAnsi="Arial" w:cs="Arial"/>
        </w:rPr>
        <w:t xml:space="preserve"> </w:t>
      </w:r>
      <w:r w:rsidR="00257CAC">
        <w:rPr>
          <w:rFonts w:ascii="Arial" w:hAnsi="Arial" w:cs="Arial"/>
        </w:rPr>
        <w:t xml:space="preserve">constituyen </w:t>
      </w:r>
      <w:r w:rsidRPr="0049051E">
        <w:rPr>
          <w:rFonts w:ascii="Arial" w:hAnsi="Arial" w:cs="Arial"/>
        </w:rPr>
        <w:t xml:space="preserve">un problema creciente. </w:t>
      </w:r>
      <w:r w:rsidRPr="00FB188A">
        <w:rPr>
          <w:rFonts w:ascii="Arial" w:hAnsi="Arial" w:cs="Arial"/>
        </w:rPr>
        <w:t>La Encuesta Nacional de Nutrición del 2008 mostr</w:t>
      </w:r>
      <w:r w:rsidR="00FA070E">
        <w:rPr>
          <w:rFonts w:ascii="Arial" w:hAnsi="Arial" w:cs="Arial"/>
        </w:rPr>
        <w:t>ó</w:t>
      </w:r>
      <w:r w:rsidRPr="00FB188A">
        <w:rPr>
          <w:rFonts w:ascii="Arial" w:hAnsi="Arial" w:cs="Arial"/>
        </w:rPr>
        <w:t xml:space="preserve"> que 3 de cada 10 niños presenta</w:t>
      </w:r>
      <w:r>
        <w:rPr>
          <w:rFonts w:ascii="Arial" w:hAnsi="Arial" w:cs="Arial"/>
        </w:rPr>
        <w:t>ron</w:t>
      </w:r>
      <w:r w:rsidRPr="00FB188A">
        <w:rPr>
          <w:rFonts w:ascii="Arial" w:hAnsi="Arial" w:cs="Arial"/>
        </w:rPr>
        <w:t xml:space="preserve"> problemas de sobrepeso y obesidad. El 8.1%</w:t>
      </w:r>
      <w:r w:rsidR="00FA070E">
        <w:rPr>
          <w:rFonts w:ascii="Arial" w:hAnsi="Arial" w:cs="Arial"/>
        </w:rPr>
        <w:t xml:space="preserve"> </w:t>
      </w:r>
      <w:r w:rsidRPr="00FB188A">
        <w:rPr>
          <w:rFonts w:ascii="Arial" w:hAnsi="Arial" w:cs="Arial"/>
        </w:rPr>
        <w:t>de los niños entre 1-4 años present</w:t>
      </w:r>
      <w:r w:rsidR="00257CAC">
        <w:rPr>
          <w:rFonts w:ascii="Arial" w:hAnsi="Arial" w:cs="Arial"/>
        </w:rPr>
        <w:t xml:space="preserve">ó </w:t>
      </w:r>
      <w:r w:rsidRPr="00FB188A">
        <w:rPr>
          <w:rFonts w:ascii="Arial" w:hAnsi="Arial" w:cs="Arial"/>
        </w:rPr>
        <w:t>sobrepeso y el 11</w:t>
      </w:r>
      <w:r>
        <w:rPr>
          <w:rFonts w:ascii="Arial" w:hAnsi="Arial" w:cs="Arial"/>
        </w:rPr>
        <w:t>,</w:t>
      </w:r>
      <w:r w:rsidRPr="00FB188A">
        <w:rPr>
          <w:rFonts w:ascii="Arial" w:hAnsi="Arial" w:cs="Arial"/>
        </w:rPr>
        <w:t xml:space="preserve">8% de los niños entre 5-12 años sobrepeso y el 9,6% </w:t>
      </w:r>
      <w:r>
        <w:rPr>
          <w:rFonts w:ascii="Arial" w:hAnsi="Arial" w:cs="Arial"/>
        </w:rPr>
        <w:t>obes</w:t>
      </w:r>
      <w:r w:rsidR="00257CAC">
        <w:rPr>
          <w:rFonts w:ascii="Arial" w:hAnsi="Arial" w:cs="Arial"/>
        </w:rPr>
        <w:t>idad</w:t>
      </w:r>
      <w:r>
        <w:rPr>
          <w:rFonts w:ascii="Arial" w:hAnsi="Arial" w:cs="Arial"/>
        </w:rPr>
        <w:t>.</w:t>
      </w:r>
      <w:r w:rsidRPr="00FB188A">
        <w:rPr>
          <w:rFonts w:ascii="Arial" w:hAnsi="Arial" w:cs="Arial"/>
        </w:rPr>
        <w:t xml:space="preserve"> </w:t>
      </w:r>
    </w:p>
    <w:p w:rsidR="004777D8" w:rsidRPr="00E053E7" w:rsidRDefault="008319B8" w:rsidP="00257CAC">
      <w:pPr>
        <w:pStyle w:val="Default"/>
        <w:spacing w:after="240" w:line="276" w:lineRule="auto"/>
        <w:jc w:val="both"/>
        <w:rPr>
          <w:rFonts w:ascii="Arial" w:hAnsi="Arial" w:cs="Arial"/>
        </w:rPr>
      </w:pPr>
      <w:r>
        <w:rPr>
          <w:rFonts w:ascii="Arial" w:hAnsi="Arial" w:cs="Arial"/>
        </w:rPr>
        <w:lastRenderedPageBreak/>
        <w:t xml:space="preserve">La tasa por 1.000 habitantes de </w:t>
      </w:r>
      <w:r w:rsidR="004777D8" w:rsidRPr="00E053E7">
        <w:rPr>
          <w:rFonts w:ascii="Arial" w:hAnsi="Arial" w:cs="Arial"/>
        </w:rPr>
        <w:t xml:space="preserve">sobrepeso en </w:t>
      </w:r>
      <w:r>
        <w:rPr>
          <w:rFonts w:ascii="Arial" w:hAnsi="Arial" w:cs="Arial"/>
        </w:rPr>
        <w:t xml:space="preserve">la </w:t>
      </w:r>
      <w:r w:rsidR="004777D8" w:rsidRPr="00E053E7">
        <w:rPr>
          <w:rFonts w:ascii="Arial" w:hAnsi="Arial" w:cs="Arial"/>
        </w:rPr>
        <w:t xml:space="preserve">población escolar, del </w:t>
      </w:r>
      <w:r w:rsidR="004777D8">
        <w:rPr>
          <w:rFonts w:ascii="Arial" w:hAnsi="Arial" w:cs="Arial"/>
        </w:rPr>
        <w:t>C</w:t>
      </w:r>
      <w:r w:rsidR="004777D8" w:rsidRPr="00E053E7">
        <w:rPr>
          <w:rFonts w:ascii="Arial" w:hAnsi="Arial" w:cs="Arial"/>
        </w:rPr>
        <w:t xml:space="preserve">enso </w:t>
      </w:r>
      <w:r w:rsidR="004777D8">
        <w:rPr>
          <w:rFonts w:ascii="Arial" w:hAnsi="Arial" w:cs="Arial"/>
        </w:rPr>
        <w:t>E</w:t>
      </w:r>
      <w:r w:rsidR="004777D8" w:rsidRPr="00E053E7">
        <w:rPr>
          <w:rFonts w:ascii="Arial" w:hAnsi="Arial" w:cs="Arial"/>
        </w:rPr>
        <w:t xml:space="preserve">scolar </w:t>
      </w:r>
      <w:r w:rsidR="004777D8">
        <w:rPr>
          <w:rFonts w:ascii="Arial" w:hAnsi="Arial" w:cs="Arial"/>
        </w:rPr>
        <w:t>Peso/T</w:t>
      </w:r>
      <w:r w:rsidR="004777D8" w:rsidRPr="00E053E7">
        <w:rPr>
          <w:rFonts w:ascii="Arial" w:hAnsi="Arial" w:cs="Arial"/>
        </w:rPr>
        <w:t xml:space="preserve">alla </w:t>
      </w:r>
      <w:r w:rsidR="004777D8">
        <w:rPr>
          <w:rFonts w:ascii="Arial" w:hAnsi="Arial" w:cs="Arial"/>
        </w:rPr>
        <w:t xml:space="preserve">de </w:t>
      </w:r>
      <w:r w:rsidR="004777D8" w:rsidRPr="00E053E7">
        <w:rPr>
          <w:rFonts w:ascii="Arial" w:hAnsi="Arial" w:cs="Arial"/>
        </w:rPr>
        <w:t>2016</w:t>
      </w:r>
      <w:r w:rsidR="004777D8">
        <w:rPr>
          <w:rFonts w:ascii="Arial" w:hAnsi="Arial" w:cs="Arial"/>
        </w:rPr>
        <w:t xml:space="preserve">, </w:t>
      </w:r>
      <w:r>
        <w:rPr>
          <w:rFonts w:ascii="Arial" w:hAnsi="Arial" w:cs="Arial"/>
        </w:rPr>
        <w:t xml:space="preserve">fue de </w:t>
      </w:r>
      <w:r w:rsidRPr="00E053E7">
        <w:rPr>
          <w:rFonts w:ascii="Arial" w:hAnsi="Arial" w:cs="Arial"/>
        </w:rPr>
        <w:t xml:space="preserve">137,7 </w:t>
      </w:r>
      <w:r>
        <w:rPr>
          <w:rFonts w:ascii="Arial" w:hAnsi="Arial" w:cs="Arial"/>
        </w:rPr>
        <w:t xml:space="preserve">para las </w:t>
      </w:r>
      <w:r w:rsidR="004777D8" w:rsidRPr="00E053E7">
        <w:rPr>
          <w:rFonts w:ascii="Arial" w:hAnsi="Arial" w:cs="Arial"/>
        </w:rPr>
        <w:t xml:space="preserve"> mujeres </w:t>
      </w:r>
      <w:r>
        <w:rPr>
          <w:rFonts w:ascii="Arial" w:hAnsi="Arial" w:cs="Arial"/>
        </w:rPr>
        <w:t xml:space="preserve">y de </w:t>
      </w:r>
      <w:r w:rsidRPr="00E053E7">
        <w:rPr>
          <w:rFonts w:ascii="Arial" w:hAnsi="Arial" w:cs="Arial"/>
        </w:rPr>
        <w:t xml:space="preserve">128,1 </w:t>
      </w:r>
      <w:r>
        <w:rPr>
          <w:rFonts w:ascii="Arial" w:hAnsi="Arial" w:cs="Arial"/>
        </w:rPr>
        <w:t xml:space="preserve">para los </w:t>
      </w:r>
      <w:r w:rsidR="004777D8" w:rsidRPr="00E053E7">
        <w:rPr>
          <w:rFonts w:ascii="Arial" w:hAnsi="Arial" w:cs="Arial"/>
        </w:rPr>
        <w:t>hombres. Sin embargo, los hombres presenta</w:t>
      </w:r>
      <w:r>
        <w:rPr>
          <w:rFonts w:ascii="Arial" w:hAnsi="Arial" w:cs="Arial"/>
        </w:rPr>
        <w:t>ron</w:t>
      </w:r>
      <w:r w:rsidR="004777D8" w:rsidRPr="00E053E7">
        <w:rPr>
          <w:rFonts w:ascii="Arial" w:hAnsi="Arial" w:cs="Arial"/>
        </w:rPr>
        <w:t xml:space="preserve"> </w:t>
      </w:r>
      <w:r>
        <w:rPr>
          <w:rFonts w:ascii="Arial" w:hAnsi="Arial" w:cs="Arial"/>
        </w:rPr>
        <w:t xml:space="preserve">una </w:t>
      </w:r>
      <w:r w:rsidR="004777D8" w:rsidRPr="00E053E7">
        <w:rPr>
          <w:rFonts w:ascii="Arial" w:hAnsi="Arial" w:cs="Arial"/>
        </w:rPr>
        <w:t>tasa más elevada de obesidad (111</w:t>
      </w:r>
      <w:r w:rsidR="00257CAC">
        <w:rPr>
          <w:rFonts w:ascii="Arial" w:hAnsi="Arial" w:cs="Arial"/>
        </w:rPr>
        <w:t>,</w:t>
      </w:r>
      <w:r w:rsidR="004777D8" w:rsidRPr="00E053E7">
        <w:rPr>
          <w:rFonts w:ascii="Arial" w:hAnsi="Arial" w:cs="Arial"/>
        </w:rPr>
        <w:t>3 por 1.000</w:t>
      </w:r>
      <w:r w:rsidR="004777D8">
        <w:rPr>
          <w:rFonts w:ascii="Arial" w:hAnsi="Arial" w:cs="Arial"/>
        </w:rPr>
        <w:t xml:space="preserve"> hombres</w:t>
      </w:r>
      <w:r w:rsidR="004777D8" w:rsidRPr="00E053E7">
        <w:rPr>
          <w:rFonts w:ascii="Arial" w:hAnsi="Arial" w:cs="Arial"/>
        </w:rPr>
        <w:t>) con respecto a las mujeres (77,</w:t>
      </w:r>
      <w:r w:rsidR="00257CAC">
        <w:rPr>
          <w:rFonts w:ascii="Arial" w:hAnsi="Arial" w:cs="Arial"/>
        </w:rPr>
        <w:t>1</w:t>
      </w:r>
      <w:r w:rsidR="004777D8" w:rsidRPr="00E053E7">
        <w:rPr>
          <w:rFonts w:ascii="Arial" w:hAnsi="Arial" w:cs="Arial"/>
        </w:rPr>
        <w:t xml:space="preserve"> por 1.000</w:t>
      </w:r>
      <w:r w:rsidR="004777D8">
        <w:rPr>
          <w:rFonts w:ascii="Arial" w:hAnsi="Arial" w:cs="Arial"/>
        </w:rPr>
        <w:t xml:space="preserve"> mujeres</w:t>
      </w:r>
      <w:r w:rsidR="004777D8" w:rsidRPr="00E053E7">
        <w:rPr>
          <w:rFonts w:ascii="Arial" w:hAnsi="Arial" w:cs="Arial"/>
        </w:rPr>
        <w:t>).</w:t>
      </w:r>
      <w:r>
        <w:rPr>
          <w:rFonts w:ascii="Arial" w:hAnsi="Arial" w:cs="Arial"/>
        </w:rPr>
        <w:t xml:space="preserve"> Cuadro 1</w:t>
      </w:r>
      <w:r w:rsidR="00845B3F">
        <w:rPr>
          <w:rFonts w:ascii="Arial" w:hAnsi="Arial" w:cs="Arial"/>
        </w:rPr>
        <w:t>6</w:t>
      </w:r>
      <w:r>
        <w:rPr>
          <w:rFonts w:ascii="Arial" w:hAnsi="Arial" w:cs="Arial"/>
        </w:rPr>
        <w:t>.</w:t>
      </w:r>
    </w:p>
    <w:p w:rsidR="004777D8" w:rsidRPr="008319B8" w:rsidRDefault="008319B8" w:rsidP="00A56A5B">
      <w:pPr>
        <w:pStyle w:val="Default"/>
        <w:jc w:val="center"/>
        <w:rPr>
          <w:rFonts w:ascii="Arial" w:hAnsi="Arial" w:cs="Arial"/>
          <w:b/>
        </w:rPr>
      </w:pPr>
      <w:r w:rsidRPr="008319B8">
        <w:rPr>
          <w:rFonts w:ascii="Arial" w:hAnsi="Arial" w:cs="Arial"/>
          <w:b/>
        </w:rPr>
        <w:t>Cuadro 1</w:t>
      </w:r>
      <w:r w:rsidR="00A308AA">
        <w:rPr>
          <w:rFonts w:ascii="Arial" w:hAnsi="Arial" w:cs="Arial"/>
          <w:b/>
        </w:rPr>
        <w:t>6</w:t>
      </w:r>
    </w:p>
    <w:p w:rsidR="008319B8" w:rsidRDefault="004777D8" w:rsidP="00A56A5B">
      <w:pPr>
        <w:pStyle w:val="Sinespaciado"/>
        <w:jc w:val="center"/>
        <w:rPr>
          <w:rFonts w:ascii="Arial" w:hAnsi="Arial" w:cs="Arial"/>
          <w:b/>
          <w:sz w:val="24"/>
          <w:lang w:val="es-ES"/>
        </w:rPr>
      </w:pPr>
      <w:r>
        <w:rPr>
          <w:rFonts w:ascii="Arial" w:hAnsi="Arial" w:cs="Arial"/>
          <w:b/>
          <w:sz w:val="24"/>
          <w:lang w:val="es-ES"/>
        </w:rPr>
        <w:t>P</w:t>
      </w:r>
      <w:r w:rsidRPr="00BF0BAC">
        <w:rPr>
          <w:rFonts w:ascii="Arial" w:hAnsi="Arial" w:cs="Arial"/>
          <w:b/>
          <w:sz w:val="24"/>
          <w:lang w:val="es-ES"/>
        </w:rPr>
        <w:t>revalencia de sobrepesoy obesidad en la población de</w:t>
      </w:r>
    </w:p>
    <w:p w:rsidR="004777D8" w:rsidRDefault="004777D8" w:rsidP="00A56A5B">
      <w:pPr>
        <w:pStyle w:val="Sinespaciado"/>
        <w:jc w:val="center"/>
        <w:rPr>
          <w:rFonts w:ascii="Arial" w:hAnsi="Arial" w:cs="Arial"/>
          <w:b/>
          <w:sz w:val="24"/>
          <w:lang w:val="es-ES"/>
        </w:rPr>
      </w:pPr>
      <w:r w:rsidRPr="00BF0BAC">
        <w:rPr>
          <w:rFonts w:ascii="Arial" w:hAnsi="Arial" w:cs="Arial"/>
          <w:b/>
          <w:sz w:val="24"/>
          <w:lang w:val="es-ES"/>
        </w:rPr>
        <w:t xml:space="preserve"> 6 a 12 años</w:t>
      </w:r>
      <w:r w:rsidR="008319B8">
        <w:rPr>
          <w:rFonts w:ascii="Arial" w:hAnsi="Arial" w:cs="Arial"/>
          <w:b/>
          <w:sz w:val="24"/>
          <w:lang w:val="es-ES"/>
        </w:rPr>
        <w:t>,</w:t>
      </w:r>
      <w:r w:rsidRPr="00BF0BAC">
        <w:rPr>
          <w:rFonts w:ascii="Arial" w:hAnsi="Arial" w:cs="Arial"/>
          <w:b/>
          <w:sz w:val="24"/>
          <w:lang w:val="es-ES"/>
        </w:rPr>
        <w:t xml:space="preserve"> según sexo, Costa Rica, 2016</w:t>
      </w:r>
    </w:p>
    <w:p w:rsidR="004777D8" w:rsidRPr="008319B8" w:rsidRDefault="004777D8" w:rsidP="00A56A5B">
      <w:pPr>
        <w:pStyle w:val="Sinespaciado"/>
        <w:jc w:val="center"/>
        <w:rPr>
          <w:rFonts w:ascii="Arial" w:hAnsi="Arial" w:cs="Arial"/>
          <w:sz w:val="24"/>
          <w:lang w:val="es-ES"/>
        </w:rPr>
      </w:pPr>
      <w:r w:rsidRPr="008319B8">
        <w:rPr>
          <w:rFonts w:ascii="Arial" w:hAnsi="Arial" w:cs="Arial"/>
          <w:sz w:val="24"/>
          <w:lang w:val="es-ES"/>
        </w:rPr>
        <w:t>(</w:t>
      </w:r>
      <w:r w:rsidRPr="008319B8">
        <w:rPr>
          <w:rFonts w:ascii="Arial" w:hAnsi="Arial" w:cs="Arial"/>
          <w:sz w:val="20"/>
          <w:szCs w:val="20"/>
          <w:lang w:val="es-ES"/>
        </w:rPr>
        <w:t>tasa por 1.000 habitantes</w:t>
      </w:r>
      <w:r w:rsidRPr="008319B8">
        <w:rPr>
          <w:rFonts w:ascii="Arial" w:hAnsi="Arial" w:cs="Arial"/>
          <w:sz w:val="24"/>
          <w:lang w:val="es-ES"/>
        </w:rPr>
        <w:t>)</w:t>
      </w:r>
    </w:p>
    <w:tbl>
      <w:tblPr>
        <w:tblW w:w="8112" w:type="dxa"/>
        <w:jc w:val="center"/>
        <w:tblLook w:val="04A0" w:firstRow="1" w:lastRow="0" w:firstColumn="1" w:lastColumn="0" w:noHBand="0" w:noVBand="1"/>
      </w:tblPr>
      <w:tblGrid>
        <w:gridCol w:w="1766"/>
        <w:gridCol w:w="2548"/>
        <w:gridCol w:w="2019"/>
        <w:gridCol w:w="1779"/>
      </w:tblGrid>
      <w:tr w:rsidR="004777D8" w:rsidRPr="00845B3F" w:rsidTr="00A308AA">
        <w:trPr>
          <w:trHeight w:val="705"/>
          <w:jc w:val="center"/>
        </w:trPr>
        <w:tc>
          <w:tcPr>
            <w:tcW w:w="1766" w:type="dxa"/>
            <w:tcBorders>
              <w:top w:val="single" w:sz="4" w:space="0" w:color="auto"/>
              <w:left w:val="nil"/>
              <w:bottom w:val="single" w:sz="4" w:space="0" w:color="auto"/>
              <w:right w:val="nil"/>
            </w:tcBorders>
            <w:shd w:val="clear" w:color="auto" w:fill="D5DCE4" w:themeFill="text2" w:themeFillTint="33"/>
            <w:noWrap/>
            <w:vAlign w:val="center"/>
            <w:hideMark/>
          </w:tcPr>
          <w:p w:rsidR="004777D8" w:rsidRPr="00845B3F" w:rsidRDefault="004777D8" w:rsidP="00475BBF">
            <w:pPr>
              <w:spacing w:line="276" w:lineRule="auto"/>
              <w:jc w:val="center"/>
              <w:rPr>
                <w:rFonts w:ascii="Arial" w:eastAsia="Times New Roman" w:hAnsi="Arial" w:cs="Arial"/>
                <w:b/>
                <w:bCs/>
                <w:sz w:val="20"/>
                <w:szCs w:val="20"/>
                <w:lang w:val="es-ES"/>
              </w:rPr>
            </w:pPr>
            <w:r w:rsidRPr="00845B3F">
              <w:rPr>
                <w:rFonts w:ascii="Arial" w:eastAsia="Times New Roman" w:hAnsi="Arial" w:cs="Arial"/>
                <w:b/>
                <w:bCs/>
                <w:sz w:val="20"/>
                <w:szCs w:val="20"/>
                <w:lang w:val="es-ES"/>
              </w:rPr>
              <w:t>Sexo</w:t>
            </w:r>
          </w:p>
        </w:tc>
        <w:tc>
          <w:tcPr>
            <w:tcW w:w="2548" w:type="dxa"/>
            <w:tcBorders>
              <w:top w:val="single" w:sz="4" w:space="0" w:color="auto"/>
              <w:left w:val="nil"/>
              <w:bottom w:val="single" w:sz="4" w:space="0" w:color="auto"/>
              <w:right w:val="nil"/>
            </w:tcBorders>
            <w:shd w:val="clear" w:color="auto" w:fill="D5DCE4" w:themeFill="text2" w:themeFillTint="33"/>
            <w:vAlign w:val="center"/>
            <w:hideMark/>
          </w:tcPr>
          <w:p w:rsidR="004777D8" w:rsidRPr="00845B3F" w:rsidRDefault="004777D8" w:rsidP="008319B8">
            <w:pPr>
              <w:spacing w:line="276" w:lineRule="auto"/>
              <w:jc w:val="center"/>
              <w:rPr>
                <w:rFonts w:ascii="Arial" w:eastAsia="Times New Roman" w:hAnsi="Arial" w:cs="Arial"/>
                <w:b/>
                <w:bCs/>
                <w:color w:val="000000"/>
                <w:sz w:val="20"/>
                <w:szCs w:val="20"/>
                <w:lang w:val="es-ES"/>
              </w:rPr>
            </w:pPr>
            <w:r w:rsidRPr="00845B3F">
              <w:rPr>
                <w:rFonts w:ascii="Arial" w:eastAsia="Times New Roman" w:hAnsi="Arial" w:cs="Arial"/>
                <w:b/>
                <w:bCs/>
                <w:color w:val="000000"/>
                <w:sz w:val="20"/>
                <w:szCs w:val="20"/>
                <w:lang w:val="es-ES"/>
              </w:rPr>
              <w:t>Sobrepeso</w:t>
            </w:r>
            <w:r w:rsidR="008319B8" w:rsidRPr="00845B3F">
              <w:rPr>
                <w:rFonts w:ascii="Arial" w:eastAsia="Times New Roman" w:hAnsi="Arial" w:cs="Arial"/>
                <w:b/>
                <w:bCs/>
                <w:color w:val="000000"/>
                <w:sz w:val="20"/>
                <w:szCs w:val="20"/>
                <w:lang w:val="es-ES"/>
              </w:rPr>
              <w:t xml:space="preserve"> y</w:t>
            </w:r>
            <w:r w:rsidRPr="00845B3F">
              <w:rPr>
                <w:rFonts w:ascii="Arial" w:eastAsia="Times New Roman" w:hAnsi="Arial" w:cs="Arial"/>
                <w:b/>
                <w:bCs/>
                <w:color w:val="000000"/>
                <w:sz w:val="20"/>
                <w:szCs w:val="20"/>
                <w:lang w:val="es-ES"/>
              </w:rPr>
              <w:t xml:space="preserve"> Obesidad</w:t>
            </w:r>
          </w:p>
        </w:tc>
        <w:tc>
          <w:tcPr>
            <w:tcW w:w="2019" w:type="dxa"/>
            <w:tcBorders>
              <w:top w:val="single" w:sz="4" w:space="0" w:color="auto"/>
              <w:left w:val="nil"/>
              <w:bottom w:val="single" w:sz="4" w:space="0" w:color="auto"/>
              <w:right w:val="nil"/>
            </w:tcBorders>
            <w:shd w:val="clear" w:color="auto" w:fill="D5DCE4" w:themeFill="text2" w:themeFillTint="33"/>
            <w:vAlign w:val="center"/>
            <w:hideMark/>
          </w:tcPr>
          <w:p w:rsidR="004777D8" w:rsidRPr="00845B3F" w:rsidRDefault="004777D8" w:rsidP="00475BBF">
            <w:pPr>
              <w:spacing w:line="276" w:lineRule="auto"/>
              <w:jc w:val="center"/>
              <w:rPr>
                <w:rFonts w:ascii="Arial" w:eastAsia="Times New Roman" w:hAnsi="Arial" w:cs="Arial"/>
                <w:b/>
                <w:bCs/>
                <w:color w:val="000000"/>
                <w:sz w:val="20"/>
                <w:szCs w:val="20"/>
                <w:lang w:val="es-ES"/>
              </w:rPr>
            </w:pPr>
            <w:r w:rsidRPr="00845B3F">
              <w:rPr>
                <w:rFonts w:ascii="Arial" w:eastAsia="Times New Roman" w:hAnsi="Arial" w:cs="Arial"/>
                <w:b/>
                <w:bCs/>
                <w:color w:val="000000"/>
                <w:sz w:val="20"/>
                <w:szCs w:val="20"/>
                <w:lang w:val="es-ES"/>
              </w:rPr>
              <w:t>Sobrepeso</w:t>
            </w:r>
          </w:p>
        </w:tc>
        <w:tc>
          <w:tcPr>
            <w:tcW w:w="1779" w:type="dxa"/>
            <w:tcBorders>
              <w:top w:val="single" w:sz="4" w:space="0" w:color="auto"/>
              <w:left w:val="nil"/>
              <w:bottom w:val="single" w:sz="4" w:space="0" w:color="auto"/>
              <w:right w:val="nil"/>
            </w:tcBorders>
            <w:shd w:val="clear" w:color="auto" w:fill="D5DCE4" w:themeFill="text2" w:themeFillTint="33"/>
            <w:vAlign w:val="center"/>
            <w:hideMark/>
          </w:tcPr>
          <w:p w:rsidR="004777D8" w:rsidRPr="00845B3F" w:rsidRDefault="004777D8" w:rsidP="00475BBF">
            <w:pPr>
              <w:spacing w:line="276" w:lineRule="auto"/>
              <w:jc w:val="center"/>
              <w:rPr>
                <w:rFonts w:ascii="Arial" w:eastAsia="Times New Roman" w:hAnsi="Arial" w:cs="Arial"/>
                <w:b/>
                <w:bCs/>
                <w:color w:val="000000"/>
                <w:sz w:val="20"/>
                <w:szCs w:val="20"/>
                <w:lang w:val="es-ES"/>
              </w:rPr>
            </w:pPr>
            <w:r w:rsidRPr="00845B3F">
              <w:rPr>
                <w:rFonts w:ascii="Arial" w:eastAsia="Times New Roman" w:hAnsi="Arial" w:cs="Arial"/>
                <w:b/>
                <w:bCs/>
                <w:color w:val="000000"/>
                <w:sz w:val="20"/>
                <w:szCs w:val="20"/>
                <w:lang w:val="es-ES"/>
              </w:rPr>
              <w:t>Obesidad</w:t>
            </w:r>
          </w:p>
        </w:tc>
      </w:tr>
      <w:tr w:rsidR="004777D8" w:rsidRPr="00845B3F" w:rsidTr="00257CAC">
        <w:trPr>
          <w:trHeight w:val="523"/>
          <w:jc w:val="center"/>
        </w:trPr>
        <w:tc>
          <w:tcPr>
            <w:tcW w:w="1766" w:type="dxa"/>
            <w:tcBorders>
              <w:top w:val="nil"/>
              <w:left w:val="nil"/>
              <w:bottom w:val="nil"/>
              <w:right w:val="nil"/>
            </w:tcBorders>
            <w:shd w:val="clear" w:color="000000" w:fill="FFFFFF"/>
            <w:vAlign w:val="center"/>
            <w:hideMark/>
          </w:tcPr>
          <w:p w:rsidR="004777D8" w:rsidRPr="00845B3F" w:rsidRDefault="004777D8" w:rsidP="008319B8">
            <w:pPr>
              <w:spacing w:line="276" w:lineRule="auto"/>
              <w:rPr>
                <w:rFonts w:ascii="Arial" w:eastAsia="Times New Roman" w:hAnsi="Arial" w:cs="Arial"/>
                <w:color w:val="000000"/>
                <w:sz w:val="20"/>
                <w:szCs w:val="20"/>
                <w:lang w:val="es-ES"/>
              </w:rPr>
            </w:pPr>
            <w:r w:rsidRPr="00845B3F">
              <w:rPr>
                <w:rFonts w:ascii="Arial" w:hAnsi="Arial" w:cs="Arial"/>
                <w:color w:val="000000"/>
                <w:sz w:val="20"/>
                <w:szCs w:val="20"/>
                <w:lang w:val="es-ES"/>
              </w:rPr>
              <w:t>Hombre</w:t>
            </w:r>
          </w:p>
        </w:tc>
        <w:tc>
          <w:tcPr>
            <w:tcW w:w="2548" w:type="dxa"/>
            <w:tcBorders>
              <w:top w:val="nil"/>
              <w:left w:val="nil"/>
              <w:bottom w:val="nil"/>
              <w:right w:val="nil"/>
            </w:tcBorders>
            <w:shd w:val="clear" w:color="000000" w:fill="FFFFFF"/>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val="es-ES"/>
              </w:rPr>
            </w:pPr>
            <w:r w:rsidRPr="00845B3F">
              <w:rPr>
                <w:rFonts w:ascii="Arial" w:hAnsi="Arial" w:cs="Arial"/>
                <w:color w:val="000000"/>
                <w:sz w:val="20"/>
                <w:szCs w:val="20"/>
                <w:lang w:val="es-ES"/>
              </w:rPr>
              <w:t>239.4</w:t>
            </w:r>
          </w:p>
        </w:tc>
        <w:tc>
          <w:tcPr>
            <w:tcW w:w="2019" w:type="dxa"/>
            <w:tcBorders>
              <w:top w:val="nil"/>
              <w:left w:val="nil"/>
              <w:bottom w:val="nil"/>
              <w:right w:val="nil"/>
            </w:tcBorders>
            <w:shd w:val="clear" w:color="000000" w:fill="FFFFFF"/>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val="es-ES"/>
              </w:rPr>
            </w:pPr>
            <w:r w:rsidRPr="00845B3F">
              <w:rPr>
                <w:rFonts w:ascii="Arial" w:hAnsi="Arial" w:cs="Arial"/>
                <w:color w:val="000000"/>
                <w:sz w:val="20"/>
                <w:szCs w:val="20"/>
                <w:lang w:val="es-ES"/>
              </w:rPr>
              <w:t>128.1</w:t>
            </w:r>
          </w:p>
        </w:tc>
        <w:tc>
          <w:tcPr>
            <w:tcW w:w="1779" w:type="dxa"/>
            <w:tcBorders>
              <w:top w:val="nil"/>
              <w:left w:val="nil"/>
              <w:bottom w:val="nil"/>
              <w:right w:val="nil"/>
            </w:tcBorders>
            <w:shd w:val="clear" w:color="000000" w:fill="FFFFFF"/>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val="es-ES"/>
              </w:rPr>
            </w:pPr>
            <w:r w:rsidRPr="00845B3F">
              <w:rPr>
                <w:rFonts w:ascii="Arial" w:hAnsi="Arial" w:cs="Arial"/>
                <w:color w:val="000000"/>
                <w:sz w:val="20"/>
                <w:szCs w:val="20"/>
                <w:lang w:val="es-ES"/>
              </w:rPr>
              <w:t>111.3</w:t>
            </w:r>
          </w:p>
        </w:tc>
      </w:tr>
      <w:tr w:rsidR="004777D8" w:rsidRPr="00845B3F" w:rsidTr="00257CAC">
        <w:trPr>
          <w:trHeight w:val="502"/>
          <w:jc w:val="center"/>
        </w:trPr>
        <w:tc>
          <w:tcPr>
            <w:tcW w:w="1766" w:type="dxa"/>
            <w:tcBorders>
              <w:top w:val="nil"/>
              <w:left w:val="nil"/>
              <w:bottom w:val="nil"/>
              <w:right w:val="nil"/>
            </w:tcBorders>
            <w:shd w:val="clear" w:color="000000" w:fill="FFFFFF"/>
            <w:vAlign w:val="center"/>
            <w:hideMark/>
          </w:tcPr>
          <w:p w:rsidR="004777D8" w:rsidRPr="00845B3F" w:rsidRDefault="004777D8" w:rsidP="008319B8">
            <w:pPr>
              <w:spacing w:line="276" w:lineRule="auto"/>
              <w:rPr>
                <w:rFonts w:ascii="Arial" w:eastAsia="Times New Roman" w:hAnsi="Arial" w:cs="Arial"/>
                <w:color w:val="000000"/>
                <w:sz w:val="20"/>
                <w:szCs w:val="20"/>
                <w:lang w:val="es-ES"/>
              </w:rPr>
            </w:pPr>
            <w:r w:rsidRPr="00845B3F">
              <w:rPr>
                <w:rFonts w:ascii="Arial" w:hAnsi="Arial" w:cs="Arial"/>
                <w:color w:val="000000"/>
                <w:sz w:val="20"/>
                <w:szCs w:val="20"/>
                <w:lang w:val="es-ES"/>
              </w:rPr>
              <w:t>Mujer</w:t>
            </w:r>
          </w:p>
        </w:tc>
        <w:tc>
          <w:tcPr>
            <w:tcW w:w="2548" w:type="dxa"/>
            <w:tcBorders>
              <w:top w:val="nil"/>
              <w:left w:val="nil"/>
              <w:bottom w:val="nil"/>
              <w:right w:val="nil"/>
            </w:tcBorders>
            <w:shd w:val="clear" w:color="000000" w:fill="FFFFFF"/>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val="es-ES"/>
              </w:rPr>
            </w:pPr>
            <w:r w:rsidRPr="00845B3F">
              <w:rPr>
                <w:rFonts w:ascii="Arial" w:hAnsi="Arial" w:cs="Arial"/>
                <w:color w:val="000000"/>
                <w:sz w:val="20"/>
                <w:szCs w:val="20"/>
                <w:lang w:val="es-ES"/>
              </w:rPr>
              <w:t>214.9</w:t>
            </w:r>
          </w:p>
        </w:tc>
        <w:tc>
          <w:tcPr>
            <w:tcW w:w="2019" w:type="dxa"/>
            <w:tcBorders>
              <w:top w:val="nil"/>
              <w:left w:val="nil"/>
              <w:bottom w:val="nil"/>
              <w:right w:val="nil"/>
            </w:tcBorders>
            <w:shd w:val="clear" w:color="000000" w:fill="FFFFFF"/>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val="es-ES"/>
              </w:rPr>
            </w:pPr>
            <w:r w:rsidRPr="00845B3F">
              <w:rPr>
                <w:rFonts w:ascii="Arial" w:hAnsi="Arial" w:cs="Arial"/>
                <w:color w:val="000000"/>
                <w:sz w:val="20"/>
                <w:szCs w:val="20"/>
                <w:lang w:val="es-ES"/>
              </w:rPr>
              <w:t>137.7</w:t>
            </w:r>
          </w:p>
        </w:tc>
        <w:tc>
          <w:tcPr>
            <w:tcW w:w="1779" w:type="dxa"/>
            <w:tcBorders>
              <w:top w:val="nil"/>
              <w:left w:val="nil"/>
              <w:bottom w:val="nil"/>
              <w:right w:val="nil"/>
            </w:tcBorders>
            <w:shd w:val="clear" w:color="000000" w:fill="FFFFFF"/>
            <w:noWrap/>
            <w:vAlign w:val="center"/>
            <w:hideMark/>
          </w:tcPr>
          <w:p w:rsidR="004777D8" w:rsidRPr="00845B3F" w:rsidRDefault="004777D8" w:rsidP="00475BBF">
            <w:pPr>
              <w:spacing w:line="276" w:lineRule="auto"/>
              <w:jc w:val="center"/>
              <w:rPr>
                <w:rFonts w:ascii="Arial" w:eastAsia="Times New Roman" w:hAnsi="Arial" w:cs="Arial"/>
                <w:color w:val="000000"/>
                <w:sz w:val="20"/>
                <w:szCs w:val="20"/>
                <w:lang w:val="es-ES"/>
              </w:rPr>
            </w:pPr>
            <w:r w:rsidRPr="00845B3F">
              <w:rPr>
                <w:rFonts w:ascii="Arial" w:hAnsi="Arial" w:cs="Arial"/>
                <w:color w:val="000000"/>
                <w:sz w:val="20"/>
                <w:szCs w:val="20"/>
                <w:lang w:val="es-ES"/>
              </w:rPr>
              <w:t>77.1</w:t>
            </w:r>
          </w:p>
        </w:tc>
      </w:tr>
      <w:tr w:rsidR="004777D8" w:rsidRPr="00845B3F" w:rsidTr="00257CAC">
        <w:trPr>
          <w:trHeight w:val="502"/>
          <w:jc w:val="center"/>
        </w:trPr>
        <w:tc>
          <w:tcPr>
            <w:tcW w:w="1766" w:type="dxa"/>
            <w:tcBorders>
              <w:top w:val="nil"/>
              <w:left w:val="nil"/>
              <w:bottom w:val="single" w:sz="4" w:space="0" w:color="auto"/>
              <w:right w:val="nil"/>
            </w:tcBorders>
            <w:shd w:val="clear" w:color="000000" w:fill="FFFFFF"/>
            <w:vAlign w:val="center"/>
            <w:hideMark/>
          </w:tcPr>
          <w:p w:rsidR="004777D8" w:rsidRPr="00845B3F" w:rsidRDefault="004777D8" w:rsidP="008319B8">
            <w:pPr>
              <w:spacing w:line="276" w:lineRule="auto"/>
              <w:rPr>
                <w:rFonts w:ascii="Arial" w:eastAsia="Times New Roman" w:hAnsi="Arial" w:cs="Arial"/>
                <w:b/>
                <w:bCs/>
                <w:color w:val="000000"/>
                <w:sz w:val="20"/>
                <w:szCs w:val="20"/>
                <w:lang w:val="es-ES"/>
              </w:rPr>
            </w:pPr>
            <w:r w:rsidRPr="00845B3F">
              <w:rPr>
                <w:rFonts w:ascii="Arial" w:hAnsi="Arial" w:cs="Arial"/>
                <w:b/>
                <w:bCs/>
                <w:color w:val="000000"/>
                <w:sz w:val="20"/>
                <w:szCs w:val="20"/>
                <w:lang w:val="es-ES"/>
              </w:rPr>
              <w:t>Total</w:t>
            </w:r>
          </w:p>
        </w:tc>
        <w:tc>
          <w:tcPr>
            <w:tcW w:w="2548" w:type="dxa"/>
            <w:tcBorders>
              <w:top w:val="nil"/>
              <w:left w:val="nil"/>
              <w:bottom w:val="single" w:sz="4" w:space="0" w:color="auto"/>
              <w:right w:val="nil"/>
            </w:tcBorders>
            <w:shd w:val="clear" w:color="000000" w:fill="FFFFFF"/>
            <w:noWrap/>
            <w:vAlign w:val="center"/>
            <w:hideMark/>
          </w:tcPr>
          <w:p w:rsidR="004777D8" w:rsidRPr="00845B3F" w:rsidRDefault="004777D8" w:rsidP="00475BBF">
            <w:pPr>
              <w:spacing w:line="276" w:lineRule="auto"/>
              <w:jc w:val="center"/>
              <w:rPr>
                <w:rFonts w:ascii="Arial" w:eastAsia="Times New Roman" w:hAnsi="Arial" w:cs="Arial"/>
                <w:b/>
                <w:bCs/>
                <w:color w:val="000000"/>
                <w:sz w:val="20"/>
                <w:szCs w:val="20"/>
                <w:lang w:val="es-ES"/>
              </w:rPr>
            </w:pPr>
            <w:r w:rsidRPr="00845B3F">
              <w:rPr>
                <w:rFonts w:ascii="Arial" w:hAnsi="Arial" w:cs="Arial"/>
                <w:color w:val="000000"/>
                <w:sz w:val="20"/>
                <w:szCs w:val="20"/>
                <w:lang w:val="es-ES"/>
              </w:rPr>
              <w:t>227.4</w:t>
            </w:r>
          </w:p>
        </w:tc>
        <w:tc>
          <w:tcPr>
            <w:tcW w:w="2019" w:type="dxa"/>
            <w:tcBorders>
              <w:top w:val="nil"/>
              <w:left w:val="nil"/>
              <w:bottom w:val="single" w:sz="4" w:space="0" w:color="auto"/>
              <w:right w:val="nil"/>
            </w:tcBorders>
            <w:shd w:val="clear" w:color="000000" w:fill="FFFFFF"/>
            <w:noWrap/>
            <w:vAlign w:val="center"/>
            <w:hideMark/>
          </w:tcPr>
          <w:p w:rsidR="004777D8" w:rsidRPr="00845B3F" w:rsidRDefault="004777D8" w:rsidP="00475BBF">
            <w:pPr>
              <w:spacing w:line="276" w:lineRule="auto"/>
              <w:jc w:val="center"/>
              <w:rPr>
                <w:rFonts w:ascii="Arial" w:eastAsia="Times New Roman" w:hAnsi="Arial" w:cs="Arial"/>
                <w:b/>
                <w:bCs/>
                <w:color w:val="000000"/>
                <w:sz w:val="20"/>
                <w:szCs w:val="20"/>
                <w:lang w:val="es-ES"/>
              </w:rPr>
            </w:pPr>
            <w:r w:rsidRPr="00845B3F">
              <w:rPr>
                <w:rFonts w:ascii="Arial" w:hAnsi="Arial" w:cs="Arial"/>
                <w:color w:val="000000"/>
                <w:sz w:val="20"/>
                <w:szCs w:val="20"/>
                <w:lang w:val="es-ES"/>
              </w:rPr>
              <w:t>132.8</w:t>
            </w:r>
          </w:p>
        </w:tc>
        <w:tc>
          <w:tcPr>
            <w:tcW w:w="1779" w:type="dxa"/>
            <w:tcBorders>
              <w:top w:val="nil"/>
              <w:left w:val="nil"/>
              <w:bottom w:val="single" w:sz="4" w:space="0" w:color="auto"/>
              <w:right w:val="nil"/>
            </w:tcBorders>
            <w:shd w:val="clear" w:color="000000" w:fill="FFFFFF"/>
            <w:noWrap/>
            <w:vAlign w:val="center"/>
            <w:hideMark/>
          </w:tcPr>
          <w:p w:rsidR="004777D8" w:rsidRPr="00845B3F" w:rsidRDefault="004777D8" w:rsidP="00475BBF">
            <w:pPr>
              <w:spacing w:line="276" w:lineRule="auto"/>
              <w:jc w:val="center"/>
              <w:rPr>
                <w:rFonts w:ascii="Arial" w:eastAsia="Times New Roman" w:hAnsi="Arial" w:cs="Arial"/>
                <w:b/>
                <w:bCs/>
                <w:color w:val="000000"/>
                <w:sz w:val="20"/>
                <w:szCs w:val="20"/>
                <w:lang w:val="es-ES"/>
              </w:rPr>
            </w:pPr>
            <w:r w:rsidRPr="00845B3F">
              <w:rPr>
                <w:rFonts w:ascii="Arial" w:hAnsi="Arial" w:cs="Arial"/>
                <w:color w:val="000000"/>
                <w:sz w:val="20"/>
                <w:szCs w:val="20"/>
                <w:lang w:val="es-ES"/>
              </w:rPr>
              <w:t>94.6</w:t>
            </w:r>
          </w:p>
        </w:tc>
      </w:tr>
    </w:tbl>
    <w:p w:rsidR="004777D8" w:rsidRPr="00E04E33" w:rsidRDefault="00257CAC" w:rsidP="00257CAC">
      <w:pPr>
        <w:rPr>
          <w:rFonts w:ascii="Arial" w:hAnsi="Arial" w:cs="Arial"/>
          <w:color w:val="000000"/>
          <w:sz w:val="16"/>
        </w:rPr>
      </w:pPr>
      <w:r>
        <w:rPr>
          <w:rFonts w:ascii="Arial" w:hAnsi="Arial" w:cs="Arial"/>
          <w:b/>
          <w:color w:val="000000"/>
          <w:sz w:val="16"/>
        </w:rPr>
        <w:tab/>
      </w:r>
      <w:r w:rsidR="004777D8" w:rsidRPr="008319B8">
        <w:rPr>
          <w:rFonts w:ascii="Arial" w:hAnsi="Arial" w:cs="Arial"/>
          <w:b/>
          <w:color w:val="000000"/>
          <w:sz w:val="16"/>
        </w:rPr>
        <w:t>Fuente:</w:t>
      </w:r>
      <w:r w:rsidR="004777D8" w:rsidRPr="00E04E33">
        <w:rPr>
          <w:rFonts w:ascii="Arial" w:hAnsi="Arial" w:cs="Arial"/>
          <w:color w:val="000000"/>
          <w:sz w:val="16"/>
        </w:rPr>
        <w:t xml:space="preserve"> Censo Peso-Talla escolares, Costa Rica, 2016</w:t>
      </w:r>
      <w:r w:rsidR="008319B8">
        <w:rPr>
          <w:rFonts w:ascii="Arial" w:hAnsi="Arial" w:cs="Arial"/>
          <w:color w:val="000000"/>
          <w:sz w:val="16"/>
        </w:rPr>
        <w:t>.</w:t>
      </w:r>
      <w:r>
        <w:rPr>
          <w:rFonts w:ascii="Arial" w:hAnsi="Arial" w:cs="Arial"/>
          <w:color w:val="000000"/>
          <w:sz w:val="16"/>
        </w:rPr>
        <w:t xml:space="preserve"> </w:t>
      </w:r>
      <w:r w:rsidR="004777D8" w:rsidRPr="00E04E33">
        <w:rPr>
          <w:rFonts w:ascii="Arial" w:hAnsi="Arial" w:cs="Arial"/>
          <w:color w:val="000000"/>
          <w:sz w:val="16"/>
        </w:rPr>
        <w:t>Estimaciones oficiales de población en Costa Rica, INEC</w:t>
      </w:r>
      <w:r w:rsidR="008319B8">
        <w:rPr>
          <w:rFonts w:ascii="Arial" w:hAnsi="Arial" w:cs="Arial"/>
          <w:color w:val="000000"/>
          <w:sz w:val="16"/>
        </w:rPr>
        <w:t>.</w:t>
      </w:r>
    </w:p>
    <w:p w:rsidR="004777D8" w:rsidRDefault="004777D8" w:rsidP="008319B8">
      <w:pPr>
        <w:spacing w:line="276" w:lineRule="auto"/>
        <w:rPr>
          <w:rFonts w:ascii="Arial" w:hAnsi="Arial" w:cs="Arial"/>
          <w:color w:val="000000"/>
        </w:rPr>
      </w:pPr>
    </w:p>
    <w:p w:rsidR="004777D8" w:rsidRPr="008569C0" w:rsidRDefault="004777D8" w:rsidP="00FC4700">
      <w:pPr>
        <w:spacing w:after="240" w:line="276" w:lineRule="auto"/>
        <w:jc w:val="both"/>
        <w:rPr>
          <w:rFonts w:ascii="Arial" w:hAnsi="Arial" w:cs="Arial"/>
          <w:color w:val="000000"/>
          <w:lang w:val="es-MX"/>
        </w:rPr>
      </w:pPr>
      <w:r w:rsidRPr="00A56A5B">
        <w:rPr>
          <w:rFonts w:ascii="Arial" w:hAnsi="Arial" w:cs="Arial"/>
          <w:color w:val="000000"/>
        </w:rPr>
        <w:t xml:space="preserve">Este </w:t>
      </w:r>
      <w:r w:rsidR="00257CAC">
        <w:rPr>
          <w:rFonts w:ascii="Arial" w:hAnsi="Arial" w:cs="Arial"/>
          <w:color w:val="000000"/>
        </w:rPr>
        <w:t>c</w:t>
      </w:r>
      <w:r w:rsidRPr="00A56A5B">
        <w:rPr>
          <w:rFonts w:ascii="Arial" w:hAnsi="Arial" w:cs="Arial"/>
          <w:color w:val="000000"/>
        </w:rPr>
        <w:t xml:space="preserve">enso </w:t>
      </w:r>
      <w:r w:rsidR="00257CAC">
        <w:rPr>
          <w:rFonts w:ascii="Arial" w:hAnsi="Arial" w:cs="Arial"/>
          <w:color w:val="000000"/>
        </w:rPr>
        <w:t xml:space="preserve">mostró </w:t>
      </w:r>
      <w:r w:rsidRPr="00A56A5B">
        <w:rPr>
          <w:rFonts w:ascii="Arial" w:hAnsi="Arial" w:cs="Arial"/>
          <w:color w:val="000000"/>
        </w:rPr>
        <w:t>prevalencias de sobrepeso y obesidad del 35,7% en hombres y 32,2% en mujeres, es decir 34 de cada 100 escolares en el 2016</w:t>
      </w:r>
      <w:r w:rsidR="00FC4700">
        <w:rPr>
          <w:rFonts w:ascii="Arial" w:hAnsi="Arial" w:cs="Arial"/>
          <w:color w:val="000000"/>
        </w:rPr>
        <w:t>,</w:t>
      </w:r>
      <w:r w:rsidRPr="00A56A5B">
        <w:rPr>
          <w:rFonts w:ascii="Arial" w:hAnsi="Arial" w:cs="Arial"/>
          <w:color w:val="000000"/>
        </w:rPr>
        <w:t xml:space="preserve"> tenían sobrepeso u obesidad.</w:t>
      </w:r>
    </w:p>
    <w:p w:rsidR="004777D8" w:rsidRDefault="004777D8" w:rsidP="004777D8">
      <w:pPr>
        <w:spacing w:line="276" w:lineRule="auto"/>
        <w:jc w:val="both"/>
        <w:rPr>
          <w:rFonts w:ascii="Arial" w:hAnsi="Arial" w:cs="Arial"/>
          <w:color w:val="000000"/>
          <w:lang w:val="es-MX"/>
        </w:rPr>
      </w:pPr>
      <w:r w:rsidRPr="003C301D">
        <w:rPr>
          <w:rFonts w:ascii="Arial" w:hAnsi="Arial" w:cs="Arial"/>
          <w:color w:val="000000"/>
        </w:rPr>
        <w:t xml:space="preserve">Las </w:t>
      </w:r>
      <w:r w:rsidR="00FC4700" w:rsidRPr="003C301D">
        <w:rPr>
          <w:rFonts w:ascii="Arial" w:hAnsi="Arial" w:cs="Arial"/>
          <w:color w:val="000000"/>
        </w:rPr>
        <w:t>provincia</w:t>
      </w:r>
      <w:r w:rsidR="00FC4700">
        <w:rPr>
          <w:rFonts w:ascii="Arial" w:hAnsi="Arial" w:cs="Arial"/>
          <w:color w:val="000000"/>
        </w:rPr>
        <w:t>s</w:t>
      </w:r>
      <w:r w:rsidR="00FC4700" w:rsidRPr="003C301D">
        <w:rPr>
          <w:rFonts w:ascii="Arial" w:hAnsi="Arial" w:cs="Arial"/>
          <w:color w:val="000000"/>
        </w:rPr>
        <w:t xml:space="preserve"> </w:t>
      </w:r>
      <w:r w:rsidR="00FC4700">
        <w:rPr>
          <w:rFonts w:ascii="Arial" w:hAnsi="Arial" w:cs="Arial"/>
          <w:color w:val="000000"/>
        </w:rPr>
        <w:t xml:space="preserve">con </w:t>
      </w:r>
      <w:r w:rsidRPr="003C301D">
        <w:rPr>
          <w:rFonts w:ascii="Arial" w:hAnsi="Arial" w:cs="Arial"/>
          <w:color w:val="000000"/>
        </w:rPr>
        <w:t xml:space="preserve">prevalencias más altas </w:t>
      </w:r>
      <w:r w:rsidR="00FC4700">
        <w:rPr>
          <w:rFonts w:ascii="Arial" w:hAnsi="Arial" w:cs="Arial"/>
          <w:color w:val="000000"/>
        </w:rPr>
        <w:t>fueron:</w:t>
      </w:r>
      <w:r w:rsidRPr="003C301D">
        <w:rPr>
          <w:rFonts w:ascii="Arial" w:hAnsi="Arial" w:cs="Arial"/>
          <w:color w:val="000000"/>
        </w:rPr>
        <w:t xml:space="preserve"> Heredia, San José y Cartago con un promedio de 35</w:t>
      </w:r>
      <w:r w:rsidR="00FC4700">
        <w:rPr>
          <w:rFonts w:ascii="Arial" w:hAnsi="Arial" w:cs="Arial"/>
          <w:color w:val="000000"/>
        </w:rPr>
        <w:t>,</w:t>
      </w:r>
      <w:r w:rsidRPr="003C301D">
        <w:rPr>
          <w:rFonts w:ascii="Arial" w:hAnsi="Arial" w:cs="Arial"/>
          <w:color w:val="000000"/>
        </w:rPr>
        <w:t xml:space="preserve">4% y las prevalencias más bajas </w:t>
      </w:r>
      <w:r w:rsidR="00FC4700">
        <w:rPr>
          <w:rFonts w:ascii="Arial" w:hAnsi="Arial" w:cs="Arial"/>
          <w:color w:val="000000"/>
        </w:rPr>
        <w:t xml:space="preserve">se presentaron </w:t>
      </w:r>
      <w:r w:rsidRPr="003C301D">
        <w:rPr>
          <w:rFonts w:ascii="Arial" w:hAnsi="Arial" w:cs="Arial"/>
          <w:color w:val="000000"/>
        </w:rPr>
        <w:t>en Guanacaste y Limón (31%).</w:t>
      </w:r>
    </w:p>
    <w:p w:rsidR="004777D8" w:rsidRDefault="004777D8" w:rsidP="00FC4700">
      <w:pPr>
        <w:spacing w:after="240" w:line="276" w:lineRule="auto"/>
        <w:jc w:val="both"/>
        <w:rPr>
          <w:rFonts w:ascii="Arial" w:hAnsi="Arial" w:cs="Arial"/>
          <w:color w:val="000000"/>
        </w:rPr>
      </w:pPr>
      <w:r>
        <w:rPr>
          <w:rFonts w:ascii="Arial" w:hAnsi="Arial" w:cs="Arial"/>
          <w:color w:val="000000"/>
        </w:rPr>
        <w:t xml:space="preserve">Los cantones con mayores prevalencias </w:t>
      </w:r>
      <w:r w:rsidR="00FC4700">
        <w:rPr>
          <w:rFonts w:ascii="Arial" w:hAnsi="Arial" w:cs="Arial"/>
          <w:color w:val="000000"/>
        </w:rPr>
        <w:t xml:space="preserve">de sobrepeso y obesidad en escolares fueron </w:t>
      </w:r>
      <w:r>
        <w:rPr>
          <w:rFonts w:ascii="Arial" w:hAnsi="Arial" w:cs="Arial"/>
          <w:color w:val="000000"/>
        </w:rPr>
        <w:t>Atenas, Puriscal, San Mateo, Hojancha, Coronado, Santo Domingo, Mora, San Isidro, Bar</w:t>
      </w:r>
      <w:r w:rsidR="00A56A5B">
        <w:rPr>
          <w:rFonts w:ascii="Arial" w:hAnsi="Arial" w:cs="Arial"/>
          <w:color w:val="000000"/>
        </w:rPr>
        <w:t>v</w:t>
      </w:r>
      <w:r>
        <w:rPr>
          <w:rFonts w:ascii="Arial" w:hAnsi="Arial" w:cs="Arial"/>
          <w:color w:val="000000"/>
        </w:rPr>
        <w:t>a y San Pablo.</w:t>
      </w:r>
      <w:r w:rsidR="00FC4700">
        <w:rPr>
          <w:rFonts w:ascii="Arial" w:hAnsi="Arial" w:cs="Arial"/>
          <w:color w:val="000000"/>
        </w:rPr>
        <w:t xml:space="preserve"> Figura </w:t>
      </w:r>
      <w:r w:rsidR="00845B3F">
        <w:rPr>
          <w:rFonts w:ascii="Arial" w:hAnsi="Arial" w:cs="Arial"/>
          <w:color w:val="000000"/>
        </w:rPr>
        <w:t>3</w:t>
      </w:r>
      <w:r w:rsidR="00FC4700">
        <w:rPr>
          <w:rFonts w:ascii="Arial" w:hAnsi="Arial" w:cs="Arial"/>
          <w:color w:val="000000"/>
        </w:rPr>
        <w:t>.</w:t>
      </w:r>
    </w:p>
    <w:p w:rsidR="00845B3F" w:rsidRDefault="00845B3F">
      <w:pPr>
        <w:spacing w:after="160" w:line="259" w:lineRule="auto"/>
        <w:rPr>
          <w:rFonts w:ascii="Arial" w:hAnsi="Arial" w:cs="Arial"/>
          <w:color w:val="000000"/>
        </w:rPr>
      </w:pPr>
      <w:r>
        <w:rPr>
          <w:rFonts w:ascii="Arial" w:hAnsi="Arial" w:cs="Arial"/>
          <w:color w:val="000000"/>
        </w:rPr>
        <w:br w:type="page"/>
      </w:r>
    </w:p>
    <w:p w:rsidR="00845B3F" w:rsidRDefault="00845B3F" w:rsidP="00FC4700">
      <w:pPr>
        <w:spacing w:after="240" w:line="276" w:lineRule="auto"/>
        <w:jc w:val="both"/>
        <w:rPr>
          <w:rFonts w:ascii="Arial" w:hAnsi="Arial" w:cs="Arial"/>
          <w:color w:val="000000"/>
        </w:rPr>
      </w:pPr>
    </w:p>
    <w:p w:rsidR="00FC4700" w:rsidRPr="00FC4700" w:rsidRDefault="00FC4700" w:rsidP="00FC4700">
      <w:pPr>
        <w:spacing w:line="276" w:lineRule="auto"/>
        <w:jc w:val="center"/>
        <w:rPr>
          <w:rFonts w:ascii="Arial" w:hAnsi="Arial" w:cs="Arial"/>
          <w:b/>
          <w:color w:val="000000"/>
          <w:lang w:val="es-MX"/>
        </w:rPr>
      </w:pPr>
      <w:r w:rsidRPr="00FC4700">
        <w:rPr>
          <w:rFonts w:ascii="Arial" w:hAnsi="Arial" w:cs="Arial"/>
          <w:b/>
          <w:color w:val="000000"/>
          <w:lang w:val="es-MX"/>
        </w:rPr>
        <w:t xml:space="preserve">Figura </w:t>
      </w:r>
      <w:r w:rsidR="00A308AA">
        <w:rPr>
          <w:rFonts w:ascii="Arial" w:hAnsi="Arial" w:cs="Arial"/>
          <w:b/>
          <w:color w:val="000000"/>
          <w:lang w:val="es-MX"/>
        </w:rPr>
        <w:t>3</w:t>
      </w:r>
      <w:r w:rsidRPr="00FC4700">
        <w:rPr>
          <w:rFonts w:ascii="Arial" w:hAnsi="Arial" w:cs="Arial"/>
          <w:b/>
          <w:color w:val="000000"/>
          <w:lang w:val="es-MX"/>
        </w:rPr>
        <w:t>.</w:t>
      </w:r>
    </w:p>
    <w:p w:rsidR="004777D8" w:rsidRDefault="004777D8" w:rsidP="004777D8">
      <w:pPr>
        <w:spacing w:line="276" w:lineRule="auto"/>
        <w:jc w:val="center"/>
        <w:rPr>
          <w:rFonts w:ascii="Arial" w:hAnsi="Arial" w:cs="Arial"/>
          <w:color w:val="000000"/>
          <w:lang w:val="es-MX"/>
        </w:rPr>
      </w:pPr>
      <w:r w:rsidRPr="00F84BE5">
        <w:rPr>
          <w:noProof/>
          <w:lang w:val="es-CR" w:eastAsia="es-CR"/>
        </w:rPr>
        <w:drawing>
          <wp:inline distT="0" distB="0" distL="0" distR="0" wp14:anchorId="13749504" wp14:editId="7A85793D">
            <wp:extent cx="5492750" cy="3825240"/>
            <wp:effectExtent l="0" t="0" r="0" b="1016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92750" cy="3825240"/>
                    </a:xfrm>
                    <a:prstGeom prst="rect">
                      <a:avLst/>
                    </a:prstGeom>
                    <a:noFill/>
                    <a:ln>
                      <a:noFill/>
                    </a:ln>
                  </pic:spPr>
                </pic:pic>
              </a:graphicData>
            </a:graphic>
          </wp:inline>
        </w:drawing>
      </w:r>
    </w:p>
    <w:p w:rsidR="004777D8" w:rsidRDefault="004777D8" w:rsidP="00A56A5B">
      <w:pPr>
        <w:spacing w:line="276" w:lineRule="auto"/>
        <w:jc w:val="right"/>
        <w:rPr>
          <w:rFonts w:ascii="Arial" w:hAnsi="Arial" w:cs="Arial"/>
          <w:color w:val="000000"/>
          <w:sz w:val="20"/>
          <w:lang w:val="es-MX"/>
        </w:rPr>
      </w:pPr>
      <w:r w:rsidRPr="00A56A5B">
        <w:rPr>
          <w:rFonts w:ascii="Arial" w:hAnsi="Arial" w:cs="Arial"/>
          <w:b/>
          <w:color w:val="000000"/>
          <w:sz w:val="18"/>
          <w:lang w:val="es-MX"/>
        </w:rPr>
        <w:t>Fuente:</w:t>
      </w:r>
      <w:r w:rsidRPr="0058600E">
        <w:rPr>
          <w:rFonts w:ascii="Arial" w:hAnsi="Arial" w:cs="Arial"/>
          <w:color w:val="000000"/>
          <w:sz w:val="18"/>
          <w:lang w:val="es-MX"/>
        </w:rPr>
        <w:t xml:space="preserve"> Censo escolar Peso /Talla 2016. Dirección de Vigilancia dela Salud </w:t>
      </w:r>
    </w:p>
    <w:p w:rsidR="004777D8" w:rsidRPr="004B2ECA" w:rsidRDefault="004777D8" w:rsidP="004777D8">
      <w:pPr>
        <w:spacing w:line="276" w:lineRule="auto"/>
        <w:jc w:val="center"/>
        <w:rPr>
          <w:rFonts w:ascii="Arial" w:hAnsi="Arial" w:cs="Arial"/>
          <w:color w:val="000000"/>
          <w:sz w:val="20"/>
          <w:lang w:val="es-MX"/>
        </w:rPr>
      </w:pPr>
    </w:p>
    <w:p w:rsidR="00B461AB" w:rsidRPr="003A05DB" w:rsidRDefault="004777D8" w:rsidP="00B461AB">
      <w:pPr>
        <w:spacing w:after="240" w:line="276" w:lineRule="auto"/>
        <w:jc w:val="both"/>
        <w:rPr>
          <w:rFonts w:ascii="Arial" w:hAnsi="Arial" w:cs="Arial"/>
          <w:color w:val="000000"/>
          <w:lang w:val="es-ES"/>
        </w:rPr>
      </w:pPr>
      <w:r w:rsidRPr="003A05DB">
        <w:rPr>
          <w:rFonts w:ascii="Arial" w:hAnsi="Arial" w:cs="Arial"/>
          <w:color w:val="000000"/>
          <w:lang w:val="es-ES"/>
        </w:rPr>
        <w:t>E</w:t>
      </w:r>
      <w:r w:rsidR="00FC4700" w:rsidRPr="003A05DB">
        <w:rPr>
          <w:rFonts w:ascii="Arial" w:hAnsi="Arial" w:cs="Arial"/>
          <w:color w:val="000000"/>
          <w:lang w:val="es-ES"/>
        </w:rPr>
        <w:t xml:space="preserve">n el </w:t>
      </w:r>
      <w:r w:rsidRPr="003A05DB">
        <w:rPr>
          <w:rFonts w:ascii="Arial" w:hAnsi="Arial" w:cs="Arial"/>
          <w:color w:val="000000"/>
          <w:lang w:val="es-ES"/>
        </w:rPr>
        <w:t xml:space="preserve">gráfico </w:t>
      </w:r>
      <w:r w:rsidR="00845B3F" w:rsidRPr="003A05DB">
        <w:rPr>
          <w:rFonts w:ascii="Arial" w:hAnsi="Arial" w:cs="Arial"/>
          <w:color w:val="000000"/>
          <w:lang w:val="es-ES"/>
        </w:rPr>
        <w:t>11</w:t>
      </w:r>
      <w:r w:rsidR="00FC4700" w:rsidRPr="003A05DB">
        <w:rPr>
          <w:rFonts w:ascii="Arial" w:hAnsi="Arial" w:cs="Arial"/>
          <w:color w:val="000000"/>
          <w:lang w:val="es-ES"/>
        </w:rPr>
        <w:t xml:space="preserve"> se muestra la c</w:t>
      </w:r>
      <w:r w:rsidRPr="003A05DB">
        <w:rPr>
          <w:rFonts w:ascii="Arial" w:hAnsi="Arial" w:cs="Arial"/>
          <w:color w:val="000000"/>
          <w:lang w:val="es-ES"/>
        </w:rPr>
        <w:t>orrelaci</w:t>
      </w:r>
      <w:r w:rsidR="00FC4700" w:rsidRPr="003A05DB">
        <w:rPr>
          <w:rFonts w:ascii="Arial" w:hAnsi="Arial" w:cs="Arial"/>
          <w:color w:val="000000"/>
          <w:lang w:val="es-ES"/>
        </w:rPr>
        <w:t xml:space="preserve">ón entre </w:t>
      </w:r>
      <w:r w:rsidRPr="003A05DB">
        <w:rPr>
          <w:rFonts w:ascii="Arial" w:hAnsi="Arial" w:cs="Arial"/>
          <w:color w:val="000000"/>
          <w:lang w:val="es-ES"/>
        </w:rPr>
        <w:t xml:space="preserve">el </w:t>
      </w:r>
      <w:r w:rsidR="00B461AB" w:rsidRPr="003A05DB">
        <w:rPr>
          <w:rFonts w:ascii="Arial" w:hAnsi="Arial" w:cs="Arial"/>
          <w:color w:val="000000"/>
          <w:lang w:val="es-ES"/>
        </w:rPr>
        <w:t xml:space="preserve">porcentaje de Índice de </w:t>
      </w:r>
      <w:r w:rsidRPr="003A05DB">
        <w:rPr>
          <w:rFonts w:ascii="Arial" w:hAnsi="Arial" w:cs="Arial"/>
          <w:color w:val="000000"/>
          <w:lang w:val="es-ES"/>
        </w:rPr>
        <w:t>D</w:t>
      </w:r>
      <w:r w:rsidR="00B461AB" w:rsidRPr="003A05DB">
        <w:rPr>
          <w:rFonts w:ascii="Arial" w:hAnsi="Arial" w:cs="Arial"/>
          <w:color w:val="000000"/>
          <w:lang w:val="es-ES"/>
        </w:rPr>
        <w:t xml:space="preserve">esarrollo </w:t>
      </w:r>
      <w:r w:rsidRPr="003A05DB">
        <w:rPr>
          <w:rFonts w:ascii="Arial" w:hAnsi="Arial" w:cs="Arial"/>
          <w:color w:val="000000"/>
          <w:lang w:val="es-ES"/>
        </w:rPr>
        <w:t>S</w:t>
      </w:r>
      <w:r w:rsidR="00B461AB" w:rsidRPr="003A05DB">
        <w:rPr>
          <w:rFonts w:ascii="Arial" w:hAnsi="Arial" w:cs="Arial"/>
          <w:color w:val="000000"/>
          <w:lang w:val="es-ES"/>
        </w:rPr>
        <w:t>ocial (IDS)</w:t>
      </w:r>
      <w:r w:rsidRPr="003A05DB">
        <w:rPr>
          <w:rFonts w:ascii="Arial" w:hAnsi="Arial" w:cs="Arial"/>
          <w:color w:val="000000"/>
          <w:lang w:val="es-ES"/>
        </w:rPr>
        <w:t xml:space="preserve"> de cada uno de los distritos del país del 2013, con respecto a la prevalencia de sobrepeso-obesidad del censo escolar del 2016. La línea de mejor ajuste indica que hay una tendencia positiva, o sea, a mayor desarrollo social, mayor prevalencia de sobrepeso-obesidad. Algunos distritos, como Zapotal, Picagres y Desamparaditos alcanzar</w:t>
      </w:r>
      <w:r w:rsidR="00B461AB" w:rsidRPr="003A05DB">
        <w:rPr>
          <w:rFonts w:ascii="Arial" w:hAnsi="Arial" w:cs="Arial"/>
          <w:color w:val="000000"/>
          <w:lang w:val="es-ES"/>
        </w:rPr>
        <w:t>o</w:t>
      </w:r>
      <w:r w:rsidRPr="003A05DB">
        <w:rPr>
          <w:rFonts w:ascii="Arial" w:hAnsi="Arial" w:cs="Arial"/>
          <w:color w:val="000000"/>
          <w:lang w:val="es-ES"/>
        </w:rPr>
        <w:t xml:space="preserve">n cifras mayores al 50% de sobrepeso-obesidad. </w:t>
      </w:r>
    </w:p>
    <w:p w:rsidR="004777D8" w:rsidRDefault="004777D8" w:rsidP="004777D8">
      <w:pPr>
        <w:spacing w:line="276" w:lineRule="auto"/>
        <w:jc w:val="both"/>
        <w:rPr>
          <w:rFonts w:ascii="Arial" w:hAnsi="Arial" w:cs="Arial"/>
          <w:color w:val="000000"/>
        </w:rPr>
      </w:pPr>
      <w:r w:rsidRPr="00506E66">
        <w:rPr>
          <w:rFonts w:ascii="Arial" w:hAnsi="Arial" w:cs="Arial"/>
          <w:color w:val="000000"/>
        </w:rPr>
        <w:t>Por otro lado, ocho distritos mostraron cifras menores a</w:t>
      </w:r>
      <w:r w:rsidR="00B461AB">
        <w:rPr>
          <w:rFonts w:ascii="Arial" w:hAnsi="Arial" w:cs="Arial"/>
          <w:color w:val="000000"/>
        </w:rPr>
        <w:t>l</w:t>
      </w:r>
      <w:r w:rsidRPr="00506E66">
        <w:rPr>
          <w:rFonts w:ascii="Arial" w:hAnsi="Arial" w:cs="Arial"/>
          <w:color w:val="000000"/>
        </w:rPr>
        <w:t xml:space="preserve"> 20%: Zapote (19</w:t>
      </w:r>
      <w:r w:rsidR="00B461AB">
        <w:rPr>
          <w:rFonts w:ascii="Arial" w:hAnsi="Arial" w:cs="Arial"/>
          <w:color w:val="000000"/>
        </w:rPr>
        <w:t>,</w:t>
      </w:r>
      <w:r w:rsidRPr="00506E66">
        <w:rPr>
          <w:rFonts w:ascii="Arial" w:hAnsi="Arial" w:cs="Arial"/>
          <w:color w:val="000000"/>
        </w:rPr>
        <w:t>6%), Sierra (17</w:t>
      </w:r>
      <w:r w:rsidR="00B461AB">
        <w:rPr>
          <w:rFonts w:ascii="Arial" w:hAnsi="Arial" w:cs="Arial"/>
          <w:color w:val="000000"/>
        </w:rPr>
        <w:t>,</w:t>
      </w:r>
      <w:r w:rsidRPr="00506E66">
        <w:rPr>
          <w:rFonts w:ascii="Arial" w:hAnsi="Arial" w:cs="Arial"/>
          <w:color w:val="000000"/>
        </w:rPr>
        <w:t>5%), Carara (16</w:t>
      </w:r>
      <w:r w:rsidR="00B461AB">
        <w:rPr>
          <w:rFonts w:ascii="Arial" w:hAnsi="Arial" w:cs="Arial"/>
          <w:color w:val="000000"/>
        </w:rPr>
        <w:t>,</w:t>
      </w:r>
      <w:r w:rsidRPr="00506E66">
        <w:rPr>
          <w:rFonts w:ascii="Arial" w:hAnsi="Arial" w:cs="Arial"/>
          <w:color w:val="000000"/>
        </w:rPr>
        <w:t>7%), Chánguena (16</w:t>
      </w:r>
      <w:r w:rsidR="00B461AB">
        <w:rPr>
          <w:rFonts w:ascii="Arial" w:hAnsi="Arial" w:cs="Arial"/>
          <w:color w:val="000000"/>
        </w:rPr>
        <w:t>,</w:t>
      </w:r>
      <w:r w:rsidRPr="00506E66">
        <w:rPr>
          <w:rFonts w:ascii="Arial" w:hAnsi="Arial" w:cs="Arial"/>
          <w:color w:val="000000"/>
        </w:rPr>
        <w:t>2%), Santa Cruz (15</w:t>
      </w:r>
      <w:r w:rsidR="00B461AB">
        <w:rPr>
          <w:rFonts w:ascii="Arial" w:hAnsi="Arial" w:cs="Arial"/>
          <w:color w:val="000000"/>
        </w:rPr>
        <w:t>,</w:t>
      </w:r>
      <w:r w:rsidRPr="00506E66">
        <w:rPr>
          <w:rFonts w:ascii="Arial" w:hAnsi="Arial" w:cs="Arial"/>
          <w:color w:val="000000"/>
        </w:rPr>
        <w:t>6%), Líbano (15</w:t>
      </w:r>
      <w:r w:rsidR="00B461AB">
        <w:rPr>
          <w:rFonts w:ascii="Arial" w:hAnsi="Arial" w:cs="Arial"/>
          <w:color w:val="000000"/>
        </w:rPr>
        <w:t>,</w:t>
      </w:r>
      <w:r w:rsidRPr="00506E66">
        <w:rPr>
          <w:rFonts w:ascii="Arial" w:hAnsi="Arial" w:cs="Arial"/>
          <w:color w:val="000000"/>
        </w:rPr>
        <w:t>1%), Jardín (12</w:t>
      </w:r>
      <w:r w:rsidR="00B461AB">
        <w:rPr>
          <w:rFonts w:ascii="Arial" w:hAnsi="Arial" w:cs="Arial"/>
          <w:color w:val="000000"/>
        </w:rPr>
        <w:t>,</w:t>
      </w:r>
      <w:r w:rsidRPr="00506E66">
        <w:rPr>
          <w:rFonts w:ascii="Arial" w:hAnsi="Arial" w:cs="Arial"/>
          <w:color w:val="000000"/>
        </w:rPr>
        <w:t xml:space="preserve">5%) y Chirripó </w:t>
      </w:r>
      <w:r w:rsidR="00B461AB">
        <w:rPr>
          <w:rFonts w:ascii="Arial" w:hAnsi="Arial" w:cs="Arial"/>
          <w:color w:val="000000"/>
        </w:rPr>
        <w:t xml:space="preserve">el cual </w:t>
      </w:r>
      <w:r w:rsidRPr="00506E66">
        <w:rPr>
          <w:rFonts w:ascii="Arial" w:hAnsi="Arial" w:cs="Arial"/>
          <w:color w:val="000000"/>
        </w:rPr>
        <w:t>ocupa la posición 0 del IDS con una prevalencia de 18</w:t>
      </w:r>
      <w:r w:rsidR="00B461AB">
        <w:rPr>
          <w:rFonts w:ascii="Arial" w:hAnsi="Arial" w:cs="Arial"/>
          <w:color w:val="000000"/>
        </w:rPr>
        <w:t>,</w:t>
      </w:r>
      <w:r w:rsidRPr="00506E66">
        <w:rPr>
          <w:rFonts w:ascii="Arial" w:hAnsi="Arial" w:cs="Arial"/>
          <w:color w:val="000000"/>
        </w:rPr>
        <w:t>1% y está ubicado en el cantón de Turrialba.</w:t>
      </w:r>
    </w:p>
    <w:p w:rsidR="004777D8" w:rsidRDefault="004777D8" w:rsidP="004777D8">
      <w:pPr>
        <w:spacing w:line="276" w:lineRule="auto"/>
        <w:jc w:val="center"/>
        <w:rPr>
          <w:rFonts w:ascii="Arial" w:hAnsi="Arial" w:cs="Arial"/>
          <w:b/>
          <w:color w:val="000000"/>
        </w:rPr>
      </w:pPr>
    </w:p>
    <w:p w:rsidR="00FC4700" w:rsidRDefault="00FC4700" w:rsidP="004777D8">
      <w:pPr>
        <w:spacing w:line="276" w:lineRule="auto"/>
        <w:jc w:val="center"/>
        <w:rPr>
          <w:rFonts w:ascii="Arial" w:hAnsi="Arial" w:cs="Arial"/>
          <w:b/>
          <w:color w:val="000000"/>
        </w:rPr>
      </w:pPr>
    </w:p>
    <w:p w:rsidR="00845B3F" w:rsidRDefault="00845B3F">
      <w:pPr>
        <w:spacing w:after="160" w:line="259" w:lineRule="auto"/>
        <w:rPr>
          <w:rFonts w:ascii="Arial" w:hAnsi="Arial" w:cs="Arial"/>
          <w:b/>
          <w:color w:val="000000"/>
        </w:rPr>
      </w:pPr>
      <w:r>
        <w:rPr>
          <w:rFonts w:ascii="Arial" w:hAnsi="Arial" w:cs="Arial"/>
          <w:b/>
          <w:color w:val="000000"/>
        </w:rPr>
        <w:br w:type="page"/>
      </w:r>
    </w:p>
    <w:p w:rsidR="00FC4700" w:rsidRDefault="00FC4700" w:rsidP="004777D8">
      <w:pPr>
        <w:spacing w:line="276" w:lineRule="auto"/>
        <w:jc w:val="center"/>
        <w:rPr>
          <w:rFonts w:ascii="Arial" w:hAnsi="Arial" w:cs="Arial"/>
          <w:b/>
          <w:color w:val="000000"/>
        </w:rPr>
      </w:pPr>
    </w:p>
    <w:p w:rsidR="004777D8" w:rsidRDefault="004777D8" w:rsidP="004777D8">
      <w:pPr>
        <w:spacing w:line="276" w:lineRule="auto"/>
        <w:jc w:val="center"/>
        <w:rPr>
          <w:rFonts w:ascii="Arial" w:hAnsi="Arial" w:cs="Arial"/>
          <w:b/>
          <w:color w:val="000000"/>
        </w:rPr>
      </w:pPr>
      <w:r w:rsidRPr="00B461AB">
        <w:rPr>
          <w:rFonts w:ascii="Arial" w:hAnsi="Arial" w:cs="Arial"/>
          <w:b/>
          <w:color w:val="000000"/>
        </w:rPr>
        <w:t xml:space="preserve">Gráfico </w:t>
      </w:r>
      <w:r w:rsidR="00A308AA">
        <w:rPr>
          <w:rFonts w:ascii="Arial" w:hAnsi="Arial" w:cs="Arial"/>
          <w:b/>
          <w:color w:val="000000"/>
        </w:rPr>
        <w:t>1</w:t>
      </w:r>
      <w:r w:rsidR="00845B3F">
        <w:rPr>
          <w:rFonts w:ascii="Arial" w:hAnsi="Arial" w:cs="Arial"/>
          <w:b/>
          <w:color w:val="000000"/>
        </w:rPr>
        <w:t>1</w:t>
      </w:r>
    </w:p>
    <w:p w:rsidR="00B461AB" w:rsidRDefault="004777D8" w:rsidP="004777D8">
      <w:pPr>
        <w:spacing w:line="276" w:lineRule="auto"/>
        <w:jc w:val="center"/>
        <w:rPr>
          <w:rFonts w:ascii="Arial" w:hAnsi="Arial" w:cs="Arial"/>
          <w:b/>
          <w:color w:val="000000"/>
        </w:rPr>
      </w:pPr>
      <w:r w:rsidRPr="00506E66">
        <w:rPr>
          <w:rFonts w:ascii="Arial" w:hAnsi="Arial" w:cs="Arial"/>
          <w:b/>
          <w:color w:val="000000"/>
        </w:rPr>
        <w:t xml:space="preserve">Correlación </w:t>
      </w:r>
      <w:r w:rsidR="00B461AB">
        <w:rPr>
          <w:rFonts w:ascii="Arial" w:hAnsi="Arial" w:cs="Arial"/>
          <w:b/>
          <w:color w:val="000000"/>
        </w:rPr>
        <w:t xml:space="preserve">entre el </w:t>
      </w:r>
      <w:r w:rsidRPr="00506E66">
        <w:rPr>
          <w:rFonts w:ascii="Arial" w:hAnsi="Arial" w:cs="Arial"/>
          <w:b/>
          <w:color w:val="000000"/>
        </w:rPr>
        <w:t xml:space="preserve">IDS 2013 con </w:t>
      </w:r>
      <w:r w:rsidR="00B461AB">
        <w:rPr>
          <w:rFonts w:ascii="Arial" w:hAnsi="Arial" w:cs="Arial"/>
          <w:b/>
          <w:color w:val="000000"/>
        </w:rPr>
        <w:t xml:space="preserve">la prevalencia de </w:t>
      </w:r>
      <w:r w:rsidRPr="00506E66">
        <w:rPr>
          <w:rFonts w:ascii="Arial" w:hAnsi="Arial" w:cs="Arial"/>
          <w:b/>
          <w:color w:val="000000"/>
        </w:rPr>
        <w:t>sobrepe</w:t>
      </w:r>
      <w:r>
        <w:rPr>
          <w:rFonts w:ascii="Arial" w:hAnsi="Arial" w:cs="Arial"/>
          <w:b/>
          <w:color w:val="000000"/>
        </w:rPr>
        <w:t>so</w:t>
      </w:r>
    </w:p>
    <w:p w:rsidR="004777D8" w:rsidRPr="003A05DB" w:rsidRDefault="004777D8" w:rsidP="004777D8">
      <w:pPr>
        <w:spacing w:line="276" w:lineRule="auto"/>
        <w:jc w:val="center"/>
        <w:rPr>
          <w:rFonts w:ascii="Arial" w:hAnsi="Arial" w:cs="Arial"/>
          <w:b/>
          <w:color w:val="000000"/>
          <w:lang w:val="es-ES"/>
        </w:rPr>
      </w:pPr>
      <w:r>
        <w:rPr>
          <w:rFonts w:ascii="Arial" w:hAnsi="Arial" w:cs="Arial"/>
          <w:b/>
          <w:color w:val="000000"/>
        </w:rPr>
        <w:t xml:space="preserve"> </w:t>
      </w:r>
      <w:r w:rsidRPr="003A05DB">
        <w:rPr>
          <w:rFonts w:ascii="Arial" w:hAnsi="Arial" w:cs="Arial"/>
          <w:b/>
          <w:color w:val="000000"/>
          <w:lang w:val="es-ES"/>
        </w:rPr>
        <w:t>y obesidad a nivel distrital</w:t>
      </w:r>
      <w:r w:rsidR="00B461AB" w:rsidRPr="003A05DB">
        <w:rPr>
          <w:rFonts w:ascii="Arial" w:hAnsi="Arial" w:cs="Arial"/>
          <w:b/>
          <w:color w:val="000000"/>
          <w:lang w:val="es-ES"/>
        </w:rPr>
        <w:t>, Costa Rica 2016.</w:t>
      </w:r>
    </w:p>
    <w:p w:rsidR="004777D8" w:rsidRDefault="004777D8" w:rsidP="004777D8">
      <w:pPr>
        <w:spacing w:line="276" w:lineRule="auto"/>
        <w:contextualSpacing/>
        <w:jc w:val="center"/>
        <w:rPr>
          <w:rFonts w:ascii="Arial" w:hAnsi="Arial" w:cs="Arial"/>
          <w:color w:val="000000"/>
        </w:rPr>
      </w:pPr>
      <w:r w:rsidRPr="00703004">
        <w:rPr>
          <w:rFonts w:ascii="Arial" w:hAnsi="Arial" w:cs="Arial"/>
          <w:noProof/>
          <w:color w:val="000000"/>
          <w:lang w:val="es-CR" w:eastAsia="es-CR"/>
        </w:rPr>
        <w:drawing>
          <wp:inline distT="0" distB="0" distL="0" distR="0" wp14:anchorId="6D89219A" wp14:editId="40DB084E">
            <wp:extent cx="4197350" cy="2120900"/>
            <wp:effectExtent l="0" t="0" r="0" b="0"/>
            <wp:docPr id="17" name="Gráfico 17">
              <a:extLst xmlns:a="http://schemas.openxmlformats.org/drawingml/2006/main">
                <a:ext uri="{FF2B5EF4-FFF2-40B4-BE49-F238E27FC236}">
                  <a16:creationId xmlns:a16="http://schemas.microsoft.com/office/drawing/2014/main" id="{00000000-0008-0000-08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777D8" w:rsidRPr="00B461AB" w:rsidRDefault="004777D8" w:rsidP="00B461AB">
      <w:pPr>
        <w:spacing w:line="276" w:lineRule="auto"/>
        <w:jc w:val="right"/>
        <w:rPr>
          <w:rFonts w:ascii="Arial" w:eastAsiaTheme="minorEastAsia" w:hAnsi="Arial" w:cs="Arial"/>
          <w:color w:val="000000" w:themeColor="text1"/>
          <w:kern w:val="24"/>
          <w:sz w:val="16"/>
          <w:szCs w:val="16"/>
          <w:lang w:eastAsia="es-CR"/>
        </w:rPr>
      </w:pPr>
      <w:r w:rsidRPr="00B461AB">
        <w:rPr>
          <w:rFonts w:ascii="Arial" w:eastAsiaTheme="minorEastAsia" w:hAnsi="Arial" w:cs="Arial"/>
          <w:b/>
          <w:color w:val="000000" w:themeColor="text1"/>
          <w:kern w:val="24"/>
          <w:sz w:val="16"/>
          <w:szCs w:val="16"/>
          <w:lang w:eastAsia="es-CR"/>
        </w:rPr>
        <w:t>Fuente:</w:t>
      </w:r>
      <w:r w:rsidRPr="00B461AB">
        <w:rPr>
          <w:rFonts w:ascii="Arial" w:eastAsiaTheme="minorEastAsia" w:hAnsi="Arial" w:cs="Arial"/>
          <w:color w:val="000000" w:themeColor="text1"/>
          <w:kern w:val="24"/>
          <w:sz w:val="16"/>
          <w:szCs w:val="16"/>
          <w:lang w:eastAsia="es-CR"/>
        </w:rPr>
        <w:t xml:space="preserve"> Censo Escolar Peso/Talla 2016</w:t>
      </w:r>
      <w:r w:rsidR="00B461AB" w:rsidRPr="00B461AB">
        <w:rPr>
          <w:rFonts w:ascii="Arial" w:eastAsiaTheme="minorEastAsia" w:hAnsi="Arial" w:cs="Arial"/>
          <w:color w:val="000000" w:themeColor="text1"/>
          <w:kern w:val="24"/>
          <w:sz w:val="16"/>
          <w:szCs w:val="16"/>
          <w:lang w:eastAsia="es-CR"/>
        </w:rPr>
        <w:t>, Índice de Desarrollo Social (</w:t>
      </w:r>
      <w:r w:rsidRPr="00B461AB">
        <w:rPr>
          <w:rFonts w:ascii="Arial" w:eastAsiaTheme="minorEastAsia" w:hAnsi="Arial" w:cs="Arial"/>
          <w:color w:val="000000" w:themeColor="text1"/>
          <w:kern w:val="24"/>
          <w:sz w:val="16"/>
          <w:szCs w:val="16"/>
          <w:lang w:eastAsia="es-CR"/>
        </w:rPr>
        <w:t>IDS)</w:t>
      </w:r>
      <w:r w:rsidR="00B461AB" w:rsidRPr="00B461AB">
        <w:rPr>
          <w:rFonts w:ascii="Arial" w:eastAsiaTheme="minorEastAsia" w:hAnsi="Arial" w:cs="Arial"/>
          <w:color w:val="000000" w:themeColor="text1"/>
          <w:kern w:val="24"/>
          <w:sz w:val="16"/>
          <w:szCs w:val="16"/>
          <w:lang w:eastAsia="es-CR"/>
        </w:rPr>
        <w:t>,</w:t>
      </w:r>
      <w:r w:rsidRPr="00B461AB">
        <w:rPr>
          <w:rFonts w:ascii="Arial" w:eastAsiaTheme="minorEastAsia" w:hAnsi="Arial" w:cs="Arial"/>
          <w:color w:val="000000" w:themeColor="text1"/>
          <w:kern w:val="24"/>
          <w:sz w:val="16"/>
          <w:szCs w:val="16"/>
          <w:lang w:eastAsia="es-CR"/>
        </w:rPr>
        <w:t xml:space="preserve"> </w:t>
      </w:r>
      <w:r w:rsidR="00B461AB" w:rsidRPr="00B461AB">
        <w:rPr>
          <w:rFonts w:ascii="Arial" w:eastAsiaTheme="minorEastAsia" w:hAnsi="Arial" w:cs="Arial"/>
          <w:color w:val="000000" w:themeColor="text1"/>
          <w:kern w:val="24"/>
          <w:sz w:val="16"/>
          <w:szCs w:val="16"/>
          <w:lang w:eastAsia="es-CR"/>
        </w:rPr>
        <w:t>2013, MIDEPLAN</w:t>
      </w:r>
    </w:p>
    <w:p w:rsidR="004777D8" w:rsidRPr="00B461AB" w:rsidRDefault="004777D8" w:rsidP="00B461AB">
      <w:pPr>
        <w:spacing w:line="276" w:lineRule="auto"/>
        <w:jc w:val="right"/>
        <w:rPr>
          <w:rFonts w:ascii="Arial" w:eastAsiaTheme="minorEastAsia" w:hAnsi="Arial" w:cs="Arial"/>
          <w:color w:val="000000" w:themeColor="text1"/>
          <w:kern w:val="24"/>
          <w:sz w:val="16"/>
          <w:szCs w:val="16"/>
          <w:lang w:eastAsia="es-CR"/>
        </w:rPr>
      </w:pPr>
      <w:r w:rsidRPr="00B461AB">
        <w:rPr>
          <w:rFonts w:ascii="Arial" w:eastAsiaTheme="minorEastAsia" w:hAnsi="Arial" w:cs="Arial"/>
          <w:color w:val="000000" w:themeColor="text1"/>
          <w:kern w:val="24"/>
          <w:sz w:val="16"/>
          <w:szCs w:val="16"/>
          <w:lang w:eastAsia="es-CR"/>
        </w:rPr>
        <w:t>Dirección de Vigilancia de la Salud, Ministerio de Salud</w:t>
      </w:r>
    </w:p>
    <w:p w:rsidR="004777D8" w:rsidRDefault="004777D8" w:rsidP="004777D8">
      <w:pPr>
        <w:spacing w:line="276" w:lineRule="auto"/>
        <w:contextualSpacing/>
        <w:jc w:val="both"/>
        <w:rPr>
          <w:rFonts w:ascii="Arial" w:hAnsi="Arial" w:cs="Arial"/>
          <w:color w:val="000000"/>
        </w:rPr>
      </w:pPr>
    </w:p>
    <w:p w:rsidR="004777D8" w:rsidRDefault="004777D8" w:rsidP="004777D8">
      <w:pPr>
        <w:spacing w:line="276" w:lineRule="auto"/>
        <w:contextualSpacing/>
        <w:jc w:val="both"/>
        <w:rPr>
          <w:rFonts w:ascii="Arial" w:hAnsi="Arial" w:cs="Arial"/>
          <w:color w:val="000000"/>
        </w:rPr>
      </w:pPr>
      <w:r w:rsidRPr="003A05DB">
        <w:rPr>
          <w:rFonts w:ascii="Arial" w:hAnsi="Arial" w:cs="Arial"/>
          <w:color w:val="000000"/>
          <w:lang w:val="es-ES"/>
        </w:rPr>
        <w:t xml:space="preserve">Basados en los antecedentes de la Encuesta Nacional de Nutrición, los </w:t>
      </w:r>
      <w:r w:rsidR="00B461AB" w:rsidRPr="003A05DB">
        <w:rPr>
          <w:rFonts w:ascii="Arial" w:hAnsi="Arial" w:cs="Arial"/>
          <w:color w:val="000000"/>
          <w:lang w:val="es-ES"/>
        </w:rPr>
        <w:t>a</w:t>
      </w:r>
      <w:r w:rsidRPr="003A05DB">
        <w:rPr>
          <w:rFonts w:ascii="Arial" w:hAnsi="Arial" w:cs="Arial"/>
          <w:color w:val="000000"/>
          <w:lang w:val="es-ES"/>
        </w:rPr>
        <w:t>dolescentes entre 13 y 19 años de edad presentaron prevalencias de 14,7% en sobrepeso y 6,1% de obesidad</w:t>
      </w:r>
      <w:r w:rsidR="00B461AB" w:rsidRPr="003A05DB">
        <w:rPr>
          <w:rFonts w:ascii="Arial" w:hAnsi="Arial" w:cs="Arial"/>
          <w:color w:val="000000"/>
          <w:lang w:val="es-ES"/>
        </w:rPr>
        <w:t>.</w:t>
      </w:r>
      <w:r w:rsidRPr="003A05DB">
        <w:rPr>
          <w:rFonts w:ascii="Arial" w:hAnsi="Arial" w:cs="Arial"/>
          <w:color w:val="000000"/>
          <w:lang w:val="es-ES"/>
        </w:rPr>
        <w:t xml:space="preserve"> </w:t>
      </w:r>
      <w:r w:rsidR="008A05CA">
        <w:rPr>
          <w:rFonts w:ascii="Arial" w:hAnsi="Arial" w:cs="Arial"/>
          <w:color w:val="000000"/>
        </w:rPr>
        <w:t xml:space="preserve">El </w:t>
      </w:r>
      <w:r w:rsidRPr="00FB188A">
        <w:rPr>
          <w:rFonts w:ascii="Arial" w:hAnsi="Arial" w:cs="Arial"/>
          <w:color w:val="000000"/>
        </w:rPr>
        <w:t>sobrepeso</w:t>
      </w:r>
      <w:r>
        <w:rPr>
          <w:rFonts w:ascii="Arial" w:hAnsi="Arial" w:cs="Arial"/>
          <w:color w:val="000000"/>
        </w:rPr>
        <w:t xml:space="preserve"> y obesidad en adultos ascendió</w:t>
      </w:r>
      <w:r w:rsidRPr="00FB188A">
        <w:rPr>
          <w:rFonts w:ascii="Arial" w:hAnsi="Arial" w:cs="Arial"/>
          <w:color w:val="000000"/>
        </w:rPr>
        <w:t xml:space="preserve"> al 64,5%. El 66,6% de las mujeres costarricenses entre 20 y 45 años</w:t>
      </w:r>
      <w:r>
        <w:rPr>
          <w:rFonts w:ascii="Arial" w:hAnsi="Arial" w:cs="Arial"/>
          <w:color w:val="000000"/>
        </w:rPr>
        <w:t xml:space="preserve"> </w:t>
      </w:r>
      <w:r w:rsidR="008A05CA">
        <w:rPr>
          <w:rFonts w:ascii="Arial" w:hAnsi="Arial" w:cs="Arial"/>
          <w:color w:val="000000"/>
        </w:rPr>
        <w:t xml:space="preserve">presentaron </w:t>
      </w:r>
      <w:r>
        <w:rPr>
          <w:rFonts w:ascii="Arial" w:hAnsi="Arial" w:cs="Arial"/>
          <w:color w:val="000000"/>
        </w:rPr>
        <w:t>obes</w:t>
      </w:r>
      <w:r w:rsidR="008A05CA">
        <w:rPr>
          <w:rFonts w:ascii="Arial" w:hAnsi="Arial" w:cs="Arial"/>
          <w:color w:val="000000"/>
        </w:rPr>
        <w:t xml:space="preserve">idad o </w:t>
      </w:r>
      <w:r w:rsidRPr="00FB188A">
        <w:rPr>
          <w:rFonts w:ascii="Arial" w:hAnsi="Arial" w:cs="Arial"/>
          <w:color w:val="000000"/>
        </w:rPr>
        <w:t>sobrepeso</w:t>
      </w:r>
      <w:r w:rsidR="008A05CA">
        <w:rPr>
          <w:rFonts w:ascii="Arial" w:hAnsi="Arial" w:cs="Arial"/>
          <w:color w:val="000000"/>
        </w:rPr>
        <w:t xml:space="preserve">, siendo el grupo más afectado el de </w:t>
      </w:r>
      <w:r w:rsidRPr="00FB188A">
        <w:rPr>
          <w:rFonts w:ascii="Arial" w:hAnsi="Arial" w:cs="Arial"/>
          <w:color w:val="000000"/>
        </w:rPr>
        <w:t>las mujeres de 45 a</w:t>
      </w:r>
      <w:r w:rsidR="008A05CA">
        <w:rPr>
          <w:rFonts w:ascii="Arial" w:hAnsi="Arial" w:cs="Arial"/>
          <w:color w:val="000000"/>
        </w:rPr>
        <w:t xml:space="preserve"> </w:t>
      </w:r>
      <w:r w:rsidRPr="00FB188A">
        <w:rPr>
          <w:rFonts w:ascii="Arial" w:hAnsi="Arial" w:cs="Arial"/>
          <w:color w:val="000000"/>
        </w:rPr>
        <w:t>64 años que r</w:t>
      </w:r>
      <w:r w:rsidR="008A05CA">
        <w:rPr>
          <w:rFonts w:ascii="Arial" w:hAnsi="Arial" w:cs="Arial"/>
          <w:color w:val="000000"/>
        </w:rPr>
        <w:t>epresentaron un 77,3%de obesidad y sobrepeso.</w:t>
      </w:r>
    </w:p>
    <w:p w:rsidR="008A05CA" w:rsidRPr="00FB188A" w:rsidRDefault="008A05CA" w:rsidP="004777D8">
      <w:pPr>
        <w:spacing w:line="276" w:lineRule="auto"/>
        <w:contextualSpacing/>
        <w:jc w:val="both"/>
        <w:rPr>
          <w:rFonts w:ascii="Arial" w:hAnsi="Arial" w:cs="Arial"/>
          <w:color w:val="000000"/>
        </w:rPr>
      </w:pPr>
    </w:p>
    <w:p w:rsidR="004777D8" w:rsidRDefault="004777D8" w:rsidP="004777D8">
      <w:pPr>
        <w:spacing w:line="276" w:lineRule="auto"/>
        <w:contextualSpacing/>
        <w:jc w:val="both"/>
        <w:rPr>
          <w:rFonts w:ascii="Arial" w:hAnsi="Arial" w:cs="Arial"/>
          <w:color w:val="000000"/>
        </w:rPr>
      </w:pPr>
      <w:r w:rsidRPr="003A05DB">
        <w:rPr>
          <w:rFonts w:ascii="Arial" w:hAnsi="Arial" w:cs="Arial"/>
          <w:color w:val="000000"/>
          <w:lang w:val="es-ES"/>
        </w:rPr>
        <w:t xml:space="preserve">En el caso de los hombres esta problemática afectó al 62,4 % de la población. </w:t>
      </w:r>
      <w:r w:rsidRPr="00FB188A">
        <w:rPr>
          <w:rFonts w:ascii="Arial" w:hAnsi="Arial" w:cs="Arial"/>
          <w:color w:val="000000"/>
        </w:rPr>
        <w:t>El 39,8% de los hombres entre 20 y 44 años presen</w:t>
      </w:r>
      <w:r>
        <w:rPr>
          <w:rFonts w:ascii="Arial" w:hAnsi="Arial" w:cs="Arial"/>
          <w:color w:val="000000"/>
        </w:rPr>
        <w:t xml:space="preserve">taron </w:t>
      </w:r>
      <w:r w:rsidRPr="00FB188A">
        <w:rPr>
          <w:rFonts w:ascii="Arial" w:hAnsi="Arial" w:cs="Arial"/>
          <w:color w:val="000000"/>
        </w:rPr>
        <w:t>sobrepeso y el 19,1% obesidad.</w:t>
      </w:r>
      <w:r w:rsidR="008A05CA">
        <w:rPr>
          <w:rFonts w:ascii="Arial" w:hAnsi="Arial" w:cs="Arial"/>
          <w:color w:val="000000"/>
        </w:rPr>
        <w:t xml:space="preserve"> </w:t>
      </w:r>
      <w:r w:rsidRPr="00FB188A">
        <w:rPr>
          <w:rFonts w:ascii="Arial" w:hAnsi="Arial" w:cs="Arial"/>
          <w:color w:val="000000"/>
        </w:rPr>
        <w:t>El 49,2% de los hombres entre 45 y 64 añ</w:t>
      </w:r>
      <w:r w:rsidRPr="00C65B06">
        <w:rPr>
          <w:rFonts w:ascii="Arial" w:hAnsi="Arial" w:cs="Arial"/>
          <w:color w:val="000000"/>
        </w:rPr>
        <w:t>os mostraron</w:t>
      </w:r>
      <w:r w:rsidRPr="00FB188A">
        <w:rPr>
          <w:rFonts w:ascii="Arial" w:hAnsi="Arial" w:cs="Arial"/>
          <w:color w:val="000000"/>
        </w:rPr>
        <w:t xml:space="preserve"> sobrepeso y el 18,7% obesidad.</w:t>
      </w:r>
    </w:p>
    <w:p w:rsidR="004777D8" w:rsidRDefault="004777D8" w:rsidP="004777D8">
      <w:pPr>
        <w:spacing w:line="276" w:lineRule="auto"/>
        <w:contextualSpacing/>
        <w:jc w:val="both"/>
        <w:rPr>
          <w:rFonts w:ascii="Arial" w:hAnsi="Arial" w:cs="Arial"/>
          <w:color w:val="000000"/>
        </w:rPr>
      </w:pPr>
    </w:p>
    <w:p w:rsidR="004777D8" w:rsidRDefault="004777D8" w:rsidP="004777D8">
      <w:pPr>
        <w:spacing w:line="276" w:lineRule="auto"/>
        <w:contextualSpacing/>
        <w:jc w:val="both"/>
        <w:rPr>
          <w:rFonts w:ascii="Arial" w:hAnsi="Arial" w:cs="Arial"/>
          <w:color w:val="000000"/>
        </w:rPr>
      </w:pPr>
      <w:r>
        <w:rPr>
          <w:rFonts w:ascii="Arial" w:hAnsi="Arial" w:cs="Arial"/>
          <w:color w:val="000000"/>
        </w:rPr>
        <w:t xml:space="preserve">Las </w:t>
      </w:r>
      <w:r w:rsidR="008A05CA">
        <w:rPr>
          <w:rFonts w:ascii="Arial" w:hAnsi="Arial" w:cs="Arial"/>
          <w:color w:val="000000"/>
        </w:rPr>
        <w:t>“</w:t>
      </w:r>
      <w:r w:rsidRPr="008A05CA">
        <w:rPr>
          <w:rFonts w:ascii="Arial" w:hAnsi="Arial" w:cs="Arial"/>
          <w:i/>
          <w:color w:val="000000"/>
        </w:rPr>
        <w:t xml:space="preserve">Encuestas de Factores de Riesgo </w:t>
      </w:r>
      <w:r w:rsidR="008A05CA">
        <w:rPr>
          <w:rFonts w:ascii="Arial" w:hAnsi="Arial" w:cs="Arial"/>
          <w:i/>
          <w:color w:val="000000"/>
        </w:rPr>
        <w:t xml:space="preserve">Cardiaovascular </w:t>
      </w:r>
      <w:r w:rsidRPr="008A05CA">
        <w:rPr>
          <w:rFonts w:ascii="Arial" w:hAnsi="Arial" w:cs="Arial"/>
          <w:i/>
          <w:color w:val="000000"/>
        </w:rPr>
        <w:t>de la Caja Costarricense del Seguro Social</w:t>
      </w:r>
      <w:r w:rsidR="008A05CA">
        <w:rPr>
          <w:rFonts w:ascii="Arial" w:hAnsi="Arial" w:cs="Arial"/>
          <w:color w:val="000000"/>
        </w:rPr>
        <w:t>”</w:t>
      </w:r>
      <w:r>
        <w:rPr>
          <w:rFonts w:ascii="Arial" w:hAnsi="Arial" w:cs="Arial"/>
          <w:color w:val="000000"/>
        </w:rPr>
        <w:t xml:space="preserve"> </w:t>
      </w:r>
      <w:r w:rsidR="008A05CA">
        <w:rPr>
          <w:rFonts w:ascii="Arial" w:hAnsi="Arial" w:cs="Arial"/>
          <w:color w:val="000000"/>
        </w:rPr>
        <w:t xml:space="preserve">realizada </w:t>
      </w:r>
      <w:r>
        <w:rPr>
          <w:rFonts w:ascii="Arial" w:hAnsi="Arial" w:cs="Arial"/>
          <w:color w:val="000000"/>
        </w:rPr>
        <w:t xml:space="preserve">en </w:t>
      </w:r>
      <w:r w:rsidR="008A05CA">
        <w:rPr>
          <w:rFonts w:ascii="Arial" w:hAnsi="Arial" w:cs="Arial"/>
          <w:color w:val="000000"/>
        </w:rPr>
        <w:t xml:space="preserve">la </w:t>
      </w:r>
      <w:r>
        <w:rPr>
          <w:rFonts w:ascii="Arial" w:hAnsi="Arial" w:cs="Arial"/>
          <w:color w:val="000000"/>
        </w:rPr>
        <w:t>población de 19 años y más, determin</w:t>
      </w:r>
      <w:r w:rsidR="008A05CA">
        <w:rPr>
          <w:rFonts w:ascii="Arial" w:hAnsi="Arial" w:cs="Arial"/>
          <w:color w:val="000000"/>
        </w:rPr>
        <w:t>ó</w:t>
      </w:r>
      <w:r>
        <w:rPr>
          <w:rFonts w:ascii="Arial" w:hAnsi="Arial" w:cs="Arial"/>
          <w:color w:val="000000"/>
        </w:rPr>
        <w:t xml:space="preserve"> para </w:t>
      </w:r>
      <w:r w:rsidR="008A05CA">
        <w:rPr>
          <w:rFonts w:ascii="Arial" w:hAnsi="Arial" w:cs="Arial"/>
          <w:color w:val="000000"/>
        </w:rPr>
        <w:t xml:space="preserve">los años </w:t>
      </w:r>
      <w:r>
        <w:rPr>
          <w:rFonts w:ascii="Arial" w:hAnsi="Arial" w:cs="Arial"/>
          <w:color w:val="000000"/>
        </w:rPr>
        <w:t>2010 y 2014</w:t>
      </w:r>
      <w:r w:rsidR="008A05CA">
        <w:rPr>
          <w:rFonts w:ascii="Arial" w:hAnsi="Arial" w:cs="Arial"/>
          <w:color w:val="000000"/>
        </w:rPr>
        <w:t>,</w:t>
      </w:r>
      <w:r>
        <w:rPr>
          <w:rFonts w:ascii="Arial" w:hAnsi="Arial" w:cs="Arial"/>
          <w:color w:val="000000"/>
        </w:rPr>
        <w:t xml:space="preserve"> prevalencia</w:t>
      </w:r>
      <w:r w:rsidR="008A05CA">
        <w:rPr>
          <w:rFonts w:ascii="Arial" w:hAnsi="Arial" w:cs="Arial"/>
          <w:color w:val="000000"/>
        </w:rPr>
        <w:t>s</w:t>
      </w:r>
      <w:r>
        <w:rPr>
          <w:rFonts w:ascii="Arial" w:hAnsi="Arial" w:cs="Arial"/>
          <w:color w:val="000000"/>
        </w:rPr>
        <w:t xml:space="preserve"> de sobrepeso del 36,1% y 36,8% respectivamente, </w:t>
      </w:r>
      <w:r w:rsidR="008A05CA">
        <w:rPr>
          <w:rFonts w:ascii="Arial" w:hAnsi="Arial" w:cs="Arial"/>
          <w:color w:val="000000"/>
        </w:rPr>
        <w:t>y de o</w:t>
      </w:r>
      <w:r>
        <w:rPr>
          <w:rFonts w:ascii="Arial" w:hAnsi="Arial" w:cs="Arial"/>
          <w:color w:val="000000"/>
        </w:rPr>
        <w:t>besidad</w:t>
      </w:r>
      <w:r w:rsidR="008A05CA">
        <w:rPr>
          <w:rFonts w:ascii="Arial" w:hAnsi="Arial" w:cs="Arial"/>
          <w:color w:val="000000"/>
        </w:rPr>
        <w:t>,</w:t>
      </w:r>
      <w:r>
        <w:rPr>
          <w:rFonts w:ascii="Arial" w:hAnsi="Arial" w:cs="Arial"/>
          <w:color w:val="000000"/>
        </w:rPr>
        <w:t xml:space="preserve"> </w:t>
      </w:r>
      <w:r w:rsidR="008A05CA">
        <w:rPr>
          <w:rFonts w:ascii="Arial" w:hAnsi="Arial" w:cs="Arial"/>
          <w:color w:val="000000"/>
        </w:rPr>
        <w:t xml:space="preserve">de </w:t>
      </w:r>
      <w:r>
        <w:rPr>
          <w:rFonts w:ascii="Arial" w:hAnsi="Arial" w:cs="Arial"/>
          <w:color w:val="000000"/>
        </w:rPr>
        <w:t>25,9% y 29,4% respectivamente.</w:t>
      </w:r>
    </w:p>
    <w:p w:rsidR="008A05CA" w:rsidRDefault="008A05CA" w:rsidP="004777D8">
      <w:pPr>
        <w:spacing w:line="276" w:lineRule="auto"/>
        <w:contextualSpacing/>
        <w:jc w:val="both"/>
        <w:rPr>
          <w:rFonts w:ascii="Arial" w:hAnsi="Arial" w:cs="Arial"/>
          <w:color w:val="000000"/>
        </w:rPr>
      </w:pPr>
    </w:p>
    <w:p w:rsidR="008A05CA" w:rsidRDefault="008A05CA" w:rsidP="004777D8">
      <w:pPr>
        <w:spacing w:line="276" w:lineRule="auto"/>
        <w:contextualSpacing/>
        <w:jc w:val="both"/>
        <w:rPr>
          <w:rFonts w:ascii="Arial" w:hAnsi="Arial" w:cs="Arial"/>
          <w:color w:val="000000"/>
        </w:rPr>
      </w:pPr>
    </w:p>
    <w:p w:rsidR="008A05CA" w:rsidRDefault="008A05CA" w:rsidP="004777D8">
      <w:pPr>
        <w:spacing w:line="276" w:lineRule="auto"/>
        <w:contextualSpacing/>
        <w:jc w:val="both"/>
        <w:rPr>
          <w:rFonts w:ascii="Arial" w:hAnsi="Arial" w:cs="Arial"/>
          <w:color w:val="000000"/>
        </w:rPr>
      </w:pPr>
    </w:p>
    <w:p w:rsidR="008A05CA" w:rsidRDefault="008A05CA" w:rsidP="004777D8">
      <w:pPr>
        <w:spacing w:line="276" w:lineRule="auto"/>
        <w:contextualSpacing/>
        <w:jc w:val="both"/>
        <w:rPr>
          <w:rFonts w:ascii="Arial" w:hAnsi="Arial" w:cs="Arial"/>
          <w:color w:val="000000"/>
        </w:rPr>
      </w:pPr>
    </w:p>
    <w:p w:rsidR="008A05CA" w:rsidRDefault="008A05CA" w:rsidP="004777D8">
      <w:pPr>
        <w:spacing w:line="276" w:lineRule="auto"/>
        <w:contextualSpacing/>
        <w:jc w:val="both"/>
        <w:rPr>
          <w:rFonts w:ascii="Arial" w:hAnsi="Arial" w:cs="Arial"/>
          <w:color w:val="000000"/>
        </w:rPr>
      </w:pPr>
    </w:p>
    <w:p w:rsidR="008A05CA" w:rsidRDefault="008A05CA" w:rsidP="004777D8">
      <w:pPr>
        <w:spacing w:line="276" w:lineRule="auto"/>
        <w:contextualSpacing/>
        <w:jc w:val="both"/>
        <w:rPr>
          <w:rFonts w:ascii="Arial" w:hAnsi="Arial" w:cs="Arial"/>
          <w:color w:val="000000"/>
        </w:rPr>
      </w:pPr>
    </w:p>
    <w:p w:rsidR="008A05CA" w:rsidRDefault="008A05CA">
      <w:pPr>
        <w:spacing w:after="160" w:line="259" w:lineRule="auto"/>
        <w:rPr>
          <w:rFonts w:ascii="Arial" w:hAnsi="Arial" w:cs="Arial"/>
          <w:color w:val="000000"/>
        </w:rPr>
      </w:pPr>
      <w:r>
        <w:rPr>
          <w:rFonts w:ascii="Arial" w:hAnsi="Arial" w:cs="Arial"/>
          <w:color w:val="000000"/>
        </w:rPr>
        <w:br w:type="page"/>
      </w:r>
    </w:p>
    <w:p w:rsidR="004777D8" w:rsidRPr="008A05CA" w:rsidRDefault="008A05CA" w:rsidP="004777D8">
      <w:pPr>
        <w:spacing w:line="276" w:lineRule="auto"/>
        <w:contextualSpacing/>
        <w:jc w:val="center"/>
        <w:rPr>
          <w:rFonts w:ascii="Arial" w:hAnsi="Arial" w:cs="Arial"/>
          <w:b/>
          <w:color w:val="000000"/>
        </w:rPr>
      </w:pPr>
      <w:r w:rsidRPr="008A05CA">
        <w:rPr>
          <w:rFonts w:ascii="Arial" w:hAnsi="Arial" w:cs="Arial"/>
          <w:b/>
          <w:color w:val="000000"/>
        </w:rPr>
        <w:lastRenderedPageBreak/>
        <w:t xml:space="preserve">Cuadro </w:t>
      </w:r>
      <w:r w:rsidR="00A308AA">
        <w:rPr>
          <w:rFonts w:ascii="Arial" w:hAnsi="Arial" w:cs="Arial"/>
          <w:b/>
          <w:color w:val="000000"/>
        </w:rPr>
        <w:t>17</w:t>
      </w:r>
    </w:p>
    <w:p w:rsidR="00A308AA" w:rsidRDefault="00A308AA" w:rsidP="004777D8">
      <w:pPr>
        <w:spacing w:line="276" w:lineRule="auto"/>
        <w:contextualSpacing/>
        <w:jc w:val="center"/>
        <w:rPr>
          <w:rFonts w:ascii="Arial" w:hAnsi="Arial" w:cs="Arial"/>
          <w:b/>
          <w:color w:val="000000"/>
        </w:rPr>
      </w:pPr>
      <w:r w:rsidRPr="008A05CA">
        <w:rPr>
          <w:rFonts w:ascii="Arial" w:hAnsi="Arial" w:cs="Arial"/>
          <w:b/>
          <w:color w:val="000000"/>
        </w:rPr>
        <w:t>Costa Rica</w:t>
      </w:r>
      <w:r>
        <w:rPr>
          <w:rFonts w:ascii="Arial" w:hAnsi="Arial" w:cs="Arial"/>
          <w:b/>
          <w:color w:val="000000"/>
        </w:rPr>
        <w:t>:</w:t>
      </w:r>
      <w:r w:rsidRPr="008A05CA">
        <w:rPr>
          <w:rFonts w:ascii="Arial" w:hAnsi="Arial" w:cs="Arial"/>
          <w:b/>
          <w:color w:val="000000"/>
        </w:rPr>
        <w:t xml:space="preserve"> </w:t>
      </w:r>
      <w:r w:rsidR="008A05CA" w:rsidRPr="008A05CA">
        <w:rPr>
          <w:rFonts w:ascii="Arial" w:hAnsi="Arial" w:cs="Arial"/>
          <w:b/>
          <w:color w:val="000000"/>
        </w:rPr>
        <w:t>Porcentaje de p</w:t>
      </w:r>
      <w:r w:rsidR="004777D8" w:rsidRPr="008A05CA">
        <w:rPr>
          <w:rFonts w:ascii="Arial" w:hAnsi="Arial" w:cs="Arial"/>
          <w:b/>
          <w:color w:val="000000"/>
        </w:rPr>
        <w:t xml:space="preserve">revalencia de </w:t>
      </w:r>
      <w:r w:rsidR="008A05CA" w:rsidRPr="008A05CA">
        <w:rPr>
          <w:rFonts w:ascii="Arial" w:hAnsi="Arial" w:cs="Arial"/>
          <w:b/>
          <w:color w:val="000000"/>
        </w:rPr>
        <w:t>s</w:t>
      </w:r>
      <w:r w:rsidR="004777D8" w:rsidRPr="008A05CA">
        <w:rPr>
          <w:rFonts w:ascii="Arial" w:hAnsi="Arial" w:cs="Arial"/>
          <w:b/>
          <w:color w:val="000000"/>
        </w:rPr>
        <w:t xml:space="preserve">obrepeso y </w:t>
      </w:r>
      <w:r w:rsidR="008A05CA" w:rsidRPr="008A05CA">
        <w:rPr>
          <w:rFonts w:ascii="Arial" w:hAnsi="Arial" w:cs="Arial"/>
          <w:b/>
          <w:color w:val="000000"/>
        </w:rPr>
        <w:t>o</w:t>
      </w:r>
      <w:r w:rsidR="004777D8" w:rsidRPr="008A05CA">
        <w:rPr>
          <w:rFonts w:ascii="Arial" w:hAnsi="Arial" w:cs="Arial"/>
          <w:b/>
          <w:color w:val="000000"/>
        </w:rPr>
        <w:t>besidad</w:t>
      </w:r>
    </w:p>
    <w:p w:rsidR="004777D8" w:rsidRPr="003A05DB" w:rsidRDefault="004777D8" w:rsidP="004777D8">
      <w:pPr>
        <w:spacing w:line="276" w:lineRule="auto"/>
        <w:contextualSpacing/>
        <w:jc w:val="center"/>
        <w:rPr>
          <w:rFonts w:ascii="Arial" w:hAnsi="Arial" w:cs="Arial"/>
          <w:b/>
          <w:color w:val="000000"/>
          <w:lang w:val="es-ES"/>
        </w:rPr>
      </w:pPr>
      <w:r w:rsidRPr="008A05CA">
        <w:rPr>
          <w:rFonts w:ascii="Arial" w:hAnsi="Arial" w:cs="Arial"/>
          <w:b/>
          <w:color w:val="000000"/>
        </w:rPr>
        <w:t xml:space="preserve"> </w:t>
      </w:r>
      <w:r w:rsidRPr="003A05DB">
        <w:rPr>
          <w:rFonts w:ascii="Arial" w:hAnsi="Arial" w:cs="Arial"/>
          <w:b/>
          <w:color w:val="000000"/>
          <w:lang w:val="es-ES"/>
        </w:rPr>
        <w:t>en adultos de 20 años y más, 2010 y 2014</w:t>
      </w:r>
    </w:p>
    <w:tbl>
      <w:tblPr>
        <w:tblW w:w="8058" w:type="dxa"/>
        <w:jc w:val="center"/>
        <w:tblCellMar>
          <w:left w:w="70" w:type="dxa"/>
          <w:right w:w="70" w:type="dxa"/>
        </w:tblCellMar>
        <w:tblLook w:val="04A0" w:firstRow="1" w:lastRow="0" w:firstColumn="1" w:lastColumn="0" w:noHBand="0" w:noVBand="1"/>
      </w:tblPr>
      <w:tblGrid>
        <w:gridCol w:w="1401"/>
        <w:gridCol w:w="1493"/>
        <w:gridCol w:w="726"/>
        <w:gridCol w:w="1493"/>
        <w:gridCol w:w="726"/>
        <w:gridCol w:w="1493"/>
        <w:gridCol w:w="726"/>
      </w:tblGrid>
      <w:tr w:rsidR="004777D8" w:rsidRPr="005C5A74" w:rsidTr="00A308AA">
        <w:trPr>
          <w:trHeight w:val="263"/>
          <w:jc w:val="center"/>
        </w:trPr>
        <w:tc>
          <w:tcPr>
            <w:tcW w:w="1401"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p w:rsidR="004777D8" w:rsidRPr="003A05DB" w:rsidRDefault="004777D8" w:rsidP="00475BBF">
            <w:pPr>
              <w:jc w:val="center"/>
              <w:rPr>
                <w:rFonts w:ascii="Arial" w:eastAsia="Times New Roman" w:hAnsi="Arial" w:cs="Arial"/>
                <w:b/>
                <w:bCs/>
                <w:color w:val="000000"/>
                <w:sz w:val="20"/>
                <w:szCs w:val="20"/>
                <w:lang w:val="es-ES" w:eastAsia="es-PA"/>
              </w:rPr>
            </w:pPr>
          </w:p>
        </w:tc>
        <w:tc>
          <w:tcPr>
            <w:tcW w:w="2219" w:type="dxa"/>
            <w:gridSpan w:val="2"/>
            <w:tcBorders>
              <w:top w:val="single" w:sz="4" w:space="0" w:color="auto"/>
              <w:left w:val="nil"/>
              <w:bottom w:val="nil"/>
              <w:right w:val="nil"/>
            </w:tcBorders>
            <w:shd w:val="clear" w:color="auto" w:fill="D5DCE4" w:themeFill="text2" w:themeFillTint="33"/>
            <w:noWrap/>
            <w:vAlign w:val="bottom"/>
            <w:hideMark/>
          </w:tcPr>
          <w:p w:rsidR="004777D8" w:rsidRPr="005C5A74" w:rsidRDefault="004777D8" w:rsidP="00475BBF">
            <w:pPr>
              <w:jc w:val="center"/>
              <w:rPr>
                <w:rFonts w:ascii="Arial" w:eastAsia="Times New Roman" w:hAnsi="Arial" w:cs="Arial"/>
                <w:b/>
                <w:bCs/>
                <w:color w:val="000000"/>
                <w:sz w:val="20"/>
                <w:szCs w:val="20"/>
                <w:lang w:eastAsia="es-PA"/>
              </w:rPr>
            </w:pPr>
            <w:r w:rsidRPr="005C5A74">
              <w:rPr>
                <w:rFonts w:ascii="Arial" w:eastAsia="Times New Roman" w:hAnsi="Arial" w:cs="Arial"/>
                <w:b/>
                <w:bCs/>
                <w:color w:val="000000"/>
                <w:sz w:val="20"/>
                <w:szCs w:val="20"/>
                <w:lang w:eastAsia="es-PA"/>
              </w:rPr>
              <w:t>Población general</w:t>
            </w:r>
          </w:p>
        </w:tc>
        <w:tc>
          <w:tcPr>
            <w:tcW w:w="2219" w:type="dxa"/>
            <w:gridSpan w:val="2"/>
            <w:tcBorders>
              <w:top w:val="single" w:sz="4" w:space="0" w:color="auto"/>
              <w:left w:val="nil"/>
              <w:bottom w:val="nil"/>
              <w:right w:val="nil"/>
            </w:tcBorders>
            <w:shd w:val="clear" w:color="auto" w:fill="D5DCE4" w:themeFill="text2" w:themeFillTint="33"/>
            <w:noWrap/>
            <w:vAlign w:val="bottom"/>
            <w:hideMark/>
          </w:tcPr>
          <w:p w:rsidR="004777D8" w:rsidRPr="005C5A74" w:rsidRDefault="004777D8" w:rsidP="00475BBF">
            <w:pPr>
              <w:jc w:val="center"/>
              <w:rPr>
                <w:rFonts w:ascii="Arial" w:eastAsia="Times New Roman" w:hAnsi="Arial" w:cs="Arial"/>
                <w:b/>
                <w:bCs/>
                <w:color w:val="000000"/>
                <w:sz w:val="20"/>
                <w:szCs w:val="20"/>
                <w:lang w:eastAsia="es-PA"/>
              </w:rPr>
            </w:pPr>
            <w:r w:rsidRPr="005C5A74">
              <w:rPr>
                <w:rFonts w:ascii="Arial" w:eastAsia="Times New Roman" w:hAnsi="Arial" w:cs="Arial"/>
                <w:b/>
                <w:bCs/>
                <w:color w:val="000000"/>
                <w:sz w:val="20"/>
                <w:szCs w:val="20"/>
                <w:lang w:eastAsia="es-PA"/>
              </w:rPr>
              <w:t>Masculino</w:t>
            </w:r>
          </w:p>
        </w:tc>
        <w:tc>
          <w:tcPr>
            <w:tcW w:w="2219" w:type="dxa"/>
            <w:gridSpan w:val="2"/>
            <w:tcBorders>
              <w:top w:val="single" w:sz="4" w:space="0" w:color="auto"/>
              <w:left w:val="nil"/>
              <w:bottom w:val="nil"/>
              <w:right w:val="nil"/>
            </w:tcBorders>
            <w:shd w:val="clear" w:color="auto" w:fill="D5DCE4" w:themeFill="text2" w:themeFillTint="33"/>
            <w:noWrap/>
            <w:vAlign w:val="bottom"/>
            <w:hideMark/>
          </w:tcPr>
          <w:p w:rsidR="004777D8" w:rsidRPr="005C5A74" w:rsidRDefault="004777D8" w:rsidP="00475BBF">
            <w:pPr>
              <w:jc w:val="center"/>
              <w:rPr>
                <w:rFonts w:ascii="Arial" w:eastAsia="Times New Roman" w:hAnsi="Arial" w:cs="Arial"/>
                <w:b/>
                <w:bCs/>
                <w:color w:val="000000"/>
                <w:sz w:val="20"/>
                <w:szCs w:val="20"/>
                <w:lang w:eastAsia="es-PA"/>
              </w:rPr>
            </w:pPr>
            <w:r w:rsidRPr="005C5A74">
              <w:rPr>
                <w:rFonts w:ascii="Arial" w:eastAsia="Times New Roman" w:hAnsi="Arial" w:cs="Arial"/>
                <w:b/>
                <w:bCs/>
                <w:color w:val="000000"/>
                <w:sz w:val="20"/>
                <w:szCs w:val="20"/>
                <w:lang w:eastAsia="es-PA"/>
              </w:rPr>
              <w:t>Femenino</w:t>
            </w:r>
          </w:p>
        </w:tc>
      </w:tr>
      <w:tr w:rsidR="004777D8" w:rsidRPr="005C5A74" w:rsidTr="00A308AA">
        <w:trPr>
          <w:trHeight w:val="263"/>
          <w:jc w:val="center"/>
        </w:trPr>
        <w:tc>
          <w:tcPr>
            <w:tcW w:w="1401" w:type="dxa"/>
            <w:vMerge/>
            <w:tcBorders>
              <w:top w:val="single" w:sz="4" w:space="0" w:color="auto"/>
              <w:left w:val="nil"/>
              <w:bottom w:val="single" w:sz="4" w:space="0" w:color="000000"/>
              <w:right w:val="nil"/>
            </w:tcBorders>
            <w:shd w:val="clear" w:color="auto" w:fill="D5DCE4" w:themeFill="text2" w:themeFillTint="33"/>
            <w:vAlign w:val="center"/>
            <w:hideMark/>
          </w:tcPr>
          <w:p w:rsidR="004777D8" w:rsidRPr="005C5A74" w:rsidRDefault="004777D8" w:rsidP="00475BBF">
            <w:pPr>
              <w:rPr>
                <w:rFonts w:ascii="Arial" w:eastAsia="Times New Roman" w:hAnsi="Arial" w:cs="Arial"/>
                <w:b/>
                <w:bCs/>
                <w:color w:val="000000"/>
                <w:sz w:val="20"/>
                <w:szCs w:val="20"/>
                <w:lang w:eastAsia="es-PA"/>
              </w:rPr>
            </w:pPr>
          </w:p>
        </w:tc>
        <w:tc>
          <w:tcPr>
            <w:tcW w:w="1493" w:type="dxa"/>
            <w:tcBorders>
              <w:top w:val="nil"/>
              <w:left w:val="nil"/>
              <w:bottom w:val="single" w:sz="4" w:space="0" w:color="auto"/>
              <w:right w:val="nil"/>
            </w:tcBorders>
            <w:shd w:val="clear" w:color="auto" w:fill="D5DCE4" w:themeFill="text2" w:themeFillTint="33"/>
            <w:noWrap/>
            <w:vAlign w:val="bottom"/>
            <w:hideMark/>
          </w:tcPr>
          <w:p w:rsidR="004777D8" w:rsidRPr="005C5A74" w:rsidRDefault="004777D8" w:rsidP="00475BBF">
            <w:pPr>
              <w:jc w:val="center"/>
              <w:rPr>
                <w:rFonts w:ascii="Arial" w:eastAsia="Times New Roman" w:hAnsi="Arial" w:cs="Arial"/>
                <w:b/>
                <w:bCs/>
                <w:color w:val="000000"/>
                <w:sz w:val="20"/>
                <w:szCs w:val="20"/>
                <w:lang w:eastAsia="es-PA"/>
              </w:rPr>
            </w:pPr>
            <w:r w:rsidRPr="005C5A74">
              <w:rPr>
                <w:rFonts w:ascii="Arial" w:eastAsia="Times New Roman" w:hAnsi="Arial" w:cs="Arial"/>
                <w:b/>
                <w:bCs/>
                <w:color w:val="000000"/>
                <w:sz w:val="20"/>
                <w:szCs w:val="20"/>
                <w:lang w:eastAsia="es-PA"/>
              </w:rPr>
              <w:t>2010</w:t>
            </w:r>
          </w:p>
        </w:tc>
        <w:tc>
          <w:tcPr>
            <w:tcW w:w="725" w:type="dxa"/>
            <w:tcBorders>
              <w:top w:val="nil"/>
              <w:left w:val="nil"/>
              <w:bottom w:val="single" w:sz="4" w:space="0" w:color="auto"/>
              <w:right w:val="nil"/>
            </w:tcBorders>
            <w:shd w:val="clear" w:color="auto" w:fill="D5DCE4" w:themeFill="text2" w:themeFillTint="33"/>
            <w:noWrap/>
            <w:vAlign w:val="bottom"/>
            <w:hideMark/>
          </w:tcPr>
          <w:p w:rsidR="004777D8" w:rsidRPr="005C5A74" w:rsidRDefault="004777D8" w:rsidP="00475BBF">
            <w:pPr>
              <w:jc w:val="center"/>
              <w:rPr>
                <w:rFonts w:ascii="Arial" w:eastAsia="Times New Roman" w:hAnsi="Arial" w:cs="Arial"/>
                <w:b/>
                <w:bCs/>
                <w:color w:val="000000"/>
                <w:sz w:val="20"/>
                <w:szCs w:val="20"/>
                <w:lang w:eastAsia="es-PA"/>
              </w:rPr>
            </w:pPr>
            <w:r w:rsidRPr="005C5A74">
              <w:rPr>
                <w:rFonts w:ascii="Arial" w:eastAsia="Times New Roman" w:hAnsi="Arial" w:cs="Arial"/>
                <w:b/>
                <w:bCs/>
                <w:color w:val="000000"/>
                <w:sz w:val="20"/>
                <w:szCs w:val="20"/>
                <w:lang w:eastAsia="es-PA"/>
              </w:rPr>
              <w:t>2014</w:t>
            </w:r>
          </w:p>
        </w:tc>
        <w:tc>
          <w:tcPr>
            <w:tcW w:w="1493" w:type="dxa"/>
            <w:tcBorders>
              <w:top w:val="nil"/>
              <w:left w:val="nil"/>
              <w:bottom w:val="single" w:sz="4" w:space="0" w:color="auto"/>
              <w:right w:val="nil"/>
            </w:tcBorders>
            <w:shd w:val="clear" w:color="auto" w:fill="D5DCE4" w:themeFill="text2" w:themeFillTint="33"/>
            <w:noWrap/>
            <w:vAlign w:val="bottom"/>
            <w:hideMark/>
          </w:tcPr>
          <w:p w:rsidR="004777D8" w:rsidRPr="005C5A74" w:rsidRDefault="004777D8" w:rsidP="00475BBF">
            <w:pPr>
              <w:jc w:val="center"/>
              <w:rPr>
                <w:rFonts w:ascii="Arial" w:eastAsia="Times New Roman" w:hAnsi="Arial" w:cs="Arial"/>
                <w:b/>
                <w:bCs/>
                <w:color w:val="000000"/>
                <w:sz w:val="20"/>
                <w:szCs w:val="20"/>
                <w:lang w:eastAsia="es-PA"/>
              </w:rPr>
            </w:pPr>
            <w:r w:rsidRPr="005C5A74">
              <w:rPr>
                <w:rFonts w:ascii="Arial" w:eastAsia="Times New Roman" w:hAnsi="Arial" w:cs="Arial"/>
                <w:b/>
                <w:bCs/>
                <w:color w:val="000000"/>
                <w:sz w:val="20"/>
                <w:szCs w:val="20"/>
                <w:lang w:eastAsia="es-PA"/>
              </w:rPr>
              <w:t>2010</w:t>
            </w:r>
          </w:p>
        </w:tc>
        <w:tc>
          <w:tcPr>
            <w:tcW w:w="725" w:type="dxa"/>
            <w:tcBorders>
              <w:top w:val="nil"/>
              <w:left w:val="nil"/>
              <w:bottom w:val="single" w:sz="4" w:space="0" w:color="auto"/>
              <w:right w:val="nil"/>
            </w:tcBorders>
            <w:shd w:val="clear" w:color="auto" w:fill="D5DCE4" w:themeFill="text2" w:themeFillTint="33"/>
            <w:noWrap/>
            <w:vAlign w:val="bottom"/>
            <w:hideMark/>
          </w:tcPr>
          <w:p w:rsidR="004777D8" w:rsidRPr="005C5A74" w:rsidRDefault="004777D8" w:rsidP="00475BBF">
            <w:pPr>
              <w:jc w:val="center"/>
              <w:rPr>
                <w:rFonts w:ascii="Arial" w:eastAsia="Times New Roman" w:hAnsi="Arial" w:cs="Arial"/>
                <w:b/>
                <w:bCs/>
                <w:color w:val="000000"/>
                <w:sz w:val="20"/>
                <w:szCs w:val="20"/>
                <w:lang w:eastAsia="es-PA"/>
              </w:rPr>
            </w:pPr>
            <w:r w:rsidRPr="005C5A74">
              <w:rPr>
                <w:rFonts w:ascii="Arial" w:eastAsia="Times New Roman" w:hAnsi="Arial" w:cs="Arial"/>
                <w:b/>
                <w:bCs/>
                <w:color w:val="000000"/>
                <w:sz w:val="20"/>
                <w:szCs w:val="20"/>
                <w:lang w:eastAsia="es-PA"/>
              </w:rPr>
              <w:t>2014</w:t>
            </w:r>
          </w:p>
        </w:tc>
        <w:tc>
          <w:tcPr>
            <w:tcW w:w="1493" w:type="dxa"/>
            <w:tcBorders>
              <w:top w:val="nil"/>
              <w:left w:val="nil"/>
              <w:bottom w:val="single" w:sz="4" w:space="0" w:color="auto"/>
              <w:right w:val="nil"/>
            </w:tcBorders>
            <w:shd w:val="clear" w:color="auto" w:fill="D5DCE4" w:themeFill="text2" w:themeFillTint="33"/>
            <w:noWrap/>
            <w:vAlign w:val="bottom"/>
            <w:hideMark/>
          </w:tcPr>
          <w:p w:rsidR="004777D8" w:rsidRPr="005C5A74" w:rsidRDefault="004777D8" w:rsidP="00475BBF">
            <w:pPr>
              <w:jc w:val="center"/>
              <w:rPr>
                <w:rFonts w:ascii="Arial" w:eastAsia="Times New Roman" w:hAnsi="Arial" w:cs="Arial"/>
                <w:b/>
                <w:bCs/>
                <w:color w:val="000000"/>
                <w:sz w:val="20"/>
                <w:szCs w:val="20"/>
                <w:lang w:eastAsia="es-PA"/>
              </w:rPr>
            </w:pPr>
            <w:r w:rsidRPr="005C5A74">
              <w:rPr>
                <w:rFonts w:ascii="Arial" w:eastAsia="Times New Roman" w:hAnsi="Arial" w:cs="Arial"/>
                <w:b/>
                <w:bCs/>
                <w:color w:val="000000"/>
                <w:sz w:val="20"/>
                <w:szCs w:val="20"/>
                <w:lang w:eastAsia="es-PA"/>
              </w:rPr>
              <w:t>2010</w:t>
            </w:r>
          </w:p>
        </w:tc>
        <w:tc>
          <w:tcPr>
            <w:tcW w:w="725" w:type="dxa"/>
            <w:tcBorders>
              <w:top w:val="nil"/>
              <w:left w:val="nil"/>
              <w:bottom w:val="single" w:sz="4" w:space="0" w:color="auto"/>
              <w:right w:val="nil"/>
            </w:tcBorders>
            <w:shd w:val="clear" w:color="auto" w:fill="D5DCE4" w:themeFill="text2" w:themeFillTint="33"/>
            <w:noWrap/>
            <w:vAlign w:val="bottom"/>
            <w:hideMark/>
          </w:tcPr>
          <w:p w:rsidR="004777D8" w:rsidRPr="005C5A74" w:rsidRDefault="004777D8" w:rsidP="00475BBF">
            <w:pPr>
              <w:jc w:val="center"/>
              <w:rPr>
                <w:rFonts w:ascii="Arial" w:eastAsia="Times New Roman" w:hAnsi="Arial" w:cs="Arial"/>
                <w:b/>
                <w:bCs/>
                <w:color w:val="000000"/>
                <w:sz w:val="20"/>
                <w:szCs w:val="20"/>
                <w:lang w:eastAsia="es-PA"/>
              </w:rPr>
            </w:pPr>
            <w:r w:rsidRPr="005C5A74">
              <w:rPr>
                <w:rFonts w:ascii="Arial" w:eastAsia="Times New Roman" w:hAnsi="Arial" w:cs="Arial"/>
                <w:b/>
                <w:bCs/>
                <w:color w:val="000000"/>
                <w:sz w:val="20"/>
                <w:szCs w:val="20"/>
                <w:lang w:eastAsia="es-PA"/>
              </w:rPr>
              <w:t>2014</w:t>
            </w:r>
          </w:p>
        </w:tc>
      </w:tr>
      <w:tr w:rsidR="004777D8" w:rsidRPr="005C5A74" w:rsidTr="0020203E">
        <w:trPr>
          <w:trHeight w:val="409"/>
          <w:jc w:val="center"/>
        </w:trPr>
        <w:tc>
          <w:tcPr>
            <w:tcW w:w="1401" w:type="dxa"/>
            <w:tcBorders>
              <w:top w:val="nil"/>
              <w:left w:val="nil"/>
              <w:bottom w:val="nil"/>
              <w:right w:val="nil"/>
            </w:tcBorders>
            <w:shd w:val="clear" w:color="000000" w:fill="FFFFFF"/>
            <w:noWrap/>
            <w:vAlign w:val="bottom"/>
            <w:hideMark/>
          </w:tcPr>
          <w:p w:rsidR="004777D8" w:rsidRPr="005C5A74" w:rsidRDefault="004777D8" w:rsidP="00475BBF">
            <w:pP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Bajo peso</w:t>
            </w:r>
          </w:p>
        </w:tc>
        <w:tc>
          <w:tcPr>
            <w:tcW w:w="1493"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9.5</w:t>
            </w:r>
          </w:p>
        </w:tc>
        <w:tc>
          <w:tcPr>
            <w:tcW w:w="725"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10</w:t>
            </w:r>
          </w:p>
        </w:tc>
        <w:tc>
          <w:tcPr>
            <w:tcW w:w="1493"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1.7</w:t>
            </w:r>
          </w:p>
        </w:tc>
        <w:tc>
          <w:tcPr>
            <w:tcW w:w="725"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1.3</w:t>
            </w:r>
          </w:p>
        </w:tc>
        <w:tc>
          <w:tcPr>
            <w:tcW w:w="1493"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2</w:t>
            </w:r>
          </w:p>
        </w:tc>
        <w:tc>
          <w:tcPr>
            <w:tcW w:w="725"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0.4</w:t>
            </w:r>
          </w:p>
        </w:tc>
      </w:tr>
      <w:tr w:rsidR="004777D8" w:rsidRPr="005C5A74" w:rsidTr="0020203E">
        <w:trPr>
          <w:trHeight w:val="424"/>
          <w:jc w:val="center"/>
        </w:trPr>
        <w:tc>
          <w:tcPr>
            <w:tcW w:w="1401" w:type="dxa"/>
            <w:tcBorders>
              <w:top w:val="nil"/>
              <w:left w:val="nil"/>
              <w:bottom w:val="nil"/>
              <w:right w:val="nil"/>
            </w:tcBorders>
            <w:shd w:val="clear" w:color="000000" w:fill="FFFFFF"/>
            <w:noWrap/>
            <w:vAlign w:val="bottom"/>
            <w:hideMark/>
          </w:tcPr>
          <w:p w:rsidR="004777D8" w:rsidRPr="005C5A74" w:rsidRDefault="004777D8" w:rsidP="00475BBF">
            <w:pP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Normal</w:t>
            </w:r>
          </w:p>
        </w:tc>
        <w:tc>
          <w:tcPr>
            <w:tcW w:w="1493"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36.1</w:t>
            </w:r>
          </w:p>
        </w:tc>
        <w:tc>
          <w:tcPr>
            <w:tcW w:w="725"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33</w:t>
            </w:r>
          </w:p>
        </w:tc>
        <w:tc>
          <w:tcPr>
            <w:tcW w:w="1493"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39.8</w:t>
            </w:r>
          </w:p>
        </w:tc>
        <w:tc>
          <w:tcPr>
            <w:tcW w:w="725"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36.8</w:t>
            </w:r>
          </w:p>
        </w:tc>
        <w:tc>
          <w:tcPr>
            <w:tcW w:w="1493"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32.2</w:t>
            </w:r>
          </w:p>
        </w:tc>
        <w:tc>
          <w:tcPr>
            <w:tcW w:w="725"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29</w:t>
            </w:r>
          </w:p>
        </w:tc>
      </w:tr>
      <w:tr w:rsidR="004777D8" w:rsidRPr="005C5A74" w:rsidTr="0020203E">
        <w:trPr>
          <w:trHeight w:val="403"/>
          <w:jc w:val="center"/>
        </w:trPr>
        <w:tc>
          <w:tcPr>
            <w:tcW w:w="1401" w:type="dxa"/>
            <w:tcBorders>
              <w:top w:val="nil"/>
              <w:left w:val="nil"/>
              <w:bottom w:val="nil"/>
              <w:right w:val="nil"/>
            </w:tcBorders>
            <w:shd w:val="clear" w:color="000000" w:fill="FFFFFF"/>
            <w:noWrap/>
            <w:vAlign w:val="bottom"/>
            <w:hideMark/>
          </w:tcPr>
          <w:p w:rsidR="004777D8" w:rsidRPr="005C5A74" w:rsidRDefault="004777D8" w:rsidP="00475BBF">
            <w:pP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Sobrepeso</w:t>
            </w:r>
          </w:p>
        </w:tc>
        <w:tc>
          <w:tcPr>
            <w:tcW w:w="1493"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36.1</w:t>
            </w:r>
          </w:p>
        </w:tc>
        <w:tc>
          <w:tcPr>
            <w:tcW w:w="725"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36.8</w:t>
            </w:r>
          </w:p>
        </w:tc>
        <w:tc>
          <w:tcPr>
            <w:tcW w:w="1493"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37.2</w:t>
            </w:r>
          </w:p>
        </w:tc>
        <w:tc>
          <w:tcPr>
            <w:tcW w:w="725"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38.2</w:t>
            </w:r>
          </w:p>
        </w:tc>
        <w:tc>
          <w:tcPr>
            <w:tcW w:w="1493"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34.8</w:t>
            </w:r>
          </w:p>
        </w:tc>
        <w:tc>
          <w:tcPr>
            <w:tcW w:w="725" w:type="dxa"/>
            <w:tcBorders>
              <w:top w:val="nil"/>
              <w:left w:val="nil"/>
              <w:bottom w:val="nil"/>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35.3</w:t>
            </w:r>
          </w:p>
        </w:tc>
      </w:tr>
      <w:tr w:rsidR="004777D8" w:rsidRPr="005C5A74" w:rsidTr="0020203E">
        <w:trPr>
          <w:trHeight w:val="562"/>
          <w:jc w:val="center"/>
        </w:trPr>
        <w:tc>
          <w:tcPr>
            <w:tcW w:w="1401" w:type="dxa"/>
            <w:tcBorders>
              <w:top w:val="nil"/>
              <w:left w:val="nil"/>
              <w:bottom w:val="single" w:sz="4" w:space="0" w:color="auto"/>
              <w:right w:val="nil"/>
            </w:tcBorders>
            <w:shd w:val="clear" w:color="000000" w:fill="FFFFFF"/>
            <w:noWrap/>
            <w:vAlign w:val="bottom"/>
            <w:hideMark/>
          </w:tcPr>
          <w:p w:rsidR="004777D8" w:rsidRPr="005C5A74" w:rsidRDefault="004777D8" w:rsidP="00475BBF">
            <w:pP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Obesidad</w:t>
            </w:r>
          </w:p>
        </w:tc>
        <w:tc>
          <w:tcPr>
            <w:tcW w:w="1493" w:type="dxa"/>
            <w:tcBorders>
              <w:top w:val="nil"/>
              <w:left w:val="nil"/>
              <w:bottom w:val="single" w:sz="4" w:space="0" w:color="auto"/>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25,9</w:t>
            </w:r>
          </w:p>
        </w:tc>
        <w:tc>
          <w:tcPr>
            <w:tcW w:w="725" w:type="dxa"/>
            <w:tcBorders>
              <w:top w:val="nil"/>
              <w:left w:val="nil"/>
              <w:bottom w:val="single" w:sz="4" w:space="0" w:color="auto"/>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29.4</w:t>
            </w:r>
          </w:p>
        </w:tc>
        <w:tc>
          <w:tcPr>
            <w:tcW w:w="1493" w:type="dxa"/>
            <w:tcBorders>
              <w:top w:val="nil"/>
              <w:left w:val="nil"/>
              <w:bottom w:val="single" w:sz="4" w:space="0" w:color="auto"/>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21.2</w:t>
            </w:r>
          </w:p>
        </w:tc>
        <w:tc>
          <w:tcPr>
            <w:tcW w:w="725" w:type="dxa"/>
            <w:tcBorders>
              <w:top w:val="nil"/>
              <w:left w:val="nil"/>
              <w:bottom w:val="single" w:sz="4" w:space="0" w:color="auto"/>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23.7</w:t>
            </w:r>
          </w:p>
        </w:tc>
        <w:tc>
          <w:tcPr>
            <w:tcW w:w="1493" w:type="dxa"/>
            <w:tcBorders>
              <w:top w:val="nil"/>
              <w:left w:val="nil"/>
              <w:bottom w:val="single" w:sz="4" w:space="0" w:color="auto"/>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31</w:t>
            </w:r>
          </w:p>
        </w:tc>
        <w:tc>
          <w:tcPr>
            <w:tcW w:w="725" w:type="dxa"/>
            <w:tcBorders>
              <w:top w:val="nil"/>
              <w:left w:val="nil"/>
              <w:bottom w:val="single" w:sz="4" w:space="0" w:color="auto"/>
              <w:right w:val="nil"/>
            </w:tcBorders>
            <w:shd w:val="clear" w:color="000000" w:fill="FFFFFF"/>
            <w:noWrap/>
            <w:vAlign w:val="center"/>
            <w:hideMark/>
          </w:tcPr>
          <w:p w:rsidR="004777D8" w:rsidRPr="005C5A74" w:rsidRDefault="004777D8" w:rsidP="00475BBF">
            <w:pPr>
              <w:jc w:val="center"/>
              <w:rPr>
                <w:rFonts w:ascii="Arial" w:eastAsia="Times New Roman" w:hAnsi="Arial" w:cs="Arial"/>
                <w:color w:val="000000"/>
                <w:sz w:val="20"/>
                <w:szCs w:val="20"/>
                <w:lang w:eastAsia="es-PA"/>
              </w:rPr>
            </w:pPr>
            <w:r w:rsidRPr="005C5A74">
              <w:rPr>
                <w:rFonts w:ascii="Arial" w:eastAsia="Times New Roman" w:hAnsi="Arial" w:cs="Arial"/>
                <w:color w:val="000000"/>
                <w:sz w:val="20"/>
                <w:szCs w:val="20"/>
                <w:lang w:eastAsia="es-PA"/>
              </w:rPr>
              <w:t>35.3</w:t>
            </w:r>
          </w:p>
        </w:tc>
      </w:tr>
    </w:tbl>
    <w:p w:rsidR="004777D8" w:rsidRPr="0020203E" w:rsidRDefault="004777D8" w:rsidP="0020203E">
      <w:pPr>
        <w:ind w:left="357"/>
        <w:jc w:val="right"/>
        <w:rPr>
          <w:rFonts w:ascii="Arial" w:hAnsi="Arial" w:cs="Arial"/>
          <w:sz w:val="16"/>
          <w:szCs w:val="16"/>
          <w:lang w:val="es-CR"/>
        </w:rPr>
      </w:pPr>
      <w:r w:rsidRPr="008A05CA">
        <w:rPr>
          <w:rFonts w:ascii="Arial" w:hAnsi="Arial" w:cs="Arial"/>
          <w:b/>
          <w:sz w:val="18"/>
          <w:lang w:val="es-CR"/>
        </w:rPr>
        <w:t>Fuente:</w:t>
      </w:r>
      <w:r w:rsidRPr="008A05CA">
        <w:rPr>
          <w:rFonts w:ascii="Arial" w:hAnsi="Arial" w:cs="Arial"/>
          <w:sz w:val="18"/>
          <w:lang w:val="es-CR"/>
        </w:rPr>
        <w:t xml:space="preserve"> </w:t>
      </w:r>
      <w:r w:rsidRPr="0020203E">
        <w:rPr>
          <w:rFonts w:ascii="Arial" w:hAnsi="Arial" w:cs="Arial"/>
          <w:sz w:val="16"/>
          <w:szCs w:val="16"/>
          <w:lang w:val="es-CR"/>
        </w:rPr>
        <w:t>Encuesta Nacional de Factores de Riesgo Cardiovasculares, 2010, 2014 CCSS</w:t>
      </w:r>
    </w:p>
    <w:p w:rsidR="004777D8" w:rsidRPr="008A05CA" w:rsidRDefault="004777D8" w:rsidP="0020203E">
      <w:pPr>
        <w:spacing w:line="276" w:lineRule="auto"/>
        <w:contextualSpacing/>
        <w:jc w:val="right"/>
        <w:rPr>
          <w:rFonts w:ascii="Arial" w:hAnsi="Arial" w:cs="Arial"/>
          <w:sz w:val="16"/>
          <w:szCs w:val="16"/>
          <w:lang w:val="es-CR"/>
        </w:rPr>
      </w:pPr>
      <w:r w:rsidRPr="0020203E">
        <w:rPr>
          <w:rFonts w:ascii="Arial" w:hAnsi="Arial" w:cs="Arial"/>
          <w:sz w:val="16"/>
          <w:szCs w:val="16"/>
          <w:lang w:val="es-CR"/>
        </w:rPr>
        <w:t>Dirección de Vigilancia de la Salud, Ministerio de Salud</w:t>
      </w:r>
    </w:p>
    <w:p w:rsidR="008A05CA" w:rsidRPr="008A05CA" w:rsidRDefault="008A05CA" w:rsidP="0020203E">
      <w:pPr>
        <w:spacing w:line="276" w:lineRule="auto"/>
        <w:contextualSpacing/>
        <w:jc w:val="right"/>
        <w:rPr>
          <w:rFonts w:ascii="Arial" w:hAnsi="Arial" w:cs="Arial"/>
          <w:sz w:val="16"/>
          <w:szCs w:val="16"/>
          <w:lang w:val="es-CR"/>
        </w:rPr>
      </w:pPr>
    </w:p>
    <w:p w:rsidR="00C06EA9" w:rsidRDefault="00C06EA9" w:rsidP="004777D8">
      <w:pPr>
        <w:autoSpaceDE w:val="0"/>
        <w:autoSpaceDN w:val="0"/>
        <w:adjustRightInd w:val="0"/>
        <w:spacing w:line="276" w:lineRule="auto"/>
        <w:jc w:val="both"/>
        <w:rPr>
          <w:rFonts w:ascii="Arial" w:hAnsi="Arial" w:cs="Arial"/>
          <w:color w:val="000000"/>
        </w:rPr>
      </w:pPr>
    </w:p>
    <w:p w:rsidR="00C06EA9" w:rsidRPr="003A05DB" w:rsidRDefault="00C06EA9" w:rsidP="00C06EA9">
      <w:pPr>
        <w:autoSpaceDE w:val="0"/>
        <w:autoSpaceDN w:val="0"/>
        <w:adjustRightInd w:val="0"/>
        <w:spacing w:after="240" w:line="276" w:lineRule="auto"/>
        <w:jc w:val="both"/>
        <w:rPr>
          <w:rFonts w:ascii="Arial" w:hAnsi="Arial" w:cs="Arial"/>
          <w:color w:val="000000"/>
          <w:lang w:val="es-ES"/>
        </w:rPr>
      </w:pPr>
      <w:r w:rsidRPr="003A05DB">
        <w:rPr>
          <w:rFonts w:ascii="Arial" w:hAnsi="Arial" w:cs="Arial"/>
          <w:color w:val="000000"/>
          <w:lang w:val="es-ES"/>
        </w:rPr>
        <w:t>E</w:t>
      </w:r>
      <w:r w:rsidR="004777D8" w:rsidRPr="003A05DB">
        <w:rPr>
          <w:rFonts w:ascii="Arial" w:hAnsi="Arial" w:cs="Arial"/>
          <w:color w:val="000000"/>
          <w:lang w:val="es-ES"/>
        </w:rPr>
        <w:t xml:space="preserve">n el 2017 se reportó una baja tasa 10,9 por 100.000 habitantes y en el 2018 de 600 por 100.000 habitantes lo </w:t>
      </w:r>
      <w:r w:rsidRPr="003A05DB">
        <w:rPr>
          <w:rFonts w:ascii="Arial" w:hAnsi="Arial" w:cs="Arial"/>
          <w:color w:val="000000"/>
          <w:lang w:val="es-ES"/>
        </w:rPr>
        <w:t xml:space="preserve">cual </w:t>
      </w:r>
      <w:r w:rsidR="004777D8" w:rsidRPr="003A05DB">
        <w:rPr>
          <w:rFonts w:ascii="Arial" w:hAnsi="Arial" w:cs="Arial"/>
          <w:color w:val="000000"/>
          <w:lang w:val="es-ES"/>
        </w:rPr>
        <w:t xml:space="preserve">representa una incidencia estimada por medio de la notificación obligatoria menor a la que presenta el país actualmente. </w:t>
      </w:r>
      <w:r w:rsidRPr="003A05DB">
        <w:rPr>
          <w:rFonts w:ascii="Arial" w:hAnsi="Arial" w:cs="Arial"/>
          <w:color w:val="000000"/>
          <w:lang w:val="es-ES"/>
        </w:rPr>
        <w:t xml:space="preserve">Lo anterior debido a una baja notificación de los casos por parte de los servicios de salud públicos y privados.  </w:t>
      </w:r>
      <w:r w:rsidR="004777D8" w:rsidRPr="003A05DB">
        <w:rPr>
          <w:rFonts w:ascii="Arial" w:hAnsi="Arial" w:cs="Arial"/>
          <w:color w:val="000000"/>
          <w:lang w:val="es-ES"/>
        </w:rPr>
        <w:t>Las tendencias ubican a las provincias de San José y Cartago con las tasas más altas</w:t>
      </w:r>
      <w:r w:rsidRPr="003A05DB">
        <w:rPr>
          <w:rFonts w:ascii="Arial" w:hAnsi="Arial" w:cs="Arial"/>
          <w:color w:val="000000"/>
          <w:lang w:val="es-ES"/>
        </w:rPr>
        <w:t xml:space="preserve"> y a </w:t>
      </w:r>
      <w:r w:rsidR="004777D8" w:rsidRPr="003A05DB">
        <w:rPr>
          <w:rFonts w:ascii="Arial" w:hAnsi="Arial" w:cs="Arial"/>
          <w:color w:val="000000"/>
          <w:lang w:val="es-ES"/>
        </w:rPr>
        <w:t>Heredia y Alajuela</w:t>
      </w:r>
      <w:r w:rsidRPr="003A05DB">
        <w:rPr>
          <w:rFonts w:ascii="Arial" w:hAnsi="Arial" w:cs="Arial"/>
          <w:color w:val="000000"/>
          <w:lang w:val="es-ES"/>
        </w:rPr>
        <w:t xml:space="preserve">, con </w:t>
      </w:r>
      <w:r w:rsidR="004777D8" w:rsidRPr="003A05DB">
        <w:rPr>
          <w:rFonts w:ascii="Arial" w:hAnsi="Arial" w:cs="Arial"/>
          <w:color w:val="000000"/>
          <w:lang w:val="es-ES"/>
        </w:rPr>
        <w:t>las tasas más bajas</w:t>
      </w:r>
      <w:r w:rsidRPr="003A05DB">
        <w:rPr>
          <w:rFonts w:ascii="Arial" w:hAnsi="Arial" w:cs="Arial"/>
          <w:color w:val="000000"/>
          <w:lang w:val="es-ES"/>
        </w:rPr>
        <w:t>.</w:t>
      </w:r>
      <w:r w:rsidR="004777D8" w:rsidRPr="003A05DB">
        <w:rPr>
          <w:rFonts w:ascii="Arial" w:hAnsi="Arial" w:cs="Arial"/>
          <w:color w:val="000000"/>
          <w:lang w:val="es-ES"/>
        </w:rPr>
        <w:t xml:space="preserve"> </w:t>
      </w:r>
    </w:p>
    <w:p w:rsidR="004777D8" w:rsidRDefault="00C06EA9" w:rsidP="00C06EA9">
      <w:pPr>
        <w:autoSpaceDE w:val="0"/>
        <w:autoSpaceDN w:val="0"/>
        <w:adjustRightInd w:val="0"/>
        <w:spacing w:after="240" w:line="276" w:lineRule="auto"/>
        <w:jc w:val="both"/>
        <w:rPr>
          <w:rFonts w:ascii="Arial" w:hAnsi="Arial" w:cs="Arial"/>
          <w:color w:val="000000"/>
        </w:rPr>
      </w:pPr>
      <w:r w:rsidRPr="003A05DB">
        <w:rPr>
          <w:rFonts w:ascii="Arial" w:hAnsi="Arial" w:cs="Arial"/>
          <w:color w:val="000000"/>
          <w:lang w:val="es-ES"/>
        </w:rPr>
        <w:t>C</w:t>
      </w:r>
      <w:r w:rsidR="004777D8" w:rsidRPr="003A05DB">
        <w:rPr>
          <w:rFonts w:ascii="Arial" w:hAnsi="Arial" w:cs="Arial"/>
          <w:color w:val="000000"/>
          <w:lang w:val="es-ES"/>
        </w:rPr>
        <w:t xml:space="preserve">abe destacar que estos datos no son coincidentes con las tasas </w:t>
      </w:r>
      <w:r w:rsidRPr="003A05DB">
        <w:rPr>
          <w:rFonts w:ascii="Arial" w:hAnsi="Arial" w:cs="Arial"/>
          <w:color w:val="000000"/>
          <w:lang w:val="es-ES"/>
        </w:rPr>
        <w:t xml:space="preserve">nacionales </w:t>
      </w:r>
      <w:r w:rsidR="004777D8" w:rsidRPr="003A05DB">
        <w:rPr>
          <w:rFonts w:ascii="Arial" w:hAnsi="Arial" w:cs="Arial"/>
          <w:color w:val="000000"/>
          <w:lang w:val="es-ES"/>
        </w:rPr>
        <w:t xml:space="preserve">derivadas del censo escolar. </w:t>
      </w:r>
      <w:r>
        <w:rPr>
          <w:rFonts w:ascii="Arial" w:hAnsi="Arial" w:cs="Arial"/>
          <w:color w:val="000000"/>
        </w:rPr>
        <w:t>L</w:t>
      </w:r>
      <w:r w:rsidR="004777D8">
        <w:rPr>
          <w:rFonts w:ascii="Arial" w:hAnsi="Arial" w:cs="Arial"/>
          <w:color w:val="000000"/>
        </w:rPr>
        <w:t xml:space="preserve">os cantones con mayores tasas nacionales según la notificación </w:t>
      </w:r>
      <w:r>
        <w:rPr>
          <w:rFonts w:ascii="Arial" w:hAnsi="Arial" w:cs="Arial"/>
          <w:color w:val="000000"/>
        </w:rPr>
        <w:t>son:</w:t>
      </w:r>
      <w:r w:rsidR="004777D8">
        <w:rPr>
          <w:rFonts w:ascii="Arial" w:hAnsi="Arial" w:cs="Arial"/>
          <w:color w:val="000000"/>
        </w:rPr>
        <w:t xml:space="preserve"> Mora, Orotina, Dota, Santa Ana, Turrubares y San Mateo.</w:t>
      </w:r>
    </w:p>
    <w:p w:rsidR="004777D8" w:rsidRDefault="004777D8" w:rsidP="004777D8">
      <w:pPr>
        <w:autoSpaceDE w:val="0"/>
        <w:autoSpaceDN w:val="0"/>
        <w:adjustRightInd w:val="0"/>
        <w:spacing w:line="276" w:lineRule="auto"/>
        <w:jc w:val="both"/>
        <w:rPr>
          <w:rFonts w:ascii="Arial" w:hAnsi="Arial" w:cs="Arial"/>
          <w:color w:val="000000"/>
        </w:rPr>
      </w:pPr>
      <w:r>
        <w:rPr>
          <w:rFonts w:ascii="Arial" w:hAnsi="Arial" w:cs="Arial"/>
          <w:color w:val="000000"/>
        </w:rPr>
        <w:t xml:space="preserve">El grupo de edad con mayores tasas de </w:t>
      </w:r>
      <w:r w:rsidR="00C06EA9">
        <w:rPr>
          <w:rFonts w:ascii="Arial" w:hAnsi="Arial" w:cs="Arial"/>
          <w:color w:val="000000"/>
        </w:rPr>
        <w:t>o</w:t>
      </w:r>
      <w:r>
        <w:rPr>
          <w:rFonts w:ascii="Arial" w:hAnsi="Arial" w:cs="Arial"/>
          <w:color w:val="000000"/>
        </w:rPr>
        <w:t xml:space="preserve">besidad según la notificación, </w:t>
      </w:r>
      <w:r w:rsidR="00C06EA9">
        <w:rPr>
          <w:rFonts w:ascii="Arial" w:hAnsi="Arial" w:cs="Arial"/>
          <w:color w:val="000000"/>
        </w:rPr>
        <w:t xml:space="preserve">fue el de </w:t>
      </w:r>
      <w:r>
        <w:rPr>
          <w:rFonts w:ascii="Arial" w:hAnsi="Arial" w:cs="Arial"/>
          <w:color w:val="000000"/>
        </w:rPr>
        <w:t xml:space="preserve">30 a los 64 años de edad, </w:t>
      </w:r>
      <w:r w:rsidR="00C06EA9">
        <w:rPr>
          <w:rFonts w:ascii="Arial" w:hAnsi="Arial" w:cs="Arial"/>
          <w:color w:val="000000"/>
        </w:rPr>
        <w:t xml:space="preserve">y </w:t>
      </w:r>
      <w:r>
        <w:rPr>
          <w:rFonts w:ascii="Arial" w:hAnsi="Arial" w:cs="Arial"/>
          <w:color w:val="000000"/>
        </w:rPr>
        <w:t>las regiones Central Este y Central Sur las que presentan la mayor cantidad de casos reportados.</w:t>
      </w:r>
    </w:p>
    <w:p w:rsidR="004777D8" w:rsidRDefault="004777D8" w:rsidP="004777D8">
      <w:pPr>
        <w:autoSpaceDE w:val="0"/>
        <w:autoSpaceDN w:val="0"/>
        <w:adjustRightInd w:val="0"/>
        <w:spacing w:line="276" w:lineRule="auto"/>
        <w:jc w:val="both"/>
        <w:rPr>
          <w:rFonts w:ascii="Arial" w:hAnsi="Arial" w:cs="Arial"/>
          <w:color w:val="000000"/>
        </w:rPr>
      </w:pPr>
    </w:p>
    <w:p w:rsidR="004777D8" w:rsidRPr="003A05DB" w:rsidRDefault="004777D8" w:rsidP="004777D8">
      <w:pPr>
        <w:autoSpaceDE w:val="0"/>
        <w:autoSpaceDN w:val="0"/>
        <w:adjustRightInd w:val="0"/>
        <w:spacing w:line="276" w:lineRule="auto"/>
        <w:jc w:val="both"/>
        <w:rPr>
          <w:rFonts w:ascii="Arial" w:hAnsi="Arial" w:cs="Arial"/>
          <w:color w:val="000000"/>
          <w:shd w:val="clear" w:color="auto" w:fill="FFFFFF"/>
          <w:lang w:val="es-ES"/>
        </w:rPr>
      </w:pPr>
      <w:r w:rsidRPr="003A05DB">
        <w:rPr>
          <w:rFonts w:ascii="Arial" w:hAnsi="Arial" w:cs="Arial"/>
          <w:color w:val="000000"/>
          <w:lang w:val="es-ES"/>
        </w:rPr>
        <w:t xml:space="preserve">La mortalidad por </w:t>
      </w:r>
      <w:r w:rsidR="00C06EA9" w:rsidRPr="003A05DB">
        <w:rPr>
          <w:rFonts w:ascii="Arial" w:hAnsi="Arial" w:cs="Arial"/>
          <w:color w:val="000000"/>
          <w:lang w:val="es-ES"/>
        </w:rPr>
        <w:t>o</w:t>
      </w:r>
      <w:r w:rsidRPr="003A05DB">
        <w:rPr>
          <w:rFonts w:ascii="Arial" w:hAnsi="Arial" w:cs="Arial"/>
          <w:color w:val="000000"/>
          <w:lang w:val="es-ES"/>
        </w:rPr>
        <w:t xml:space="preserve">besidad debe verse asociada en relación </w:t>
      </w:r>
      <w:r w:rsidR="00C06EA9" w:rsidRPr="003A05DB">
        <w:rPr>
          <w:rFonts w:ascii="Arial" w:hAnsi="Arial" w:cs="Arial"/>
          <w:color w:val="000000"/>
          <w:lang w:val="es-ES"/>
        </w:rPr>
        <w:t xml:space="preserve">con </w:t>
      </w:r>
      <w:r w:rsidRPr="003A05DB">
        <w:rPr>
          <w:rFonts w:ascii="Arial" w:hAnsi="Arial" w:cs="Arial"/>
          <w:color w:val="000000"/>
          <w:lang w:val="es-ES"/>
        </w:rPr>
        <w:t xml:space="preserve">las </w:t>
      </w:r>
      <w:r w:rsidR="00C06EA9" w:rsidRPr="003A05DB">
        <w:rPr>
          <w:rFonts w:ascii="Arial" w:hAnsi="Arial" w:cs="Arial"/>
          <w:color w:val="000000"/>
          <w:lang w:val="es-ES"/>
        </w:rPr>
        <w:t>e</w:t>
      </w:r>
      <w:r w:rsidRPr="003A05DB">
        <w:rPr>
          <w:rFonts w:ascii="Arial" w:hAnsi="Arial" w:cs="Arial"/>
          <w:color w:val="000000"/>
          <w:lang w:val="es-ES"/>
        </w:rPr>
        <w:t xml:space="preserve">nfermedades </w:t>
      </w:r>
      <w:r w:rsidR="00C06EA9" w:rsidRPr="003A05DB">
        <w:rPr>
          <w:rFonts w:ascii="Arial" w:hAnsi="Arial" w:cs="Arial"/>
          <w:color w:val="000000"/>
          <w:lang w:val="es-ES"/>
        </w:rPr>
        <w:t>n</w:t>
      </w:r>
      <w:r w:rsidRPr="003A05DB">
        <w:rPr>
          <w:rFonts w:ascii="Arial" w:hAnsi="Arial" w:cs="Arial"/>
          <w:color w:val="000000"/>
          <w:lang w:val="es-ES"/>
        </w:rPr>
        <w:t xml:space="preserve">o </w:t>
      </w:r>
      <w:r w:rsidR="00C06EA9" w:rsidRPr="003A05DB">
        <w:rPr>
          <w:rFonts w:ascii="Arial" w:hAnsi="Arial" w:cs="Arial"/>
          <w:color w:val="000000"/>
          <w:lang w:val="es-ES"/>
        </w:rPr>
        <w:t>t</w:t>
      </w:r>
      <w:r w:rsidRPr="003A05DB">
        <w:rPr>
          <w:rFonts w:ascii="Arial" w:hAnsi="Arial" w:cs="Arial"/>
          <w:color w:val="000000"/>
          <w:lang w:val="es-ES"/>
        </w:rPr>
        <w:t xml:space="preserve">ransmisibles, es por ello que las tasas de este evento se ven </w:t>
      </w:r>
      <w:r w:rsidRPr="003A05DB">
        <w:rPr>
          <w:rFonts w:ascii="Arial" w:hAnsi="Arial" w:cs="Arial"/>
          <w:color w:val="000000"/>
          <w:shd w:val="clear" w:color="auto" w:fill="FFFFFF"/>
          <w:lang w:val="es-ES"/>
        </w:rPr>
        <w:t>subestimadas.</w:t>
      </w:r>
    </w:p>
    <w:p w:rsidR="00C06EA9" w:rsidRDefault="00C06EA9" w:rsidP="004777D8">
      <w:pPr>
        <w:pStyle w:val="Default"/>
        <w:spacing w:after="140"/>
        <w:jc w:val="center"/>
        <w:rPr>
          <w:b/>
        </w:rPr>
      </w:pPr>
    </w:p>
    <w:p w:rsidR="00C06EA9" w:rsidRDefault="00C06EA9">
      <w:pPr>
        <w:spacing w:after="160" w:line="259" w:lineRule="auto"/>
        <w:rPr>
          <w:rFonts w:ascii="YHMIE F+ Cholla Sans" w:eastAsiaTheme="minorHAnsi" w:hAnsi="YHMIE F+ Cholla Sans" w:cs="YHMIE F+ Cholla Sans"/>
          <w:b/>
          <w:color w:val="000000"/>
          <w:lang w:val="es-ES"/>
        </w:rPr>
      </w:pPr>
      <w:r w:rsidRPr="003A05DB">
        <w:rPr>
          <w:b/>
          <w:lang w:val="es-ES"/>
        </w:rPr>
        <w:br w:type="page"/>
      </w:r>
    </w:p>
    <w:p w:rsidR="004777D8" w:rsidRDefault="004777D8" w:rsidP="0020203E">
      <w:pPr>
        <w:pStyle w:val="Default"/>
        <w:jc w:val="center"/>
        <w:rPr>
          <w:b/>
        </w:rPr>
      </w:pPr>
      <w:r w:rsidRPr="00BA3861">
        <w:rPr>
          <w:b/>
        </w:rPr>
        <w:lastRenderedPageBreak/>
        <w:t xml:space="preserve">Gráfico </w:t>
      </w:r>
      <w:r w:rsidR="00C06EA9">
        <w:rPr>
          <w:b/>
        </w:rPr>
        <w:t>1</w:t>
      </w:r>
      <w:r w:rsidR="005C5A74">
        <w:rPr>
          <w:b/>
        </w:rPr>
        <w:t>2</w:t>
      </w:r>
    </w:p>
    <w:p w:rsidR="004777D8" w:rsidRDefault="004777D8" w:rsidP="0020203E">
      <w:pPr>
        <w:pStyle w:val="Default"/>
        <w:jc w:val="center"/>
        <w:rPr>
          <w:b/>
        </w:rPr>
      </w:pPr>
      <w:r>
        <w:rPr>
          <w:b/>
        </w:rPr>
        <w:t xml:space="preserve">Costa Rica: </w:t>
      </w:r>
      <w:r w:rsidRPr="00BA3861">
        <w:rPr>
          <w:b/>
        </w:rPr>
        <w:t>Mortalidad de eventos</w:t>
      </w:r>
      <w:r w:rsidR="0020203E" w:rsidRPr="0020203E">
        <w:rPr>
          <w:b/>
        </w:rPr>
        <w:t xml:space="preserve"> </w:t>
      </w:r>
      <w:r w:rsidR="0020203E">
        <w:rPr>
          <w:b/>
        </w:rPr>
        <w:t>asociados</w:t>
      </w:r>
      <w:r w:rsidR="0020203E" w:rsidRPr="0020203E">
        <w:rPr>
          <w:b/>
        </w:rPr>
        <w:t xml:space="preserve"> </w:t>
      </w:r>
      <w:r w:rsidR="0020203E">
        <w:rPr>
          <w:b/>
        </w:rPr>
        <w:t xml:space="preserve">al </w:t>
      </w:r>
      <w:r w:rsidR="0020203E" w:rsidRPr="00BA3861">
        <w:rPr>
          <w:b/>
        </w:rPr>
        <w:t>estado</w:t>
      </w:r>
    </w:p>
    <w:p w:rsidR="004777D8" w:rsidRPr="00BA3861" w:rsidRDefault="004777D8" w:rsidP="0020203E">
      <w:pPr>
        <w:pStyle w:val="Default"/>
        <w:spacing w:after="140"/>
        <w:jc w:val="center"/>
        <w:rPr>
          <w:b/>
        </w:rPr>
      </w:pPr>
      <w:r w:rsidRPr="00BA3861">
        <w:rPr>
          <w:b/>
        </w:rPr>
        <w:t>nutricional</w:t>
      </w:r>
      <w:r>
        <w:rPr>
          <w:b/>
        </w:rPr>
        <w:t xml:space="preserve">, </w:t>
      </w:r>
      <w:r w:rsidR="00C06EA9" w:rsidRPr="00BA3861">
        <w:rPr>
          <w:b/>
        </w:rPr>
        <w:t>según sexo</w:t>
      </w:r>
      <w:r w:rsidR="00C06EA9">
        <w:rPr>
          <w:b/>
        </w:rPr>
        <w:t xml:space="preserve">, </w:t>
      </w:r>
      <w:r>
        <w:rPr>
          <w:b/>
        </w:rPr>
        <w:t xml:space="preserve">2014-2018 </w:t>
      </w:r>
    </w:p>
    <w:p w:rsidR="004777D8" w:rsidRDefault="004777D8" w:rsidP="004777D8">
      <w:pPr>
        <w:pStyle w:val="Default"/>
        <w:spacing w:after="140" w:line="276" w:lineRule="auto"/>
        <w:jc w:val="center"/>
        <w:rPr>
          <w:rFonts w:ascii="TimesNewRoman" w:hAnsi="TimesNewRoman" w:cs="TimesNewRoman"/>
          <w:b/>
          <w:sz w:val="21"/>
          <w:szCs w:val="21"/>
        </w:rPr>
      </w:pPr>
      <w:r w:rsidRPr="00BF5EA4">
        <w:rPr>
          <w:rFonts w:ascii="TimesNewRoman" w:hAnsi="TimesNewRoman" w:cs="TimesNewRoman"/>
          <w:noProof/>
          <w:sz w:val="21"/>
          <w:szCs w:val="21"/>
          <w:lang w:val="es-CR" w:eastAsia="es-CR"/>
        </w:rPr>
        <w:drawing>
          <wp:inline distT="0" distB="0" distL="0" distR="0" wp14:anchorId="2DDA7FD0" wp14:editId="3266227C">
            <wp:extent cx="5052448" cy="2107770"/>
            <wp:effectExtent l="0" t="0" r="0" b="698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777D8" w:rsidRPr="0020203E" w:rsidRDefault="004777D8" w:rsidP="004777D8">
      <w:pPr>
        <w:spacing w:line="276" w:lineRule="auto"/>
        <w:jc w:val="center"/>
        <w:rPr>
          <w:rFonts w:ascii="Arial" w:eastAsiaTheme="minorEastAsia" w:hAnsi="Arial" w:cs="Arial"/>
          <w:color w:val="000000" w:themeColor="text1"/>
          <w:kern w:val="24"/>
          <w:sz w:val="18"/>
          <w:szCs w:val="18"/>
          <w:lang w:eastAsia="es-CR"/>
        </w:rPr>
      </w:pPr>
      <w:r w:rsidRPr="0020203E">
        <w:rPr>
          <w:rFonts w:ascii="Arial" w:eastAsiaTheme="minorEastAsia" w:hAnsi="Arial" w:cs="Arial"/>
          <w:b/>
          <w:color w:val="000000" w:themeColor="text1"/>
          <w:kern w:val="24"/>
          <w:sz w:val="18"/>
          <w:szCs w:val="18"/>
          <w:lang w:eastAsia="es-CR"/>
        </w:rPr>
        <w:t>Fuente:</w:t>
      </w:r>
      <w:r w:rsidRPr="0020203E">
        <w:rPr>
          <w:rFonts w:ascii="Arial" w:eastAsiaTheme="minorEastAsia" w:hAnsi="Arial" w:cs="Arial"/>
          <w:color w:val="000000" w:themeColor="text1"/>
          <w:kern w:val="24"/>
          <w:sz w:val="18"/>
          <w:szCs w:val="18"/>
          <w:lang w:eastAsia="es-CR"/>
        </w:rPr>
        <w:t xml:space="preserve"> </w:t>
      </w:r>
      <w:r w:rsidR="0020203E" w:rsidRPr="0020203E">
        <w:rPr>
          <w:rFonts w:ascii="Arial" w:eastAsiaTheme="minorEastAsia" w:hAnsi="Arial" w:cs="Arial"/>
          <w:color w:val="000000" w:themeColor="text1"/>
          <w:kern w:val="24"/>
          <w:sz w:val="18"/>
          <w:szCs w:val="18"/>
          <w:lang w:eastAsia="es-CR"/>
        </w:rPr>
        <w:t xml:space="preserve">Estadísticas en Salud, </w:t>
      </w:r>
      <w:r w:rsidRPr="0020203E">
        <w:rPr>
          <w:rFonts w:ascii="Arial" w:eastAsiaTheme="minorEastAsia" w:hAnsi="Arial" w:cs="Arial"/>
          <w:color w:val="000000" w:themeColor="text1"/>
          <w:kern w:val="24"/>
          <w:sz w:val="18"/>
          <w:szCs w:val="18"/>
          <w:lang w:eastAsia="es-CR"/>
        </w:rPr>
        <w:t>CCSS</w:t>
      </w:r>
      <w:r w:rsidR="0020203E" w:rsidRPr="0020203E">
        <w:rPr>
          <w:rFonts w:ascii="Arial" w:eastAsiaTheme="minorEastAsia" w:hAnsi="Arial" w:cs="Arial"/>
          <w:color w:val="000000" w:themeColor="text1"/>
          <w:kern w:val="24"/>
          <w:sz w:val="18"/>
          <w:szCs w:val="18"/>
          <w:lang w:eastAsia="es-CR"/>
        </w:rPr>
        <w:t>, mayo 2017.</w:t>
      </w:r>
    </w:p>
    <w:p w:rsidR="004777D8" w:rsidRPr="0020203E" w:rsidRDefault="004777D8" w:rsidP="004777D8">
      <w:pPr>
        <w:pStyle w:val="Default"/>
        <w:spacing w:after="140" w:line="276" w:lineRule="auto"/>
        <w:rPr>
          <w:rFonts w:ascii="TimesNewRoman" w:hAnsi="TimesNewRoman" w:cs="TimesNewRoman"/>
          <w:b/>
          <w:sz w:val="18"/>
          <w:szCs w:val="18"/>
        </w:rPr>
      </w:pPr>
    </w:p>
    <w:p w:rsidR="004777D8" w:rsidRDefault="004777D8" w:rsidP="004777D8">
      <w:pPr>
        <w:pStyle w:val="Default"/>
        <w:spacing w:after="140" w:line="276" w:lineRule="auto"/>
        <w:rPr>
          <w:rFonts w:ascii="TimesNewRoman" w:hAnsi="TimesNewRoman" w:cs="TimesNewRoman"/>
          <w:b/>
          <w:sz w:val="21"/>
          <w:szCs w:val="21"/>
        </w:rPr>
      </w:pPr>
    </w:p>
    <w:p w:rsidR="005C5A74" w:rsidRDefault="005C5A74" w:rsidP="004777D8">
      <w:pPr>
        <w:pStyle w:val="Default"/>
        <w:spacing w:after="140" w:line="276" w:lineRule="auto"/>
        <w:rPr>
          <w:rFonts w:ascii="TimesNewRoman" w:hAnsi="TimesNewRoman" w:cs="TimesNewRoman"/>
          <w:b/>
          <w:sz w:val="21"/>
          <w:szCs w:val="21"/>
        </w:rPr>
      </w:pPr>
    </w:p>
    <w:p w:rsidR="005C5A74" w:rsidRDefault="005C5A74">
      <w:pPr>
        <w:spacing w:after="160" w:line="259" w:lineRule="auto"/>
        <w:rPr>
          <w:rFonts w:ascii="TimesNewRoman" w:eastAsiaTheme="minorHAnsi" w:hAnsi="TimesNewRoman" w:cs="TimesNewRoman"/>
          <w:b/>
          <w:color w:val="000000"/>
          <w:sz w:val="21"/>
          <w:szCs w:val="21"/>
          <w:lang w:val="es-ES"/>
        </w:rPr>
      </w:pPr>
      <w:r>
        <w:rPr>
          <w:rFonts w:ascii="TimesNewRoman" w:hAnsi="TimesNewRoman" w:cs="TimesNewRoman"/>
          <w:b/>
          <w:sz w:val="21"/>
          <w:szCs w:val="21"/>
        </w:rPr>
        <w:br w:type="page"/>
      </w:r>
    </w:p>
    <w:p w:rsidR="00C17A54" w:rsidRPr="005C5A74" w:rsidRDefault="0020203E" w:rsidP="005C5A74">
      <w:pPr>
        <w:pStyle w:val="Ttulo2"/>
        <w:spacing w:after="240"/>
        <w:rPr>
          <w:rFonts w:ascii="Arial" w:hAnsi="Arial" w:cs="Arial"/>
          <w:b/>
          <w:color w:val="auto"/>
          <w:lang w:val="es-CR"/>
        </w:rPr>
      </w:pPr>
      <w:bookmarkStart w:id="24" w:name="_Toc7439662"/>
      <w:r w:rsidRPr="005C5A74">
        <w:rPr>
          <w:rFonts w:ascii="Arial" w:hAnsi="Arial" w:cs="Arial"/>
          <w:b/>
          <w:color w:val="auto"/>
        </w:rPr>
        <w:lastRenderedPageBreak/>
        <w:t>Causas externas de morbimortalidad</w:t>
      </w:r>
      <w:bookmarkEnd w:id="24"/>
      <w:r w:rsidRPr="005C5A74">
        <w:rPr>
          <w:rFonts w:ascii="Arial" w:hAnsi="Arial" w:cs="Arial"/>
          <w:b/>
          <w:color w:val="auto"/>
        </w:rPr>
        <w:t xml:space="preserve"> </w:t>
      </w:r>
    </w:p>
    <w:p w:rsidR="004777D8" w:rsidRPr="005C5A74" w:rsidRDefault="00C17A54" w:rsidP="005C5A74">
      <w:pPr>
        <w:pStyle w:val="Ttulo3"/>
        <w:spacing w:after="240"/>
        <w:rPr>
          <w:rFonts w:ascii="Arial" w:hAnsi="Arial" w:cs="Arial"/>
          <w:b/>
          <w:color w:val="auto"/>
        </w:rPr>
      </w:pPr>
      <w:bookmarkStart w:id="25" w:name="_Toc506187977"/>
      <w:bookmarkStart w:id="26" w:name="_Toc7439663"/>
      <w:r w:rsidRPr="005C5A74">
        <w:rPr>
          <w:rFonts w:ascii="Arial" w:hAnsi="Arial" w:cs="Arial"/>
          <w:b/>
          <w:color w:val="auto"/>
        </w:rPr>
        <w:t>Intoxicación aguda por plaguicidas</w:t>
      </w:r>
      <w:bookmarkEnd w:id="25"/>
      <w:bookmarkEnd w:id="26"/>
    </w:p>
    <w:p w:rsidR="004777D8" w:rsidRDefault="004777D8" w:rsidP="004777D8">
      <w:pPr>
        <w:spacing w:line="276" w:lineRule="auto"/>
        <w:jc w:val="both"/>
        <w:rPr>
          <w:rFonts w:ascii="Arial" w:eastAsia="Times New Roman" w:hAnsi="Arial" w:cs="Arial"/>
          <w:lang w:val="es-ES" w:eastAsia="es-ES"/>
        </w:rPr>
      </w:pPr>
      <w:r w:rsidRPr="00131CC5">
        <w:rPr>
          <w:rFonts w:ascii="Arial" w:eastAsia="Times New Roman" w:hAnsi="Arial" w:cs="Arial"/>
          <w:lang w:val="es-ES" w:eastAsia="es-ES"/>
        </w:rPr>
        <w:t>La O</w:t>
      </w:r>
      <w:r w:rsidR="00C17A54">
        <w:rPr>
          <w:rFonts w:ascii="Arial" w:eastAsia="Times New Roman" w:hAnsi="Arial" w:cs="Arial"/>
          <w:lang w:val="es-ES" w:eastAsia="es-ES"/>
        </w:rPr>
        <w:t xml:space="preserve">rganización </w:t>
      </w:r>
      <w:r w:rsidRPr="00131CC5">
        <w:rPr>
          <w:rFonts w:ascii="Arial" w:eastAsia="Times New Roman" w:hAnsi="Arial" w:cs="Arial"/>
          <w:lang w:val="es-ES" w:eastAsia="es-ES"/>
        </w:rPr>
        <w:t>M</w:t>
      </w:r>
      <w:r w:rsidR="00C17A54">
        <w:rPr>
          <w:rFonts w:ascii="Arial" w:eastAsia="Times New Roman" w:hAnsi="Arial" w:cs="Arial"/>
          <w:lang w:val="es-ES" w:eastAsia="es-ES"/>
        </w:rPr>
        <w:t xml:space="preserve">undial de la </w:t>
      </w:r>
      <w:r w:rsidRPr="00131CC5">
        <w:rPr>
          <w:rFonts w:ascii="Arial" w:eastAsia="Times New Roman" w:hAnsi="Arial" w:cs="Arial"/>
          <w:lang w:val="es-ES" w:eastAsia="es-ES"/>
        </w:rPr>
        <w:t>S</w:t>
      </w:r>
      <w:r w:rsidR="00C17A54">
        <w:rPr>
          <w:rFonts w:ascii="Arial" w:eastAsia="Times New Roman" w:hAnsi="Arial" w:cs="Arial"/>
          <w:lang w:val="es-ES" w:eastAsia="es-ES"/>
        </w:rPr>
        <w:t xml:space="preserve">alud </w:t>
      </w:r>
      <w:r w:rsidRPr="00131CC5">
        <w:rPr>
          <w:rFonts w:ascii="Arial" w:eastAsia="Times New Roman" w:hAnsi="Arial" w:cs="Arial"/>
          <w:lang w:val="es-ES" w:eastAsia="es-ES"/>
        </w:rPr>
        <w:t>ha estimado que</w:t>
      </w:r>
      <w:r w:rsidR="00C17A54">
        <w:rPr>
          <w:rFonts w:ascii="Arial" w:eastAsia="Times New Roman" w:hAnsi="Arial" w:cs="Arial"/>
          <w:lang w:val="es-ES" w:eastAsia="es-ES"/>
        </w:rPr>
        <w:t>,</w:t>
      </w:r>
      <w:r w:rsidRPr="00131CC5">
        <w:rPr>
          <w:rFonts w:ascii="Arial" w:eastAsia="Times New Roman" w:hAnsi="Arial" w:cs="Arial"/>
          <w:lang w:val="es-ES" w:eastAsia="es-ES"/>
        </w:rPr>
        <w:t xml:space="preserve"> anualmente en el mundo se producen tres millones de intoxic</w:t>
      </w:r>
      <w:r>
        <w:rPr>
          <w:rFonts w:ascii="Arial" w:eastAsia="Times New Roman" w:hAnsi="Arial" w:cs="Arial"/>
          <w:lang w:val="es-ES" w:eastAsia="es-ES"/>
        </w:rPr>
        <w:t xml:space="preserve">aciones severas por plaguicidas, </w:t>
      </w:r>
      <w:r w:rsidRPr="00131CC5">
        <w:rPr>
          <w:rFonts w:ascii="Arial" w:eastAsia="Times New Roman" w:hAnsi="Arial" w:cs="Arial"/>
          <w:lang w:val="es-ES" w:eastAsia="es-ES"/>
        </w:rPr>
        <w:t>principalmente en los países en vías de desarrollo</w:t>
      </w:r>
      <w:r w:rsidR="00C17A54">
        <w:rPr>
          <w:rFonts w:ascii="Arial" w:eastAsia="Times New Roman" w:hAnsi="Arial" w:cs="Arial"/>
          <w:lang w:val="es-ES" w:eastAsia="es-ES"/>
        </w:rPr>
        <w:t xml:space="preserve"> debido a </w:t>
      </w:r>
      <w:r w:rsidR="00C17A54" w:rsidRPr="003536DE">
        <w:rPr>
          <w:rFonts w:ascii="Arial" w:eastAsia="Times New Roman" w:hAnsi="Arial" w:cs="Arial"/>
          <w:lang w:val="es-ES" w:eastAsia="es-ES"/>
        </w:rPr>
        <w:t>una escasa regulación de esos productos, la falta de sistemas de vigilancia, un menor cumplimiento de las normas y un acceso insuficiente a los sistemas de información</w:t>
      </w:r>
      <w:r w:rsidR="00C17A54">
        <w:rPr>
          <w:rFonts w:ascii="Arial" w:eastAsia="Times New Roman" w:hAnsi="Arial" w:cs="Arial"/>
          <w:lang w:val="es-ES" w:eastAsia="es-ES"/>
        </w:rPr>
        <w:t>.</w:t>
      </w:r>
      <w:r w:rsidRPr="003536DE">
        <w:rPr>
          <w:rFonts w:ascii="Arial" w:eastAsia="Times New Roman" w:hAnsi="Arial" w:cs="Arial"/>
          <w:lang w:val="es-ES" w:eastAsia="es-ES"/>
        </w:rPr>
        <w:t xml:space="preserve"> Los casos de </w:t>
      </w:r>
      <w:r w:rsidR="00C17A54">
        <w:rPr>
          <w:rFonts w:ascii="Arial" w:eastAsia="Times New Roman" w:hAnsi="Arial" w:cs="Arial"/>
          <w:lang w:val="es-ES" w:eastAsia="es-ES"/>
        </w:rPr>
        <w:t>i</w:t>
      </w:r>
      <w:r>
        <w:rPr>
          <w:rFonts w:ascii="Arial" w:eastAsia="Times New Roman" w:hAnsi="Arial" w:cs="Arial"/>
          <w:lang w:val="es-ES" w:eastAsia="es-ES"/>
        </w:rPr>
        <w:t xml:space="preserve">ntoxicación </w:t>
      </w:r>
      <w:r w:rsidR="00C17A54">
        <w:rPr>
          <w:rFonts w:ascii="Arial" w:eastAsia="Times New Roman" w:hAnsi="Arial" w:cs="Arial"/>
          <w:lang w:val="es-ES" w:eastAsia="es-ES"/>
        </w:rPr>
        <w:t>a</w:t>
      </w:r>
      <w:r>
        <w:rPr>
          <w:rFonts w:ascii="Arial" w:eastAsia="Times New Roman" w:hAnsi="Arial" w:cs="Arial"/>
          <w:lang w:val="es-ES" w:eastAsia="es-ES"/>
        </w:rPr>
        <w:t xml:space="preserve">guda por </w:t>
      </w:r>
      <w:r w:rsidR="00C17A54">
        <w:rPr>
          <w:rFonts w:ascii="Arial" w:eastAsia="Times New Roman" w:hAnsi="Arial" w:cs="Arial"/>
          <w:lang w:val="es-ES" w:eastAsia="es-ES"/>
        </w:rPr>
        <w:t>p</w:t>
      </w:r>
      <w:r>
        <w:rPr>
          <w:rFonts w:ascii="Arial" w:eastAsia="Times New Roman" w:hAnsi="Arial" w:cs="Arial"/>
          <w:lang w:val="es-ES" w:eastAsia="es-ES"/>
        </w:rPr>
        <w:t xml:space="preserve">laguicidas (IAP) </w:t>
      </w:r>
      <w:r w:rsidRPr="003536DE">
        <w:rPr>
          <w:rFonts w:ascii="Arial" w:eastAsia="Times New Roman" w:hAnsi="Arial" w:cs="Arial"/>
          <w:lang w:val="es-ES" w:eastAsia="es-ES"/>
        </w:rPr>
        <w:t xml:space="preserve">son una causa importante de morbilidad y mortalidad a nivel mundial. </w:t>
      </w:r>
    </w:p>
    <w:p w:rsidR="004777D8" w:rsidRDefault="004777D8" w:rsidP="004777D8">
      <w:pPr>
        <w:spacing w:line="276" w:lineRule="auto"/>
        <w:jc w:val="both"/>
        <w:rPr>
          <w:rFonts w:ascii="Arial" w:eastAsia="Times New Roman" w:hAnsi="Arial" w:cs="Arial"/>
          <w:lang w:val="es-ES" w:eastAsia="es-ES"/>
        </w:rPr>
      </w:pPr>
      <w:bookmarkStart w:id="27" w:name="_Hlk497299035"/>
      <w:bookmarkStart w:id="28" w:name="_Hlk497378506"/>
    </w:p>
    <w:p w:rsidR="004777D8" w:rsidRDefault="00C17A54" w:rsidP="004777D8">
      <w:pPr>
        <w:spacing w:line="276" w:lineRule="auto"/>
        <w:jc w:val="both"/>
        <w:rPr>
          <w:rFonts w:ascii="Arial" w:eastAsia="Times New Roman" w:hAnsi="Arial" w:cs="Arial"/>
          <w:lang w:val="es-ES" w:eastAsia="es-ES"/>
        </w:rPr>
      </w:pPr>
      <w:bookmarkStart w:id="29" w:name="_Hlk497299013"/>
      <w:bookmarkEnd w:id="27"/>
      <w:r>
        <w:rPr>
          <w:rFonts w:ascii="Arial" w:eastAsia="Times New Roman" w:hAnsi="Arial" w:cs="Arial"/>
          <w:lang w:val="es-ES" w:eastAsia="es-ES"/>
        </w:rPr>
        <w:t>Durante e</w:t>
      </w:r>
      <w:r w:rsidR="004777D8" w:rsidRPr="002F2838">
        <w:rPr>
          <w:rFonts w:ascii="Arial" w:eastAsia="Times New Roman" w:hAnsi="Arial" w:cs="Arial"/>
          <w:lang w:val="es-ES" w:eastAsia="es-ES"/>
        </w:rPr>
        <w:t xml:space="preserve">l período de </w:t>
      </w:r>
      <w:r w:rsidR="004777D8">
        <w:rPr>
          <w:rFonts w:ascii="Arial" w:eastAsia="Times New Roman" w:hAnsi="Arial" w:cs="Arial"/>
          <w:lang w:val="es-ES" w:eastAsia="es-ES"/>
        </w:rPr>
        <w:t>2015-2018</w:t>
      </w:r>
      <w:r w:rsidR="004777D8" w:rsidRPr="002F2838">
        <w:rPr>
          <w:rFonts w:ascii="Arial" w:eastAsia="Times New Roman" w:hAnsi="Arial" w:cs="Arial"/>
          <w:lang w:val="es-ES" w:eastAsia="es-ES"/>
        </w:rPr>
        <w:t xml:space="preserve">, </w:t>
      </w:r>
      <w:r w:rsidRPr="002F2838">
        <w:rPr>
          <w:rFonts w:ascii="Arial" w:eastAsia="Times New Roman" w:hAnsi="Arial" w:cs="Arial"/>
          <w:lang w:val="es-ES" w:eastAsia="es-ES"/>
        </w:rPr>
        <w:t xml:space="preserve">Costa Rica </w:t>
      </w:r>
      <w:r w:rsidR="004777D8" w:rsidRPr="002F2838">
        <w:rPr>
          <w:rFonts w:ascii="Arial" w:eastAsia="Times New Roman" w:hAnsi="Arial" w:cs="Arial"/>
          <w:lang w:val="es-ES" w:eastAsia="es-ES"/>
        </w:rPr>
        <w:t>registró un total acumu</w:t>
      </w:r>
      <w:r w:rsidR="004777D8">
        <w:rPr>
          <w:rFonts w:ascii="Arial" w:eastAsia="Times New Roman" w:hAnsi="Arial" w:cs="Arial"/>
          <w:lang w:val="es-ES" w:eastAsia="es-ES"/>
        </w:rPr>
        <w:t xml:space="preserve">lado de 674 </w:t>
      </w:r>
      <w:r w:rsidR="004777D8" w:rsidRPr="002F2838">
        <w:rPr>
          <w:rFonts w:ascii="Arial" w:eastAsia="Times New Roman" w:hAnsi="Arial" w:cs="Arial"/>
          <w:lang w:val="es-ES" w:eastAsia="es-ES"/>
        </w:rPr>
        <w:t xml:space="preserve">casos de </w:t>
      </w:r>
      <w:r>
        <w:rPr>
          <w:rFonts w:ascii="Arial" w:eastAsia="Times New Roman" w:hAnsi="Arial" w:cs="Arial"/>
          <w:lang w:val="es-ES" w:eastAsia="es-ES"/>
        </w:rPr>
        <w:t>IAP</w:t>
      </w:r>
      <w:r w:rsidR="004777D8">
        <w:rPr>
          <w:rFonts w:ascii="Arial" w:eastAsia="Times New Roman" w:hAnsi="Arial" w:cs="Arial"/>
          <w:lang w:val="es-ES" w:eastAsia="es-ES"/>
        </w:rPr>
        <w:t xml:space="preserve">. En </w:t>
      </w:r>
      <w:r>
        <w:rPr>
          <w:rFonts w:ascii="Arial" w:eastAsia="Times New Roman" w:hAnsi="Arial" w:cs="Arial"/>
          <w:lang w:val="es-ES" w:eastAsia="es-ES"/>
        </w:rPr>
        <w:t xml:space="preserve">el </w:t>
      </w:r>
      <w:r w:rsidR="004777D8">
        <w:rPr>
          <w:rFonts w:ascii="Arial" w:eastAsia="Times New Roman" w:hAnsi="Arial" w:cs="Arial"/>
          <w:lang w:val="es-ES" w:eastAsia="es-ES"/>
        </w:rPr>
        <w:t xml:space="preserve">2015 </w:t>
      </w:r>
      <w:r w:rsidR="004777D8" w:rsidRPr="002F2838">
        <w:rPr>
          <w:rFonts w:ascii="Arial" w:eastAsia="Times New Roman" w:hAnsi="Arial" w:cs="Arial"/>
          <w:lang w:val="es-ES" w:eastAsia="es-ES"/>
        </w:rPr>
        <w:t xml:space="preserve">se reportó una incidencia de </w:t>
      </w:r>
      <w:r w:rsidR="004777D8">
        <w:rPr>
          <w:rFonts w:ascii="Arial" w:eastAsia="Times New Roman" w:hAnsi="Arial" w:cs="Arial"/>
          <w:lang w:val="es-ES" w:eastAsia="es-ES"/>
        </w:rPr>
        <w:t xml:space="preserve">4,2 </w:t>
      </w:r>
      <w:r>
        <w:rPr>
          <w:rFonts w:ascii="Arial" w:eastAsia="Times New Roman" w:hAnsi="Arial" w:cs="Arial"/>
          <w:lang w:val="es-ES" w:eastAsia="es-ES"/>
        </w:rPr>
        <w:t xml:space="preserve">casos </w:t>
      </w:r>
      <w:r w:rsidR="004777D8" w:rsidRPr="002F2838">
        <w:rPr>
          <w:rFonts w:ascii="Arial" w:eastAsia="Times New Roman" w:hAnsi="Arial" w:cs="Arial"/>
          <w:lang w:val="es-ES" w:eastAsia="es-ES"/>
        </w:rPr>
        <w:t>por cien mil habitantes</w:t>
      </w:r>
      <w:r w:rsidR="004777D8">
        <w:rPr>
          <w:rFonts w:ascii="Arial" w:eastAsia="Times New Roman" w:hAnsi="Arial" w:cs="Arial"/>
          <w:lang w:val="es-ES" w:eastAsia="es-ES"/>
        </w:rPr>
        <w:t>, manteniendo su tendencia para el 2016 con 4,1</w:t>
      </w:r>
      <w:r w:rsidR="004777D8" w:rsidRPr="002F2838">
        <w:rPr>
          <w:rFonts w:ascii="Arial" w:eastAsia="Times New Roman" w:hAnsi="Arial" w:cs="Arial"/>
          <w:lang w:val="es-ES" w:eastAsia="es-ES"/>
        </w:rPr>
        <w:t xml:space="preserve"> </w:t>
      </w:r>
      <w:r>
        <w:rPr>
          <w:rFonts w:ascii="Arial" w:eastAsia="Times New Roman" w:hAnsi="Arial" w:cs="Arial"/>
          <w:lang w:val="es-ES" w:eastAsia="es-ES"/>
        </w:rPr>
        <w:t xml:space="preserve">casos </w:t>
      </w:r>
      <w:r w:rsidR="004777D8" w:rsidRPr="002F2838">
        <w:rPr>
          <w:rFonts w:ascii="Arial" w:eastAsia="Times New Roman" w:hAnsi="Arial" w:cs="Arial"/>
          <w:lang w:val="es-ES" w:eastAsia="es-ES"/>
        </w:rPr>
        <w:t>por cien mil habitantes</w:t>
      </w:r>
      <w:r>
        <w:rPr>
          <w:rFonts w:ascii="Arial" w:eastAsia="Times New Roman" w:hAnsi="Arial" w:cs="Arial"/>
          <w:lang w:val="es-ES" w:eastAsia="es-ES"/>
        </w:rPr>
        <w:t xml:space="preserve">. En el </w:t>
      </w:r>
      <w:r w:rsidR="004777D8">
        <w:rPr>
          <w:rFonts w:ascii="Arial" w:eastAsia="Times New Roman" w:hAnsi="Arial" w:cs="Arial"/>
          <w:lang w:val="es-ES" w:eastAsia="es-ES"/>
        </w:rPr>
        <w:t xml:space="preserve">2017 </w:t>
      </w:r>
      <w:r>
        <w:rPr>
          <w:rFonts w:ascii="Arial" w:eastAsia="Times New Roman" w:hAnsi="Arial" w:cs="Arial"/>
          <w:lang w:val="es-ES" w:eastAsia="es-ES"/>
        </w:rPr>
        <w:t xml:space="preserve">se </w:t>
      </w:r>
      <w:r w:rsidR="004777D8">
        <w:rPr>
          <w:rFonts w:ascii="Arial" w:eastAsia="Times New Roman" w:hAnsi="Arial" w:cs="Arial"/>
          <w:lang w:val="es-ES" w:eastAsia="es-ES"/>
        </w:rPr>
        <w:t>presentó una disminución con</w:t>
      </w:r>
      <w:r>
        <w:rPr>
          <w:rFonts w:ascii="Arial" w:eastAsia="Times New Roman" w:hAnsi="Arial" w:cs="Arial"/>
          <w:lang w:val="es-ES" w:eastAsia="es-ES"/>
        </w:rPr>
        <w:t xml:space="preserve"> una tasa de</w:t>
      </w:r>
      <w:r w:rsidR="004777D8">
        <w:rPr>
          <w:rFonts w:ascii="Arial" w:eastAsia="Times New Roman" w:hAnsi="Arial" w:cs="Arial"/>
          <w:lang w:val="es-ES" w:eastAsia="es-ES"/>
        </w:rPr>
        <w:t xml:space="preserve"> 3,5 </w:t>
      </w:r>
      <w:r>
        <w:rPr>
          <w:rFonts w:ascii="Arial" w:eastAsia="Times New Roman" w:hAnsi="Arial" w:cs="Arial"/>
          <w:lang w:val="es-ES" w:eastAsia="es-ES"/>
        </w:rPr>
        <w:t xml:space="preserve">casos </w:t>
      </w:r>
      <w:r w:rsidR="004777D8">
        <w:rPr>
          <w:rFonts w:ascii="Arial" w:eastAsia="Times New Roman" w:hAnsi="Arial" w:cs="Arial"/>
          <w:lang w:val="es-ES" w:eastAsia="es-ES"/>
        </w:rPr>
        <w:t>por cada cien mil habitantes</w:t>
      </w:r>
      <w:r>
        <w:rPr>
          <w:rFonts w:ascii="Arial" w:eastAsia="Times New Roman" w:hAnsi="Arial" w:cs="Arial"/>
          <w:lang w:val="es-ES" w:eastAsia="es-ES"/>
        </w:rPr>
        <w:t xml:space="preserve">. En el </w:t>
      </w:r>
      <w:r w:rsidR="004777D8">
        <w:rPr>
          <w:rFonts w:ascii="Arial" w:eastAsia="Times New Roman" w:hAnsi="Arial" w:cs="Arial"/>
          <w:lang w:val="es-ES" w:eastAsia="es-ES"/>
        </w:rPr>
        <w:t xml:space="preserve">2018, la reducción fue </w:t>
      </w:r>
      <w:r>
        <w:rPr>
          <w:rFonts w:ascii="Arial" w:eastAsia="Times New Roman" w:hAnsi="Arial" w:cs="Arial"/>
          <w:lang w:val="es-ES" w:eastAsia="es-ES"/>
        </w:rPr>
        <w:t>mayor, con una tasa de</w:t>
      </w:r>
      <w:r w:rsidR="004777D8">
        <w:rPr>
          <w:rFonts w:ascii="Arial" w:eastAsia="Times New Roman" w:hAnsi="Arial" w:cs="Arial"/>
          <w:lang w:val="es-ES" w:eastAsia="es-ES"/>
        </w:rPr>
        <w:t xml:space="preserve"> 1,89</w:t>
      </w:r>
      <w:r>
        <w:rPr>
          <w:rFonts w:ascii="Arial" w:eastAsia="Times New Roman" w:hAnsi="Arial" w:cs="Arial"/>
          <w:lang w:val="es-ES" w:eastAsia="es-ES"/>
        </w:rPr>
        <w:t xml:space="preserve"> casos por cien mil habitantes</w:t>
      </w:r>
      <w:r w:rsidR="004777D8">
        <w:rPr>
          <w:rFonts w:ascii="Arial" w:eastAsia="Times New Roman" w:hAnsi="Arial" w:cs="Arial"/>
          <w:lang w:val="es-ES" w:eastAsia="es-ES"/>
        </w:rPr>
        <w:t>.</w:t>
      </w:r>
    </w:p>
    <w:p w:rsidR="004777D8" w:rsidRPr="00DE71E6" w:rsidRDefault="004777D8" w:rsidP="004777D8">
      <w:pPr>
        <w:spacing w:line="360" w:lineRule="auto"/>
        <w:jc w:val="both"/>
        <w:rPr>
          <w:rFonts w:ascii="Arial" w:eastAsia="Times New Roman" w:hAnsi="Arial" w:cs="Arial"/>
          <w:lang w:val="es-ES" w:eastAsia="es-ES"/>
        </w:rPr>
      </w:pPr>
    </w:p>
    <w:p w:rsidR="004777D8" w:rsidRPr="0073748F" w:rsidRDefault="004777D8" w:rsidP="0073748F">
      <w:pPr>
        <w:jc w:val="center"/>
        <w:rPr>
          <w:rFonts w:ascii="Arial" w:eastAsia="Times New Roman" w:hAnsi="Arial" w:cs="Arial"/>
          <w:b/>
          <w:lang w:val="es-ES" w:eastAsia="es-ES"/>
        </w:rPr>
      </w:pPr>
      <w:r w:rsidRPr="0073748F">
        <w:rPr>
          <w:rFonts w:ascii="Arial" w:eastAsia="Times New Roman" w:hAnsi="Arial" w:cs="Arial"/>
          <w:b/>
          <w:lang w:val="es-ES" w:eastAsia="es-ES"/>
        </w:rPr>
        <w:t xml:space="preserve">Gráfico </w:t>
      </w:r>
      <w:r w:rsidR="0073748F" w:rsidRPr="0073748F">
        <w:rPr>
          <w:rFonts w:ascii="Arial" w:eastAsia="Times New Roman" w:hAnsi="Arial" w:cs="Arial"/>
          <w:b/>
          <w:lang w:val="es-ES" w:eastAsia="es-ES"/>
        </w:rPr>
        <w:t>1</w:t>
      </w:r>
      <w:r w:rsidR="005C5A74">
        <w:rPr>
          <w:rFonts w:ascii="Arial" w:eastAsia="Times New Roman" w:hAnsi="Arial" w:cs="Arial"/>
          <w:b/>
          <w:lang w:val="es-ES" w:eastAsia="es-ES"/>
        </w:rPr>
        <w:t>3</w:t>
      </w:r>
    </w:p>
    <w:p w:rsidR="0073748F" w:rsidRDefault="004777D8" w:rsidP="0073748F">
      <w:pPr>
        <w:jc w:val="center"/>
        <w:rPr>
          <w:rFonts w:ascii="Arial" w:eastAsia="Times New Roman" w:hAnsi="Arial" w:cs="Arial"/>
          <w:b/>
          <w:lang w:val="es-ES" w:eastAsia="es-ES"/>
        </w:rPr>
      </w:pPr>
      <w:r w:rsidRPr="0073748F">
        <w:rPr>
          <w:rFonts w:ascii="Arial" w:eastAsia="Times New Roman" w:hAnsi="Arial" w:cs="Arial"/>
          <w:b/>
          <w:lang w:val="es-ES" w:eastAsia="es-ES"/>
        </w:rPr>
        <w:t xml:space="preserve">Costa Rica: Incidencia anual de intoxicaciones </w:t>
      </w:r>
    </w:p>
    <w:p w:rsidR="0073748F" w:rsidRDefault="004777D8" w:rsidP="0073748F">
      <w:pPr>
        <w:jc w:val="center"/>
        <w:rPr>
          <w:rFonts w:ascii="Arial" w:eastAsia="Times New Roman" w:hAnsi="Arial" w:cs="Arial"/>
          <w:b/>
          <w:lang w:val="es-ES" w:eastAsia="es-ES"/>
        </w:rPr>
      </w:pPr>
      <w:r w:rsidRPr="0073748F">
        <w:rPr>
          <w:rFonts w:ascii="Arial" w:eastAsia="Times New Roman" w:hAnsi="Arial" w:cs="Arial"/>
          <w:b/>
          <w:lang w:val="es-ES" w:eastAsia="es-ES"/>
        </w:rPr>
        <w:t xml:space="preserve">agudas por plaguicidas, 2015-2018 </w:t>
      </w:r>
    </w:p>
    <w:p w:rsidR="004777D8" w:rsidRPr="0073748F" w:rsidRDefault="004777D8" w:rsidP="0073748F">
      <w:pPr>
        <w:jc w:val="center"/>
        <w:rPr>
          <w:rFonts w:ascii="Arial" w:eastAsia="Times New Roman" w:hAnsi="Arial" w:cs="Arial"/>
          <w:sz w:val="20"/>
          <w:szCs w:val="20"/>
          <w:lang w:val="es-ES" w:eastAsia="es-ES"/>
        </w:rPr>
      </w:pPr>
      <w:r w:rsidRPr="0073748F">
        <w:rPr>
          <w:rFonts w:ascii="Arial" w:eastAsia="Times New Roman" w:hAnsi="Arial" w:cs="Arial"/>
          <w:sz w:val="20"/>
          <w:szCs w:val="20"/>
          <w:lang w:val="es-ES" w:eastAsia="es-ES"/>
        </w:rPr>
        <w:t>(</w:t>
      </w:r>
      <w:r w:rsidR="0073748F">
        <w:rPr>
          <w:rFonts w:ascii="Arial" w:eastAsia="Times New Roman" w:hAnsi="Arial" w:cs="Arial"/>
          <w:sz w:val="20"/>
          <w:szCs w:val="20"/>
          <w:lang w:val="es-ES" w:eastAsia="es-ES"/>
        </w:rPr>
        <w:t>t</w:t>
      </w:r>
      <w:r w:rsidRPr="0073748F">
        <w:rPr>
          <w:rFonts w:ascii="Arial" w:eastAsia="Times New Roman" w:hAnsi="Arial" w:cs="Arial"/>
          <w:sz w:val="20"/>
          <w:szCs w:val="20"/>
          <w:lang w:val="es-ES" w:eastAsia="es-ES"/>
        </w:rPr>
        <w:t>asa por 100.000 habitantes</w:t>
      </w:r>
      <w:r w:rsidRPr="0073748F">
        <w:rPr>
          <w:rFonts w:ascii="Arial" w:eastAsia="Times New Roman" w:hAnsi="Arial" w:cs="Arial"/>
          <w:lang w:val="es-ES" w:eastAsia="es-ES"/>
        </w:rPr>
        <w:t>)</w:t>
      </w:r>
    </w:p>
    <w:p w:rsidR="004777D8" w:rsidRPr="0073748F" w:rsidRDefault="004777D8" w:rsidP="004777D8">
      <w:pPr>
        <w:spacing w:line="276" w:lineRule="auto"/>
        <w:jc w:val="center"/>
        <w:rPr>
          <w:rFonts w:ascii="Arial" w:eastAsia="Times New Roman" w:hAnsi="Arial" w:cs="Arial"/>
          <w:b/>
          <w:lang w:val="es-ES" w:eastAsia="es-ES"/>
        </w:rPr>
      </w:pPr>
    </w:p>
    <w:p w:rsidR="004777D8" w:rsidRDefault="004777D8" w:rsidP="004777D8">
      <w:pPr>
        <w:spacing w:line="360" w:lineRule="auto"/>
        <w:jc w:val="center"/>
        <w:rPr>
          <w:rFonts w:ascii="Arial" w:eastAsia="Times New Roman" w:hAnsi="Arial" w:cs="Arial"/>
          <w:lang w:val="es-ES" w:eastAsia="es-ES"/>
        </w:rPr>
      </w:pPr>
      <w:r>
        <w:rPr>
          <w:noProof/>
          <w:lang w:val="es-CR" w:eastAsia="es-CR"/>
        </w:rPr>
        <w:drawing>
          <wp:inline distT="0" distB="0" distL="0" distR="0" wp14:anchorId="1345B34F" wp14:editId="73FCA361">
            <wp:extent cx="3405116" cy="2156346"/>
            <wp:effectExtent l="0" t="0" r="5080" b="0"/>
            <wp:docPr id="62" name="Gráfico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777D8" w:rsidRDefault="004777D8" w:rsidP="004777D8">
      <w:pPr>
        <w:spacing w:line="360" w:lineRule="auto"/>
        <w:jc w:val="center"/>
        <w:rPr>
          <w:rFonts w:ascii="Arial" w:eastAsia="Times New Roman" w:hAnsi="Arial" w:cs="Arial"/>
          <w:lang w:val="es-ES" w:eastAsia="es-ES"/>
        </w:rPr>
      </w:pPr>
      <w:r w:rsidRPr="0073748F">
        <w:rPr>
          <w:rFonts w:ascii="Arial" w:eastAsia="Times New Roman" w:hAnsi="Arial" w:cs="Arial"/>
          <w:b/>
          <w:color w:val="000000"/>
          <w:sz w:val="16"/>
          <w:szCs w:val="16"/>
          <w:lang w:val="es-CR" w:eastAsia="es-CR"/>
        </w:rPr>
        <w:t>Fuente:</w:t>
      </w:r>
      <w:r w:rsidRPr="00C36458">
        <w:rPr>
          <w:rFonts w:ascii="Arial" w:eastAsia="Times New Roman" w:hAnsi="Arial" w:cs="Arial"/>
          <w:color w:val="000000"/>
          <w:sz w:val="16"/>
          <w:szCs w:val="16"/>
          <w:lang w:val="es-CR" w:eastAsia="es-CR"/>
        </w:rPr>
        <w:t xml:space="preserve"> Dirección de Vigilancia</w:t>
      </w:r>
      <w:r>
        <w:rPr>
          <w:rFonts w:ascii="Arial" w:eastAsia="Times New Roman" w:hAnsi="Arial" w:cs="Arial"/>
          <w:color w:val="000000"/>
          <w:sz w:val="16"/>
          <w:szCs w:val="16"/>
          <w:lang w:val="es-CR" w:eastAsia="es-CR"/>
        </w:rPr>
        <w:t xml:space="preserve"> de la Salud, Ministerio de Salud</w:t>
      </w:r>
      <w:r w:rsidR="008F3C53">
        <w:rPr>
          <w:rFonts w:ascii="Arial" w:eastAsia="Times New Roman" w:hAnsi="Arial" w:cs="Arial"/>
          <w:color w:val="000000"/>
          <w:sz w:val="16"/>
          <w:szCs w:val="16"/>
          <w:lang w:val="es-CR" w:eastAsia="es-CR"/>
        </w:rPr>
        <w:t>, 2019.</w:t>
      </w:r>
    </w:p>
    <w:bookmarkEnd w:id="29"/>
    <w:p w:rsidR="004777D8" w:rsidRDefault="004777D8" w:rsidP="004777D8">
      <w:pPr>
        <w:spacing w:before="120" w:line="276" w:lineRule="auto"/>
        <w:ind w:right="57"/>
        <w:jc w:val="both"/>
        <w:rPr>
          <w:rFonts w:ascii="Arial" w:eastAsia="Times New Roman" w:hAnsi="Arial" w:cs="Arial"/>
          <w:color w:val="000000"/>
          <w:sz w:val="18"/>
          <w:szCs w:val="18"/>
          <w:lang w:val="es-CR" w:eastAsia="es-CR"/>
        </w:rPr>
      </w:pPr>
    </w:p>
    <w:p w:rsidR="004777D8" w:rsidRDefault="004777D8" w:rsidP="004777D8">
      <w:pPr>
        <w:spacing w:line="276" w:lineRule="auto"/>
        <w:jc w:val="both"/>
        <w:rPr>
          <w:rFonts w:ascii="Arial" w:eastAsia="Times New Roman" w:hAnsi="Arial" w:cs="Arial"/>
          <w:lang w:val="es-ES" w:eastAsia="es-ES"/>
        </w:rPr>
      </w:pPr>
      <w:r>
        <w:rPr>
          <w:rFonts w:ascii="Arial" w:eastAsia="Times New Roman" w:hAnsi="Arial" w:cs="Arial"/>
          <w:lang w:val="es-ES" w:eastAsia="es-ES"/>
        </w:rPr>
        <w:t>En el año 2015</w:t>
      </w:r>
      <w:r w:rsidRPr="00BD37AB">
        <w:rPr>
          <w:rFonts w:ascii="Arial" w:eastAsia="Times New Roman" w:hAnsi="Arial" w:cs="Arial"/>
          <w:lang w:val="es-ES" w:eastAsia="es-ES"/>
        </w:rPr>
        <w:t xml:space="preserve"> </w:t>
      </w:r>
      <w:r>
        <w:rPr>
          <w:rFonts w:ascii="Arial" w:eastAsia="Times New Roman" w:hAnsi="Arial" w:cs="Arial"/>
          <w:lang w:val="es-ES" w:eastAsia="es-ES"/>
        </w:rPr>
        <w:t xml:space="preserve">la provincia de Limón presentó la tasa más alta de intoxicaciones con 8,07 por 100.000 habitantes </w:t>
      </w:r>
      <w:r w:rsidRPr="00BD37AB">
        <w:rPr>
          <w:rFonts w:ascii="Arial" w:eastAsia="Times New Roman" w:hAnsi="Arial" w:cs="Arial"/>
          <w:lang w:val="es-ES" w:eastAsia="es-ES"/>
        </w:rPr>
        <w:t xml:space="preserve">y </w:t>
      </w:r>
      <w:r>
        <w:rPr>
          <w:rFonts w:ascii="Arial" w:eastAsia="Times New Roman" w:hAnsi="Arial" w:cs="Arial"/>
          <w:lang w:val="es-ES" w:eastAsia="es-ES"/>
        </w:rPr>
        <w:t>San José la tasa más baja con 3,2 intoxicaciones por 100.000 habitantes.</w:t>
      </w:r>
      <w:r w:rsidRPr="00FD292B">
        <w:rPr>
          <w:rFonts w:ascii="Arial" w:eastAsia="Times New Roman" w:hAnsi="Arial" w:cs="Arial"/>
          <w:lang w:val="es-ES" w:eastAsia="es-ES"/>
        </w:rPr>
        <w:t xml:space="preserve"> </w:t>
      </w:r>
      <w:r>
        <w:rPr>
          <w:rFonts w:ascii="Arial" w:eastAsia="Times New Roman" w:hAnsi="Arial" w:cs="Arial"/>
          <w:lang w:val="es-ES" w:eastAsia="es-ES"/>
        </w:rPr>
        <w:t xml:space="preserve">A partir del año 2016 y hasta el 2018, Puntarenas </w:t>
      </w:r>
      <w:r w:rsidR="008F3C53">
        <w:rPr>
          <w:rFonts w:ascii="Arial" w:eastAsia="Times New Roman" w:hAnsi="Arial" w:cs="Arial"/>
          <w:lang w:val="es-ES" w:eastAsia="es-ES"/>
        </w:rPr>
        <w:t>tuvo</w:t>
      </w:r>
      <w:r>
        <w:rPr>
          <w:rFonts w:ascii="Arial" w:eastAsia="Times New Roman" w:hAnsi="Arial" w:cs="Arial"/>
          <w:lang w:val="es-ES" w:eastAsia="es-ES"/>
        </w:rPr>
        <w:t xml:space="preserve"> el </w:t>
      </w:r>
      <w:r>
        <w:rPr>
          <w:rFonts w:ascii="Arial" w:eastAsia="Times New Roman" w:hAnsi="Arial" w:cs="Arial"/>
          <w:lang w:val="es-ES" w:eastAsia="es-ES"/>
        </w:rPr>
        <w:lastRenderedPageBreak/>
        <w:t>mayor número de casos notificados</w:t>
      </w:r>
      <w:r w:rsidR="008F3C53">
        <w:rPr>
          <w:rFonts w:ascii="Arial" w:eastAsia="Times New Roman" w:hAnsi="Arial" w:cs="Arial"/>
          <w:lang w:val="es-ES" w:eastAsia="es-ES"/>
        </w:rPr>
        <w:t>,</w:t>
      </w:r>
      <w:r>
        <w:rPr>
          <w:rFonts w:ascii="Arial" w:eastAsia="Times New Roman" w:hAnsi="Arial" w:cs="Arial"/>
          <w:lang w:val="es-ES" w:eastAsia="es-ES"/>
        </w:rPr>
        <w:t xml:space="preserve"> con tasas de incidencia de 13,7; 13,5 y 9,9</w:t>
      </w:r>
      <w:r w:rsidR="008F3C53">
        <w:rPr>
          <w:rFonts w:ascii="Arial" w:eastAsia="Times New Roman" w:hAnsi="Arial" w:cs="Arial"/>
          <w:lang w:val="es-ES" w:eastAsia="es-ES"/>
        </w:rPr>
        <w:t xml:space="preserve"> casos </w:t>
      </w:r>
      <w:r>
        <w:rPr>
          <w:rFonts w:ascii="Arial" w:eastAsia="Times New Roman" w:hAnsi="Arial" w:cs="Arial"/>
          <w:lang w:val="es-ES" w:eastAsia="es-ES"/>
        </w:rPr>
        <w:t>por 100.000 habitantes respectivamente.</w:t>
      </w:r>
    </w:p>
    <w:p w:rsidR="008F3C53" w:rsidRDefault="008F3C53" w:rsidP="004777D8">
      <w:pPr>
        <w:spacing w:line="276" w:lineRule="auto"/>
        <w:jc w:val="both"/>
        <w:rPr>
          <w:rFonts w:ascii="Arial" w:eastAsia="Times New Roman" w:hAnsi="Arial" w:cs="Arial"/>
          <w:lang w:val="es-ES" w:eastAsia="es-ES"/>
        </w:rPr>
      </w:pPr>
    </w:p>
    <w:p w:rsidR="004777D8" w:rsidRPr="008F3C53" w:rsidRDefault="008F3C53" w:rsidP="008F3C53">
      <w:pPr>
        <w:jc w:val="center"/>
        <w:rPr>
          <w:rFonts w:ascii="Arial" w:eastAsia="Times New Roman" w:hAnsi="Arial" w:cs="Arial"/>
          <w:b/>
          <w:lang w:val="es-ES" w:eastAsia="es-ES"/>
        </w:rPr>
      </w:pPr>
      <w:r w:rsidRPr="008F3C53">
        <w:rPr>
          <w:rFonts w:ascii="Arial" w:eastAsia="Times New Roman" w:hAnsi="Arial" w:cs="Arial"/>
          <w:b/>
          <w:lang w:val="es-ES" w:eastAsia="es-ES"/>
        </w:rPr>
        <w:t xml:space="preserve">Cuadro </w:t>
      </w:r>
      <w:r w:rsidR="00A308AA">
        <w:rPr>
          <w:rFonts w:ascii="Arial" w:eastAsia="Times New Roman" w:hAnsi="Arial" w:cs="Arial"/>
          <w:b/>
          <w:lang w:val="es-ES" w:eastAsia="es-ES"/>
        </w:rPr>
        <w:t>18</w:t>
      </w:r>
    </w:p>
    <w:p w:rsidR="008F3C53" w:rsidRDefault="004777D8" w:rsidP="008F3C53">
      <w:pPr>
        <w:jc w:val="center"/>
        <w:rPr>
          <w:rFonts w:ascii="Arial" w:eastAsia="Times New Roman" w:hAnsi="Arial" w:cs="Arial"/>
          <w:b/>
          <w:lang w:val="es-CR" w:eastAsia="es-ES"/>
        </w:rPr>
      </w:pPr>
      <w:r w:rsidRPr="008F3C53">
        <w:rPr>
          <w:rFonts w:ascii="Arial" w:eastAsia="Times New Roman" w:hAnsi="Arial" w:cs="Arial"/>
          <w:b/>
          <w:lang w:val="es-CR" w:eastAsia="es-ES"/>
        </w:rPr>
        <w:t xml:space="preserve">Costa Rica: Incidencia de </w:t>
      </w:r>
      <w:r w:rsidR="008F3C53">
        <w:rPr>
          <w:rFonts w:ascii="Arial" w:eastAsia="Times New Roman" w:hAnsi="Arial" w:cs="Arial"/>
          <w:b/>
          <w:lang w:val="es-CR" w:eastAsia="es-ES"/>
        </w:rPr>
        <w:t>i</w:t>
      </w:r>
      <w:r w:rsidRPr="008F3C53">
        <w:rPr>
          <w:rFonts w:ascii="Arial" w:eastAsia="Times New Roman" w:hAnsi="Arial" w:cs="Arial"/>
          <w:b/>
          <w:lang w:val="es-CR" w:eastAsia="es-ES"/>
        </w:rPr>
        <w:t xml:space="preserve">ntoxicaciones agudas </w:t>
      </w:r>
    </w:p>
    <w:p w:rsidR="008F3C53" w:rsidRDefault="004777D8" w:rsidP="008F3C53">
      <w:pPr>
        <w:jc w:val="center"/>
        <w:rPr>
          <w:rFonts w:ascii="Arial" w:eastAsia="Times New Roman" w:hAnsi="Arial" w:cs="Arial"/>
          <w:b/>
          <w:lang w:val="es-CR" w:eastAsia="es-ES"/>
        </w:rPr>
      </w:pPr>
      <w:r w:rsidRPr="008F3C53">
        <w:rPr>
          <w:rFonts w:ascii="Arial" w:eastAsia="Times New Roman" w:hAnsi="Arial" w:cs="Arial"/>
          <w:b/>
          <w:lang w:val="es-CR" w:eastAsia="es-ES"/>
        </w:rPr>
        <w:t>por plaguicidas</w:t>
      </w:r>
      <w:r w:rsidR="008F3C53">
        <w:rPr>
          <w:rFonts w:ascii="Arial" w:eastAsia="Times New Roman" w:hAnsi="Arial" w:cs="Arial"/>
          <w:b/>
          <w:lang w:val="es-CR" w:eastAsia="es-ES"/>
        </w:rPr>
        <w:t>,</w:t>
      </w:r>
      <w:r w:rsidRPr="008F3C53">
        <w:rPr>
          <w:rFonts w:ascii="Arial" w:eastAsia="Times New Roman" w:hAnsi="Arial" w:cs="Arial"/>
          <w:b/>
          <w:lang w:val="es-CR" w:eastAsia="es-ES"/>
        </w:rPr>
        <w:t xml:space="preserve"> según provincia, 2015-2018. </w:t>
      </w:r>
    </w:p>
    <w:p w:rsidR="004777D8" w:rsidRDefault="004777D8" w:rsidP="004777D8">
      <w:pPr>
        <w:spacing w:line="276" w:lineRule="auto"/>
        <w:jc w:val="center"/>
        <w:rPr>
          <w:rFonts w:ascii="Arial" w:eastAsia="Times New Roman" w:hAnsi="Arial" w:cs="Arial"/>
          <w:sz w:val="20"/>
          <w:szCs w:val="20"/>
          <w:lang w:val="es-CR" w:eastAsia="es-ES"/>
        </w:rPr>
      </w:pPr>
      <w:r w:rsidRPr="008F3C53">
        <w:rPr>
          <w:rFonts w:ascii="Arial" w:eastAsia="Times New Roman" w:hAnsi="Arial" w:cs="Arial"/>
          <w:sz w:val="20"/>
          <w:szCs w:val="20"/>
          <w:lang w:val="es-CR" w:eastAsia="es-ES"/>
        </w:rPr>
        <w:t>(</w:t>
      </w:r>
      <w:r w:rsidR="008F3C53" w:rsidRPr="008F3C53">
        <w:rPr>
          <w:rFonts w:ascii="Arial" w:eastAsia="Times New Roman" w:hAnsi="Arial" w:cs="Arial"/>
          <w:sz w:val="20"/>
          <w:szCs w:val="20"/>
          <w:lang w:val="es-CR" w:eastAsia="es-ES"/>
        </w:rPr>
        <w:t>t</w:t>
      </w:r>
      <w:r w:rsidRPr="008F3C53">
        <w:rPr>
          <w:rFonts w:ascii="Arial" w:eastAsia="Times New Roman" w:hAnsi="Arial" w:cs="Arial"/>
          <w:sz w:val="20"/>
          <w:szCs w:val="20"/>
          <w:lang w:val="es-CR" w:eastAsia="es-ES"/>
        </w:rPr>
        <w:t>asa por 100.000 habitantes).</w:t>
      </w:r>
    </w:p>
    <w:p w:rsidR="008F3C53" w:rsidRPr="008F3C53" w:rsidRDefault="008F3C53" w:rsidP="004777D8">
      <w:pPr>
        <w:spacing w:line="276" w:lineRule="auto"/>
        <w:jc w:val="center"/>
        <w:rPr>
          <w:rFonts w:ascii="Arial" w:eastAsia="Times New Roman" w:hAnsi="Arial" w:cs="Arial"/>
          <w:sz w:val="20"/>
          <w:szCs w:val="20"/>
          <w:lang w:val="es-CR" w:eastAsia="es-ES"/>
        </w:rPr>
      </w:pPr>
    </w:p>
    <w:tbl>
      <w:tblPr>
        <w:tblW w:w="6399" w:type="dxa"/>
        <w:jc w:val="center"/>
        <w:tblCellMar>
          <w:left w:w="70" w:type="dxa"/>
          <w:right w:w="70" w:type="dxa"/>
        </w:tblCellMar>
        <w:tblLook w:val="04A0" w:firstRow="1" w:lastRow="0" w:firstColumn="1" w:lastColumn="0" w:noHBand="0" w:noVBand="1"/>
      </w:tblPr>
      <w:tblGrid>
        <w:gridCol w:w="1220"/>
        <w:gridCol w:w="677"/>
        <w:gridCol w:w="596"/>
        <w:gridCol w:w="676"/>
        <w:gridCol w:w="641"/>
        <w:gridCol w:w="676"/>
        <w:gridCol w:w="641"/>
        <w:gridCol w:w="676"/>
        <w:gridCol w:w="596"/>
      </w:tblGrid>
      <w:tr w:rsidR="004777D8" w:rsidRPr="008F3C53" w:rsidTr="00A308AA">
        <w:trPr>
          <w:trHeight w:val="257"/>
          <w:jc w:val="center"/>
        </w:trPr>
        <w:tc>
          <w:tcPr>
            <w:tcW w:w="1003" w:type="dxa"/>
            <w:vMerge w:val="restart"/>
            <w:tcBorders>
              <w:top w:val="single" w:sz="4" w:space="0" w:color="auto"/>
              <w:left w:val="nil"/>
              <w:bottom w:val="single" w:sz="4" w:space="0" w:color="000000"/>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Provincia</w:t>
            </w:r>
          </w:p>
        </w:tc>
        <w:tc>
          <w:tcPr>
            <w:tcW w:w="1331"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2015</w:t>
            </w:r>
          </w:p>
        </w:tc>
        <w:tc>
          <w:tcPr>
            <w:tcW w:w="1367"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2016</w:t>
            </w:r>
          </w:p>
        </w:tc>
        <w:tc>
          <w:tcPr>
            <w:tcW w:w="1367"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2017</w:t>
            </w:r>
          </w:p>
        </w:tc>
        <w:tc>
          <w:tcPr>
            <w:tcW w:w="1331"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2018</w:t>
            </w:r>
          </w:p>
        </w:tc>
      </w:tr>
      <w:tr w:rsidR="004777D8" w:rsidRPr="008F3C53" w:rsidTr="00A308AA">
        <w:trPr>
          <w:trHeight w:val="257"/>
          <w:jc w:val="center"/>
        </w:trPr>
        <w:tc>
          <w:tcPr>
            <w:tcW w:w="1003" w:type="dxa"/>
            <w:vMerge/>
            <w:tcBorders>
              <w:top w:val="single" w:sz="4" w:space="0" w:color="auto"/>
              <w:left w:val="nil"/>
              <w:bottom w:val="single" w:sz="4" w:space="0" w:color="000000"/>
              <w:right w:val="nil"/>
            </w:tcBorders>
            <w:shd w:val="clear" w:color="auto" w:fill="D5DCE4" w:themeFill="text2" w:themeFillTint="33"/>
            <w:vAlign w:val="center"/>
            <w:hideMark/>
          </w:tcPr>
          <w:p w:rsidR="004777D8" w:rsidRPr="008F3C53" w:rsidRDefault="004777D8" w:rsidP="00475BBF">
            <w:pPr>
              <w:rPr>
                <w:rFonts w:ascii="Arial" w:eastAsia="Times New Roman" w:hAnsi="Arial" w:cs="Arial"/>
                <w:b/>
                <w:bCs/>
                <w:color w:val="000000"/>
                <w:sz w:val="20"/>
                <w:szCs w:val="20"/>
                <w:lang w:eastAsia="es-PA"/>
              </w:rPr>
            </w:pPr>
          </w:p>
        </w:tc>
        <w:tc>
          <w:tcPr>
            <w:tcW w:w="826" w:type="dxa"/>
            <w:tcBorders>
              <w:top w:val="nil"/>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N.º</w:t>
            </w:r>
          </w:p>
        </w:tc>
        <w:tc>
          <w:tcPr>
            <w:tcW w:w="505" w:type="dxa"/>
            <w:tcBorders>
              <w:top w:val="nil"/>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Tasa</w:t>
            </w:r>
          </w:p>
        </w:tc>
        <w:tc>
          <w:tcPr>
            <w:tcW w:w="826" w:type="dxa"/>
            <w:tcBorders>
              <w:top w:val="nil"/>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N.º</w:t>
            </w:r>
          </w:p>
        </w:tc>
        <w:tc>
          <w:tcPr>
            <w:tcW w:w="541" w:type="dxa"/>
            <w:tcBorders>
              <w:top w:val="nil"/>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Tasa</w:t>
            </w:r>
          </w:p>
        </w:tc>
        <w:tc>
          <w:tcPr>
            <w:tcW w:w="826" w:type="dxa"/>
            <w:tcBorders>
              <w:top w:val="nil"/>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N.º</w:t>
            </w:r>
          </w:p>
        </w:tc>
        <w:tc>
          <w:tcPr>
            <w:tcW w:w="541" w:type="dxa"/>
            <w:tcBorders>
              <w:top w:val="nil"/>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Tasa</w:t>
            </w:r>
          </w:p>
        </w:tc>
        <w:tc>
          <w:tcPr>
            <w:tcW w:w="826" w:type="dxa"/>
            <w:tcBorders>
              <w:top w:val="nil"/>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N.º</w:t>
            </w:r>
          </w:p>
        </w:tc>
        <w:tc>
          <w:tcPr>
            <w:tcW w:w="505" w:type="dxa"/>
            <w:tcBorders>
              <w:top w:val="nil"/>
              <w:left w:val="nil"/>
              <w:bottom w:val="single" w:sz="4" w:space="0" w:color="auto"/>
              <w:right w:val="nil"/>
            </w:tcBorders>
            <w:shd w:val="clear" w:color="auto" w:fill="D5DCE4" w:themeFill="text2" w:themeFillTint="33"/>
            <w:vAlign w:val="center"/>
            <w:hideMark/>
          </w:tcPr>
          <w:p w:rsidR="004777D8" w:rsidRPr="008F3C53" w:rsidRDefault="004777D8" w:rsidP="00475BBF">
            <w:pPr>
              <w:jc w:val="center"/>
              <w:rPr>
                <w:rFonts w:ascii="Arial" w:eastAsia="Times New Roman" w:hAnsi="Arial" w:cs="Arial"/>
                <w:b/>
                <w:bCs/>
                <w:color w:val="000000"/>
                <w:sz w:val="20"/>
                <w:szCs w:val="20"/>
                <w:lang w:eastAsia="es-PA"/>
              </w:rPr>
            </w:pPr>
            <w:r w:rsidRPr="008F3C53">
              <w:rPr>
                <w:rFonts w:ascii="Arial" w:eastAsia="Times New Roman" w:hAnsi="Arial" w:cs="Arial"/>
                <w:b/>
                <w:bCs/>
                <w:color w:val="000000"/>
                <w:sz w:val="20"/>
                <w:szCs w:val="20"/>
                <w:lang w:val="es-CR" w:eastAsia="es-PA"/>
              </w:rPr>
              <w:t>Tasa</w:t>
            </w:r>
          </w:p>
        </w:tc>
      </w:tr>
      <w:tr w:rsidR="004777D8" w:rsidRPr="008F3C53" w:rsidTr="008F3C53">
        <w:trPr>
          <w:trHeight w:val="388"/>
          <w:jc w:val="center"/>
        </w:trPr>
        <w:tc>
          <w:tcPr>
            <w:tcW w:w="1003" w:type="dxa"/>
            <w:tcBorders>
              <w:top w:val="nil"/>
              <w:left w:val="nil"/>
              <w:bottom w:val="nil"/>
              <w:right w:val="nil"/>
            </w:tcBorders>
            <w:shd w:val="clear" w:color="000000" w:fill="FFFFFF"/>
            <w:vAlign w:val="center"/>
            <w:hideMark/>
          </w:tcPr>
          <w:p w:rsidR="004777D8" w:rsidRPr="008F3C53" w:rsidRDefault="004777D8" w:rsidP="00475BBF">
            <w:pP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San José</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51</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3,20</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79</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4,91</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73</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4,50</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20</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1,22</w:t>
            </w:r>
          </w:p>
        </w:tc>
      </w:tr>
      <w:tr w:rsidR="004777D8" w:rsidRPr="008F3C53" w:rsidTr="00475BBF">
        <w:trPr>
          <w:trHeight w:val="257"/>
          <w:jc w:val="center"/>
        </w:trPr>
        <w:tc>
          <w:tcPr>
            <w:tcW w:w="1003" w:type="dxa"/>
            <w:tcBorders>
              <w:top w:val="nil"/>
              <w:left w:val="nil"/>
              <w:bottom w:val="nil"/>
              <w:right w:val="nil"/>
            </w:tcBorders>
            <w:shd w:val="clear" w:color="000000" w:fill="FFFFFF"/>
            <w:vAlign w:val="center"/>
            <w:hideMark/>
          </w:tcPr>
          <w:p w:rsidR="004777D8" w:rsidRPr="008F3C53" w:rsidRDefault="004777D8" w:rsidP="00475BBF">
            <w:pP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Alajuela</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41</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4,27</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22</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2,26</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19</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1,92</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7</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0,70</w:t>
            </w:r>
          </w:p>
        </w:tc>
      </w:tr>
      <w:tr w:rsidR="004777D8" w:rsidRPr="008F3C53" w:rsidTr="008F3C53">
        <w:trPr>
          <w:trHeight w:val="308"/>
          <w:jc w:val="center"/>
        </w:trPr>
        <w:tc>
          <w:tcPr>
            <w:tcW w:w="1003" w:type="dxa"/>
            <w:tcBorders>
              <w:top w:val="nil"/>
              <w:left w:val="nil"/>
              <w:bottom w:val="nil"/>
              <w:right w:val="nil"/>
            </w:tcBorders>
            <w:shd w:val="clear" w:color="000000" w:fill="FFFFFF"/>
            <w:vAlign w:val="center"/>
            <w:hideMark/>
          </w:tcPr>
          <w:p w:rsidR="004777D8" w:rsidRPr="008F3C53" w:rsidRDefault="004777D8" w:rsidP="00475BBF">
            <w:pP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Cartago</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24</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4,60</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12</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2,28</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10</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1,89</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5</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0,94</w:t>
            </w:r>
          </w:p>
        </w:tc>
      </w:tr>
      <w:tr w:rsidR="004777D8" w:rsidRPr="008F3C53" w:rsidTr="00475BBF">
        <w:trPr>
          <w:trHeight w:val="257"/>
          <w:jc w:val="center"/>
        </w:trPr>
        <w:tc>
          <w:tcPr>
            <w:tcW w:w="1003" w:type="dxa"/>
            <w:tcBorders>
              <w:top w:val="nil"/>
              <w:left w:val="nil"/>
              <w:bottom w:val="nil"/>
              <w:right w:val="nil"/>
            </w:tcBorders>
            <w:shd w:val="clear" w:color="000000" w:fill="FFFFFF"/>
            <w:vAlign w:val="center"/>
            <w:hideMark/>
          </w:tcPr>
          <w:p w:rsidR="004777D8" w:rsidRPr="008F3C53" w:rsidRDefault="004777D8" w:rsidP="00475BBF">
            <w:pP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Heredia</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22</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4,49</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10</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2,00</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6</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1,19</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0,39</w:t>
            </w:r>
          </w:p>
        </w:tc>
      </w:tr>
      <w:tr w:rsidR="004777D8" w:rsidRPr="008F3C53" w:rsidTr="008F3C53">
        <w:trPr>
          <w:trHeight w:val="358"/>
          <w:jc w:val="center"/>
        </w:trPr>
        <w:tc>
          <w:tcPr>
            <w:tcW w:w="1003" w:type="dxa"/>
            <w:tcBorders>
              <w:top w:val="nil"/>
              <w:left w:val="nil"/>
              <w:bottom w:val="nil"/>
              <w:right w:val="nil"/>
            </w:tcBorders>
            <w:shd w:val="clear" w:color="000000" w:fill="FFFFFF"/>
            <w:vAlign w:val="center"/>
            <w:hideMark/>
          </w:tcPr>
          <w:p w:rsidR="004777D8" w:rsidRPr="008F3C53" w:rsidRDefault="004777D8" w:rsidP="00475BBF">
            <w:pP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Puntarenas</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30</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6,41</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65</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13,70</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65</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13,53</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38</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9,93</w:t>
            </w:r>
          </w:p>
        </w:tc>
      </w:tr>
      <w:tr w:rsidR="004777D8" w:rsidRPr="008F3C53" w:rsidTr="008F3C53">
        <w:trPr>
          <w:trHeight w:val="378"/>
          <w:jc w:val="center"/>
        </w:trPr>
        <w:tc>
          <w:tcPr>
            <w:tcW w:w="1003" w:type="dxa"/>
            <w:tcBorders>
              <w:top w:val="nil"/>
              <w:left w:val="nil"/>
              <w:bottom w:val="nil"/>
              <w:right w:val="nil"/>
            </w:tcBorders>
            <w:shd w:val="clear" w:color="000000" w:fill="FFFFFF"/>
            <w:vAlign w:val="center"/>
            <w:hideMark/>
          </w:tcPr>
          <w:p w:rsidR="004777D8" w:rsidRPr="008F3C53" w:rsidRDefault="004777D8" w:rsidP="00475BBF">
            <w:pP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Limón</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35</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8,07</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10</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2,28</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23</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5,11</w:t>
            </w:r>
          </w:p>
        </w:tc>
      </w:tr>
      <w:tr w:rsidR="004777D8" w:rsidRPr="008F3C53" w:rsidTr="008F3C53">
        <w:trPr>
          <w:trHeight w:val="257"/>
          <w:jc w:val="center"/>
        </w:trPr>
        <w:tc>
          <w:tcPr>
            <w:tcW w:w="1003" w:type="dxa"/>
            <w:tcBorders>
              <w:top w:val="nil"/>
              <w:left w:val="nil"/>
              <w:bottom w:val="nil"/>
              <w:right w:val="nil"/>
            </w:tcBorders>
            <w:shd w:val="clear" w:color="000000" w:fill="FFFFFF"/>
            <w:vAlign w:val="center"/>
            <w:hideMark/>
          </w:tcPr>
          <w:p w:rsidR="004777D8" w:rsidRPr="008F3C53" w:rsidRDefault="004777D8" w:rsidP="00475BBF">
            <w:pP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Guanacaste</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4</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1,08</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1</w:t>
            </w:r>
          </w:p>
        </w:tc>
        <w:tc>
          <w:tcPr>
            <w:tcW w:w="541"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0,27</w:t>
            </w:r>
          </w:p>
        </w:tc>
        <w:tc>
          <w:tcPr>
            <w:tcW w:w="826"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w:t>
            </w:r>
          </w:p>
        </w:tc>
        <w:tc>
          <w:tcPr>
            <w:tcW w:w="505" w:type="dxa"/>
            <w:tcBorders>
              <w:top w:val="nil"/>
              <w:left w:val="nil"/>
              <w:bottom w:val="nil"/>
              <w:right w:val="nil"/>
            </w:tcBorders>
            <w:shd w:val="clear" w:color="000000" w:fill="FFFFFF"/>
            <w:vAlign w:val="center"/>
            <w:hideMark/>
          </w:tcPr>
          <w:p w:rsidR="004777D8" w:rsidRPr="008F3C53" w:rsidRDefault="004777D8" w:rsidP="00475BBF">
            <w:pPr>
              <w:jc w:val="center"/>
              <w:rPr>
                <w:rFonts w:ascii="Arial" w:eastAsia="Times New Roman" w:hAnsi="Arial" w:cs="Arial"/>
                <w:color w:val="000000"/>
                <w:sz w:val="20"/>
                <w:szCs w:val="20"/>
                <w:lang w:eastAsia="es-PA"/>
              </w:rPr>
            </w:pPr>
            <w:r w:rsidRPr="008F3C53">
              <w:rPr>
                <w:rFonts w:ascii="Arial" w:eastAsia="Times New Roman" w:hAnsi="Arial" w:cs="Arial"/>
                <w:color w:val="000000"/>
                <w:sz w:val="20"/>
                <w:szCs w:val="20"/>
                <w:lang w:val="es-CR" w:eastAsia="es-PA"/>
              </w:rPr>
              <w:t>0</w:t>
            </w:r>
          </w:p>
        </w:tc>
      </w:tr>
      <w:tr w:rsidR="008F3C53" w:rsidRPr="008F3C53" w:rsidTr="00475BBF">
        <w:trPr>
          <w:trHeight w:val="257"/>
          <w:jc w:val="center"/>
        </w:trPr>
        <w:tc>
          <w:tcPr>
            <w:tcW w:w="1003" w:type="dxa"/>
            <w:tcBorders>
              <w:top w:val="nil"/>
              <w:left w:val="nil"/>
              <w:bottom w:val="single" w:sz="4" w:space="0" w:color="auto"/>
              <w:right w:val="nil"/>
            </w:tcBorders>
            <w:shd w:val="clear" w:color="000000" w:fill="FFFFFF"/>
            <w:vAlign w:val="center"/>
          </w:tcPr>
          <w:p w:rsidR="008F3C53" w:rsidRPr="008F3C53" w:rsidRDefault="008F3C53" w:rsidP="00475BBF">
            <w:pPr>
              <w:rPr>
                <w:rFonts w:ascii="Arial" w:eastAsia="Times New Roman" w:hAnsi="Arial" w:cs="Arial"/>
                <w:b/>
                <w:color w:val="000000"/>
                <w:sz w:val="20"/>
                <w:szCs w:val="20"/>
                <w:lang w:val="es-CR" w:eastAsia="es-PA"/>
              </w:rPr>
            </w:pPr>
          </w:p>
          <w:p w:rsidR="008F3C53" w:rsidRPr="008F3C53" w:rsidRDefault="008F3C53" w:rsidP="00475BBF">
            <w:pPr>
              <w:rPr>
                <w:rFonts w:ascii="Arial" w:eastAsia="Times New Roman" w:hAnsi="Arial" w:cs="Arial"/>
                <w:b/>
                <w:color w:val="000000"/>
                <w:sz w:val="20"/>
                <w:szCs w:val="20"/>
                <w:lang w:val="es-CR" w:eastAsia="es-PA"/>
              </w:rPr>
            </w:pPr>
            <w:r w:rsidRPr="008F3C53">
              <w:rPr>
                <w:rFonts w:ascii="Arial" w:eastAsia="Times New Roman" w:hAnsi="Arial" w:cs="Arial"/>
                <w:b/>
                <w:color w:val="000000"/>
                <w:sz w:val="20"/>
                <w:szCs w:val="20"/>
                <w:lang w:val="es-CR" w:eastAsia="es-PA"/>
              </w:rPr>
              <w:t xml:space="preserve">Total </w:t>
            </w:r>
          </w:p>
          <w:p w:rsidR="008F3C53" w:rsidRPr="008F3C53" w:rsidRDefault="008F3C53" w:rsidP="00475BBF">
            <w:pPr>
              <w:rPr>
                <w:rFonts w:ascii="Arial" w:eastAsia="Times New Roman" w:hAnsi="Arial" w:cs="Arial"/>
                <w:b/>
                <w:color w:val="000000"/>
                <w:sz w:val="20"/>
                <w:szCs w:val="20"/>
                <w:lang w:val="es-CR" w:eastAsia="es-PA"/>
              </w:rPr>
            </w:pPr>
            <w:r w:rsidRPr="008F3C53">
              <w:rPr>
                <w:rFonts w:ascii="Arial" w:eastAsia="Times New Roman" w:hAnsi="Arial" w:cs="Arial"/>
                <w:b/>
                <w:color w:val="000000"/>
                <w:sz w:val="20"/>
                <w:szCs w:val="20"/>
                <w:lang w:val="es-CR" w:eastAsia="es-PA"/>
              </w:rPr>
              <w:t>Costa Rica</w:t>
            </w:r>
          </w:p>
        </w:tc>
        <w:tc>
          <w:tcPr>
            <w:tcW w:w="826" w:type="dxa"/>
            <w:tcBorders>
              <w:top w:val="nil"/>
              <w:left w:val="nil"/>
              <w:bottom w:val="single" w:sz="4" w:space="0" w:color="auto"/>
              <w:right w:val="nil"/>
            </w:tcBorders>
            <w:shd w:val="clear" w:color="000000" w:fill="FFFFFF"/>
            <w:vAlign w:val="center"/>
          </w:tcPr>
          <w:p w:rsidR="008F3C53" w:rsidRPr="008F3C53" w:rsidRDefault="008F3C53" w:rsidP="00475BBF">
            <w:pPr>
              <w:jc w:val="center"/>
              <w:rPr>
                <w:rFonts w:ascii="Arial" w:eastAsia="Times New Roman" w:hAnsi="Arial" w:cs="Arial"/>
                <w:b/>
                <w:color w:val="000000"/>
                <w:sz w:val="20"/>
                <w:szCs w:val="20"/>
                <w:lang w:val="es-CR" w:eastAsia="es-PA"/>
              </w:rPr>
            </w:pPr>
          </w:p>
        </w:tc>
        <w:tc>
          <w:tcPr>
            <w:tcW w:w="505" w:type="dxa"/>
            <w:tcBorders>
              <w:top w:val="nil"/>
              <w:left w:val="nil"/>
              <w:bottom w:val="single" w:sz="4" w:space="0" w:color="auto"/>
              <w:right w:val="nil"/>
            </w:tcBorders>
            <w:shd w:val="clear" w:color="000000" w:fill="FFFFFF"/>
            <w:vAlign w:val="center"/>
          </w:tcPr>
          <w:p w:rsidR="008F3C53" w:rsidRPr="008F3C53" w:rsidRDefault="008F3C53" w:rsidP="00475BBF">
            <w:pPr>
              <w:jc w:val="center"/>
              <w:rPr>
                <w:rFonts w:ascii="Arial" w:eastAsia="Times New Roman" w:hAnsi="Arial" w:cs="Arial"/>
                <w:b/>
                <w:sz w:val="20"/>
                <w:szCs w:val="20"/>
                <w:lang w:val="es-ES" w:eastAsia="es-ES"/>
              </w:rPr>
            </w:pPr>
          </w:p>
          <w:p w:rsidR="008F3C53" w:rsidRPr="008F3C53" w:rsidRDefault="008F3C53" w:rsidP="00475BBF">
            <w:pPr>
              <w:jc w:val="center"/>
              <w:rPr>
                <w:rFonts w:ascii="Arial" w:eastAsia="Times New Roman" w:hAnsi="Arial" w:cs="Arial"/>
                <w:b/>
                <w:color w:val="000000"/>
                <w:sz w:val="20"/>
                <w:szCs w:val="20"/>
                <w:lang w:val="es-CR" w:eastAsia="es-PA"/>
              </w:rPr>
            </w:pPr>
            <w:r w:rsidRPr="008F3C53">
              <w:rPr>
                <w:rFonts w:ascii="Arial" w:eastAsia="Times New Roman" w:hAnsi="Arial" w:cs="Arial"/>
                <w:b/>
                <w:sz w:val="20"/>
                <w:szCs w:val="20"/>
                <w:lang w:val="es-ES" w:eastAsia="es-ES"/>
              </w:rPr>
              <w:t>4,2</w:t>
            </w:r>
          </w:p>
          <w:p w:rsidR="008F3C53" w:rsidRPr="008F3C53" w:rsidRDefault="008F3C53" w:rsidP="00475BBF">
            <w:pPr>
              <w:jc w:val="center"/>
              <w:rPr>
                <w:rFonts w:ascii="Arial" w:eastAsia="Times New Roman" w:hAnsi="Arial" w:cs="Arial"/>
                <w:b/>
                <w:color w:val="000000"/>
                <w:sz w:val="20"/>
                <w:szCs w:val="20"/>
                <w:lang w:val="es-CR" w:eastAsia="es-PA"/>
              </w:rPr>
            </w:pPr>
          </w:p>
        </w:tc>
        <w:tc>
          <w:tcPr>
            <w:tcW w:w="826" w:type="dxa"/>
            <w:tcBorders>
              <w:top w:val="nil"/>
              <w:left w:val="nil"/>
              <w:bottom w:val="single" w:sz="4" w:space="0" w:color="auto"/>
              <w:right w:val="nil"/>
            </w:tcBorders>
            <w:shd w:val="clear" w:color="000000" w:fill="FFFFFF"/>
            <w:vAlign w:val="center"/>
          </w:tcPr>
          <w:p w:rsidR="008F3C53" w:rsidRPr="008F3C53" w:rsidRDefault="008F3C53" w:rsidP="00475BBF">
            <w:pPr>
              <w:jc w:val="center"/>
              <w:rPr>
                <w:rFonts w:ascii="Arial" w:eastAsia="Times New Roman" w:hAnsi="Arial" w:cs="Arial"/>
                <w:b/>
                <w:color w:val="000000"/>
                <w:sz w:val="20"/>
                <w:szCs w:val="20"/>
                <w:lang w:val="es-CR" w:eastAsia="es-PA"/>
              </w:rPr>
            </w:pPr>
          </w:p>
        </w:tc>
        <w:tc>
          <w:tcPr>
            <w:tcW w:w="541" w:type="dxa"/>
            <w:tcBorders>
              <w:top w:val="nil"/>
              <w:left w:val="nil"/>
              <w:bottom w:val="single" w:sz="4" w:space="0" w:color="auto"/>
              <w:right w:val="nil"/>
            </w:tcBorders>
            <w:shd w:val="clear" w:color="000000" w:fill="FFFFFF"/>
            <w:vAlign w:val="center"/>
          </w:tcPr>
          <w:p w:rsidR="008F3C53" w:rsidRPr="008F3C53" w:rsidRDefault="008F3C53" w:rsidP="008F3C53">
            <w:pPr>
              <w:jc w:val="center"/>
              <w:rPr>
                <w:rFonts w:ascii="Arial" w:eastAsia="Times New Roman" w:hAnsi="Arial" w:cs="Arial"/>
                <w:b/>
                <w:color w:val="000000"/>
                <w:sz w:val="20"/>
                <w:szCs w:val="20"/>
                <w:lang w:val="es-CR" w:eastAsia="es-PA"/>
              </w:rPr>
            </w:pPr>
            <w:r w:rsidRPr="008F3C53">
              <w:rPr>
                <w:rFonts w:ascii="Arial" w:eastAsia="Times New Roman" w:hAnsi="Arial" w:cs="Arial"/>
                <w:b/>
                <w:color w:val="000000"/>
                <w:sz w:val="20"/>
                <w:szCs w:val="20"/>
                <w:lang w:val="es-CR" w:eastAsia="es-PA"/>
              </w:rPr>
              <w:t>4,1</w:t>
            </w:r>
          </w:p>
        </w:tc>
        <w:tc>
          <w:tcPr>
            <w:tcW w:w="826" w:type="dxa"/>
            <w:tcBorders>
              <w:top w:val="nil"/>
              <w:left w:val="nil"/>
              <w:bottom w:val="single" w:sz="4" w:space="0" w:color="auto"/>
              <w:right w:val="nil"/>
            </w:tcBorders>
            <w:shd w:val="clear" w:color="000000" w:fill="FFFFFF"/>
            <w:vAlign w:val="center"/>
          </w:tcPr>
          <w:p w:rsidR="008F3C53" w:rsidRPr="008F3C53" w:rsidRDefault="008F3C53" w:rsidP="00475BBF">
            <w:pPr>
              <w:jc w:val="center"/>
              <w:rPr>
                <w:rFonts w:ascii="Arial" w:eastAsia="Times New Roman" w:hAnsi="Arial" w:cs="Arial"/>
                <w:b/>
                <w:color w:val="000000"/>
                <w:sz w:val="20"/>
                <w:szCs w:val="20"/>
                <w:lang w:val="es-CR" w:eastAsia="es-PA"/>
              </w:rPr>
            </w:pPr>
          </w:p>
        </w:tc>
        <w:tc>
          <w:tcPr>
            <w:tcW w:w="541" w:type="dxa"/>
            <w:tcBorders>
              <w:top w:val="nil"/>
              <w:left w:val="nil"/>
              <w:bottom w:val="single" w:sz="4" w:space="0" w:color="auto"/>
              <w:right w:val="nil"/>
            </w:tcBorders>
            <w:shd w:val="clear" w:color="000000" w:fill="FFFFFF"/>
            <w:vAlign w:val="center"/>
          </w:tcPr>
          <w:p w:rsidR="008F3C53" w:rsidRPr="008F3C53" w:rsidRDefault="008F3C53" w:rsidP="008F3C53">
            <w:pPr>
              <w:jc w:val="center"/>
              <w:rPr>
                <w:rFonts w:ascii="Arial" w:eastAsia="Times New Roman" w:hAnsi="Arial" w:cs="Arial"/>
                <w:b/>
                <w:color w:val="000000"/>
                <w:sz w:val="20"/>
                <w:szCs w:val="20"/>
                <w:lang w:val="es-CR" w:eastAsia="es-PA"/>
              </w:rPr>
            </w:pPr>
            <w:r w:rsidRPr="008F3C53">
              <w:rPr>
                <w:rFonts w:ascii="Arial" w:eastAsia="Times New Roman" w:hAnsi="Arial" w:cs="Arial"/>
                <w:b/>
                <w:color w:val="000000"/>
                <w:sz w:val="20"/>
                <w:szCs w:val="20"/>
                <w:lang w:val="es-CR" w:eastAsia="es-PA"/>
              </w:rPr>
              <w:t>3,5</w:t>
            </w:r>
          </w:p>
        </w:tc>
        <w:tc>
          <w:tcPr>
            <w:tcW w:w="826" w:type="dxa"/>
            <w:tcBorders>
              <w:top w:val="nil"/>
              <w:left w:val="nil"/>
              <w:bottom w:val="single" w:sz="4" w:space="0" w:color="auto"/>
              <w:right w:val="nil"/>
            </w:tcBorders>
            <w:shd w:val="clear" w:color="000000" w:fill="FFFFFF"/>
            <w:vAlign w:val="center"/>
          </w:tcPr>
          <w:p w:rsidR="008F3C53" w:rsidRPr="008F3C53" w:rsidRDefault="008F3C53" w:rsidP="00475BBF">
            <w:pPr>
              <w:jc w:val="center"/>
              <w:rPr>
                <w:rFonts w:ascii="Arial" w:eastAsia="Times New Roman" w:hAnsi="Arial" w:cs="Arial"/>
                <w:b/>
                <w:color w:val="000000"/>
                <w:sz w:val="20"/>
                <w:szCs w:val="20"/>
                <w:lang w:val="es-CR" w:eastAsia="es-PA"/>
              </w:rPr>
            </w:pPr>
          </w:p>
        </w:tc>
        <w:tc>
          <w:tcPr>
            <w:tcW w:w="505" w:type="dxa"/>
            <w:tcBorders>
              <w:top w:val="nil"/>
              <w:left w:val="nil"/>
              <w:bottom w:val="single" w:sz="4" w:space="0" w:color="auto"/>
              <w:right w:val="nil"/>
            </w:tcBorders>
            <w:shd w:val="clear" w:color="000000" w:fill="FFFFFF"/>
            <w:vAlign w:val="center"/>
          </w:tcPr>
          <w:p w:rsidR="008F3C53" w:rsidRPr="008F3C53" w:rsidRDefault="008F3C53" w:rsidP="00475BBF">
            <w:pPr>
              <w:jc w:val="center"/>
              <w:rPr>
                <w:rFonts w:ascii="Arial" w:eastAsia="Times New Roman" w:hAnsi="Arial" w:cs="Arial"/>
                <w:b/>
                <w:color w:val="000000"/>
                <w:sz w:val="20"/>
                <w:szCs w:val="20"/>
                <w:lang w:val="es-CR" w:eastAsia="es-PA"/>
              </w:rPr>
            </w:pPr>
            <w:r w:rsidRPr="008F3C53">
              <w:rPr>
                <w:rFonts w:ascii="Arial" w:eastAsia="Times New Roman" w:hAnsi="Arial" w:cs="Arial"/>
                <w:b/>
                <w:color w:val="000000"/>
                <w:sz w:val="20"/>
                <w:szCs w:val="20"/>
                <w:lang w:val="es-CR" w:eastAsia="es-PA"/>
              </w:rPr>
              <w:t>1,9</w:t>
            </w:r>
          </w:p>
        </w:tc>
      </w:tr>
    </w:tbl>
    <w:p w:rsidR="004777D8" w:rsidRDefault="004777D8" w:rsidP="008F3C53">
      <w:pPr>
        <w:spacing w:line="360" w:lineRule="auto"/>
        <w:jc w:val="center"/>
        <w:rPr>
          <w:rFonts w:ascii="Arial" w:eastAsia="Times New Roman" w:hAnsi="Arial" w:cs="Arial"/>
          <w:lang w:val="es-ES" w:eastAsia="es-ES"/>
        </w:rPr>
      </w:pPr>
      <w:r w:rsidRPr="00A308AA">
        <w:rPr>
          <w:rFonts w:ascii="Arial" w:eastAsia="Times New Roman" w:hAnsi="Arial" w:cs="Arial"/>
          <w:b/>
          <w:sz w:val="16"/>
          <w:szCs w:val="16"/>
          <w:lang w:val="es-CR" w:eastAsia="es-CR"/>
        </w:rPr>
        <w:t>Fuente:</w:t>
      </w:r>
      <w:r w:rsidRPr="00C36458">
        <w:rPr>
          <w:rFonts w:ascii="Arial" w:eastAsia="Times New Roman" w:hAnsi="Arial" w:cs="Arial"/>
          <w:color w:val="000000"/>
          <w:sz w:val="16"/>
          <w:szCs w:val="16"/>
          <w:lang w:val="es-CR" w:eastAsia="es-CR"/>
        </w:rPr>
        <w:t xml:space="preserve"> Dirección de Vigilancia</w:t>
      </w:r>
      <w:r>
        <w:rPr>
          <w:rFonts w:ascii="Arial" w:eastAsia="Times New Roman" w:hAnsi="Arial" w:cs="Arial"/>
          <w:color w:val="000000"/>
          <w:sz w:val="16"/>
          <w:szCs w:val="16"/>
          <w:lang w:val="es-CR" w:eastAsia="es-CR"/>
        </w:rPr>
        <w:t xml:space="preserve"> de la Salud, Ministerio de Salud</w:t>
      </w:r>
      <w:r w:rsidR="008F3C53">
        <w:rPr>
          <w:rFonts w:ascii="Arial" w:eastAsia="Times New Roman" w:hAnsi="Arial" w:cs="Arial"/>
          <w:color w:val="000000"/>
          <w:sz w:val="16"/>
          <w:szCs w:val="16"/>
          <w:lang w:val="es-CR" w:eastAsia="es-CR"/>
        </w:rPr>
        <w:t>, 2019.</w:t>
      </w:r>
    </w:p>
    <w:p w:rsidR="005C5A74" w:rsidRDefault="005C5A74" w:rsidP="004777D8">
      <w:pPr>
        <w:spacing w:line="276" w:lineRule="auto"/>
        <w:jc w:val="both"/>
        <w:rPr>
          <w:rFonts w:ascii="Arial" w:eastAsia="Times New Roman" w:hAnsi="Arial" w:cs="Arial"/>
          <w:lang w:val="es-ES" w:eastAsia="es-ES"/>
        </w:rPr>
      </w:pPr>
      <w:bookmarkStart w:id="30" w:name="_Hlk497680381"/>
    </w:p>
    <w:p w:rsidR="005C5A74" w:rsidRDefault="00EF7686" w:rsidP="004777D8">
      <w:pPr>
        <w:spacing w:line="276" w:lineRule="auto"/>
        <w:jc w:val="both"/>
        <w:rPr>
          <w:rFonts w:ascii="Arial" w:eastAsia="Times New Roman" w:hAnsi="Arial" w:cs="Arial"/>
          <w:lang w:val="es-ES" w:eastAsia="es-ES"/>
        </w:rPr>
      </w:pPr>
      <w:r>
        <w:rPr>
          <w:rFonts w:ascii="Arial" w:eastAsia="Times New Roman" w:hAnsi="Arial" w:cs="Arial"/>
          <w:lang w:val="es-ES" w:eastAsia="es-ES"/>
        </w:rPr>
        <w:t xml:space="preserve">El análisis </w:t>
      </w:r>
      <w:r w:rsidRPr="00D77CBF">
        <w:rPr>
          <w:rFonts w:ascii="Arial" w:eastAsia="Times New Roman" w:hAnsi="Arial" w:cs="Arial"/>
          <w:lang w:val="es-ES" w:eastAsia="es-ES"/>
        </w:rPr>
        <w:t xml:space="preserve">por cantón </w:t>
      </w:r>
      <w:r>
        <w:rPr>
          <w:rFonts w:ascii="Arial" w:eastAsia="Times New Roman" w:hAnsi="Arial" w:cs="Arial"/>
          <w:lang w:val="es-ES" w:eastAsia="es-ES"/>
        </w:rPr>
        <w:t xml:space="preserve">muestra  a Parrita con la mayor </w:t>
      </w:r>
      <w:r w:rsidR="004777D8" w:rsidRPr="00D77CBF">
        <w:rPr>
          <w:rFonts w:ascii="Arial" w:eastAsia="Times New Roman" w:hAnsi="Arial" w:cs="Arial"/>
          <w:lang w:val="es-ES" w:eastAsia="es-ES"/>
        </w:rPr>
        <w:t xml:space="preserve">incidencia de intoxicaciones </w:t>
      </w:r>
      <w:r>
        <w:rPr>
          <w:rFonts w:ascii="Arial" w:eastAsia="Times New Roman" w:hAnsi="Arial" w:cs="Arial"/>
          <w:lang w:val="es-ES" w:eastAsia="es-ES"/>
        </w:rPr>
        <w:t xml:space="preserve">para </w:t>
      </w:r>
      <w:r w:rsidR="004777D8">
        <w:rPr>
          <w:rFonts w:ascii="Arial" w:eastAsia="Times New Roman" w:hAnsi="Arial" w:cs="Arial"/>
          <w:lang w:val="es-ES" w:eastAsia="es-ES"/>
        </w:rPr>
        <w:t>el período 2015</w:t>
      </w:r>
      <w:r>
        <w:rPr>
          <w:rFonts w:ascii="Arial" w:eastAsia="Times New Roman" w:hAnsi="Arial" w:cs="Arial"/>
          <w:lang w:val="es-ES" w:eastAsia="es-ES"/>
        </w:rPr>
        <w:t xml:space="preserve"> y </w:t>
      </w:r>
      <w:r w:rsidR="004777D8">
        <w:rPr>
          <w:rFonts w:ascii="Arial" w:eastAsia="Times New Roman" w:hAnsi="Arial" w:cs="Arial"/>
          <w:lang w:val="es-ES" w:eastAsia="es-ES"/>
        </w:rPr>
        <w:t>2016</w:t>
      </w:r>
      <w:r>
        <w:rPr>
          <w:rFonts w:ascii="Arial" w:eastAsia="Times New Roman" w:hAnsi="Arial" w:cs="Arial"/>
          <w:lang w:val="es-ES" w:eastAsia="es-ES"/>
        </w:rPr>
        <w:t>,</w:t>
      </w:r>
      <w:r w:rsidR="004777D8">
        <w:rPr>
          <w:rFonts w:ascii="Arial" w:eastAsia="Times New Roman" w:hAnsi="Arial" w:cs="Arial"/>
          <w:lang w:val="es-ES" w:eastAsia="es-ES"/>
        </w:rPr>
        <w:t xml:space="preserve"> con una tasa de 125,6 y 58,8 por 100.000 habitantes respectivamente</w:t>
      </w:r>
      <w:r>
        <w:rPr>
          <w:rFonts w:ascii="Arial" w:eastAsia="Times New Roman" w:hAnsi="Arial" w:cs="Arial"/>
          <w:lang w:val="es-ES" w:eastAsia="es-ES"/>
        </w:rPr>
        <w:t xml:space="preserve">. En el </w:t>
      </w:r>
      <w:r w:rsidR="004777D8">
        <w:rPr>
          <w:rFonts w:ascii="Arial" w:eastAsia="Times New Roman" w:hAnsi="Arial" w:cs="Arial"/>
          <w:lang w:val="es-ES" w:eastAsia="es-ES"/>
        </w:rPr>
        <w:t xml:space="preserve">2017 el primer </w:t>
      </w:r>
      <w:r>
        <w:rPr>
          <w:rFonts w:ascii="Arial" w:eastAsia="Times New Roman" w:hAnsi="Arial" w:cs="Arial"/>
          <w:lang w:val="es-ES" w:eastAsia="es-ES"/>
        </w:rPr>
        <w:t xml:space="preserve">lugar lo </w:t>
      </w:r>
      <w:r w:rsidR="004777D8">
        <w:rPr>
          <w:rFonts w:ascii="Arial" w:eastAsia="Times New Roman" w:hAnsi="Arial" w:cs="Arial"/>
          <w:lang w:val="es-ES" w:eastAsia="es-ES"/>
        </w:rPr>
        <w:t>ocup</w:t>
      </w:r>
      <w:r>
        <w:rPr>
          <w:rFonts w:ascii="Arial" w:eastAsia="Times New Roman" w:hAnsi="Arial" w:cs="Arial"/>
          <w:lang w:val="es-ES" w:eastAsia="es-ES"/>
        </w:rPr>
        <w:t xml:space="preserve">ó </w:t>
      </w:r>
      <w:r w:rsidR="004777D8">
        <w:rPr>
          <w:rFonts w:ascii="Arial" w:eastAsia="Times New Roman" w:hAnsi="Arial" w:cs="Arial"/>
          <w:lang w:val="es-ES" w:eastAsia="es-ES"/>
        </w:rPr>
        <w:t>el cantón de Dota con una tasa de 64,2 por 100.000 habitantes</w:t>
      </w:r>
      <w:r>
        <w:rPr>
          <w:rFonts w:ascii="Arial" w:eastAsia="Times New Roman" w:hAnsi="Arial" w:cs="Arial"/>
          <w:lang w:val="es-ES" w:eastAsia="es-ES"/>
        </w:rPr>
        <w:t xml:space="preserve">; </w:t>
      </w:r>
      <w:r w:rsidR="004777D8">
        <w:rPr>
          <w:rFonts w:ascii="Arial" w:eastAsia="Times New Roman" w:hAnsi="Arial" w:cs="Arial"/>
          <w:lang w:val="es-ES" w:eastAsia="es-ES"/>
        </w:rPr>
        <w:t>para el año 2018 el cantón de Parrita vuelve a ubicarse en el primer puesto con una incidencia del 61,67.</w:t>
      </w:r>
    </w:p>
    <w:p w:rsidR="005C5A74" w:rsidRDefault="005C5A74">
      <w:pPr>
        <w:spacing w:after="160" w:line="259" w:lineRule="auto"/>
        <w:rPr>
          <w:rFonts w:ascii="Arial" w:eastAsia="Times New Roman" w:hAnsi="Arial" w:cs="Arial"/>
          <w:lang w:val="es-ES" w:eastAsia="es-ES"/>
        </w:rPr>
      </w:pPr>
      <w:r>
        <w:rPr>
          <w:rFonts w:ascii="Arial" w:eastAsia="Times New Roman" w:hAnsi="Arial" w:cs="Arial"/>
          <w:lang w:val="es-ES" w:eastAsia="es-ES"/>
        </w:rPr>
        <w:br w:type="page"/>
      </w:r>
    </w:p>
    <w:bookmarkEnd w:id="30"/>
    <w:p w:rsidR="004777D8" w:rsidRPr="00EF7686" w:rsidRDefault="00EF7686" w:rsidP="00EF7686">
      <w:pPr>
        <w:jc w:val="center"/>
        <w:rPr>
          <w:rFonts w:ascii="Arial" w:eastAsia="Times New Roman" w:hAnsi="Arial" w:cs="Arial"/>
          <w:b/>
          <w:sz w:val="22"/>
          <w:szCs w:val="22"/>
          <w:lang w:val="es-ES" w:eastAsia="es-ES"/>
        </w:rPr>
      </w:pPr>
      <w:r w:rsidRPr="00EF7686">
        <w:rPr>
          <w:rFonts w:ascii="Arial" w:eastAsia="Times New Roman" w:hAnsi="Arial" w:cs="Arial"/>
          <w:b/>
          <w:sz w:val="22"/>
          <w:szCs w:val="22"/>
          <w:lang w:val="es-ES" w:eastAsia="es-ES"/>
        </w:rPr>
        <w:lastRenderedPageBreak/>
        <w:t xml:space="preserve">Cuadro </w:t>
      </w:r>
      <w:r w:rsidR="00A308AA">
        <w:rPr>
          <w:rFonts w:ascii="Arial" w:eastAsia="Times New Roman" w:hAnsi="Arial" w:cs="Arial"/>
          <w:b/>
          <w:sz w:val="22"/>
          <w:szCs w:val="22"/>
          <w:lang w:val="es-ES" w:eastAsia="es-ES"/>
        </w:rPr>
        <w:t>19</w:t>
      </w:r>
    </w:p>
    <w:p w:rsidR="00EF7686" w:rsidRDefault="004777D8" w:rsidP="00EF7686">
      <w:pPr>
        <w:jc w:val="center"/>
        <w:rPr>
          <w:rFonts w:ascii="Arial" w:eastAsia="Times New Roman" w:hAnsi="Arial" w:cs="Arial"/>
          <w:b/>
          <w:bCs/>
          <w:color w:val="000000"/>
          <w:sz w:val="22"/>
          <w:szCs w:val="22"/>
          <w:lang w:val="es-CR" w:eastAsia="es-PA"/>
        </w:rPr>
      </w:pPr>
      <w:r w:rsidRPr="00EF7686">
        <w:rPr>
          <w:rFonts w:ascii="Arial" w:eastAsia="Times New Roman" w:hAnsi="Arial" w:cs="Arial"/>
          <w:b/>
          <w:bCs/>
          <w:color w:val="000000"/>
          <w:sz w:val="22"/>
          <w:szCs w:val="22"/>
          <w:lang w:val="es-CR" w:eastAsia="es-PA"/>
        </w:rPr>
        <w:t xml:space="preserve">Costa Rica: Incidencia de intoxicaciones agudas por plaguicidas </w:t>
      </w:r>
    </w:p>
    <w:p w:rsidR="00EF7686" w:rsidRDefault="004777D8" w:rsidP="00EF7686">
      <w:pPr>
        <w:jc w:val="center"/>
        <w:rPr>
          <w:rFonts w:ascii="Arial" w:eastAsia="Times New Roman" w:hAnsi="Arial" w:cs="Arial"/>
          <w:b/>
          <w:bCs/>
          <w:color w:val="000000"/>
          <w:sz w:val="22"/>
          <w:szCs w:val="22"/>
          <w:lang w:val="es-CR" w:eastAsia="es-PA"/>
        </w:rPr>
      </w:pPr>
      <w:r w:rsidRPr="00EF7686">
        <w:rPr>
          <w:rFonts w:ascii="Arial" w:eastAsia="Times New Roman" w:hAnsi="Arial" w:cs="Arial"/>
          <w:b/>
          <w:bCs/>
          <w:color w:val="000000"/>
          <w:sz w:val="22"/>
          <w:szCs w:val="22"/>
          <w:lang w:val="es-CR" w:eastAsia="es-PA"/>
        </w:rPr>
        <w:t xml:space="preserve">según provincia y cantón, 2015 -2018. </w:t>
      </w:r>
    </w:p>
    <w:p w:rsidR="004777D8" w:rsidRPr="00EF7686" w:rsidRDefault="004777D8" w:rsidP="00EF7686">
      <w:pPr>
        <w:jc w:val="center"/>
        <w:rPr>
          <w:rFonts w:ascii="Arial" w:eastAsia="Times New Roman" w:hAnsi="Arial" w:cs="Arial"/>
          <w:bCs/>
          <w:color w:val="000000"/>
          <w:sz w:val="22"/>
          <w:szCs w:val="22"/>
          <w:lang w:val="es-CR" w:eastAsia="es-PA"/>
        </w:rPr>
      </w:pPr>
      <w:r w:rsidRPr="00EF7686">
        <w:rPr>
          <w:rFonts w:ascii="Arial" w:eastAsia="Times New Roman" w:hAnsi="Arial" w:cs="Arial"/>
          <w:bCs/>
          <w:color w:val="000000"/>
          <w:sz w:val="20"/>
          <w:szCs w:val="20"/>
          <w:lang w:val="es-CR" w:eastAsia="es-PA"/>
        </w:rPr>
        <w:t>(</w:t>
      </w:r>
      <w:r w:rsidR="00EF7686" w:rsidRPr="00EF7686">
        <w:rPr>
          <w:rFonts w:ascii="Arial" w:eastAsia="Times New Roman" w:hAnsi="Arial" w:cs="Arial"/>
          <w:bCs/>
          <w:color w:val="000000"/>
          <w:sz w:val="20"/>
          <w:szCs w:val="20"/>
          <w:lang w:val="es-CR" w:eastAsia="es-PA"/>
        </w:rPr>
        <w:t>t</w:t>
      </w:r>
      <w:r w:rsidRPr="00EF7686">
        <w:rPr>
          <w:rFonts w:ascii="Arial" w:eastAsia="Times New Roman" w:hAnsi="Arial" w:cs="Arial"/>
          <w:bCs/>
          <w:color w:val="000000"/>
          <w:sz w:val="20"/>
          <w:szCs w:val="20"/>
          <w:lang w:val="es-CR" w:eastAsia="es-PA"/>
        </w:rPr>
        <w:t>asa por 100.000 habitantes)</w:t>
      </w:r>
    </w:p>
    <w:tbl>
      <w:tblPr>
        <w:tblW w:w="8050" w:type="dxa"/>
        <w:jc w:val="center"/>
        <w:tblCellMar>
          <w:left w:w="70" w:type="dxa"/>
          <w:right w:w="70" w:type="dxa"/>
        </w:tblCellMar>
        <w:tblLook w:val="04A0" w:firstRow="1" w:lastRow="0" w:firstColumn="1" w:lastColumn="0" w:noHBand="0" w:noVBand="1"/>
      </w:tblPr>
      <w:tblGrid>
        <w:gridCol w:w="1121"/>
        <w:gridCol w:w="1361"/>
        <w:gridCol w:w="821"/>
        <w:gridCol w:w="591"/>
        <w:gridCol w:w="821"/>
        <w:gridCol w:w="551"/>
        <w:gridCol w:w="821"/>
        <w:gridCol w:w="551"/>
        <w:gridCol w:w="821"/>
        <w:gridCol w:w="591"/>
      </w:tblGrid>
      <w:tr w:rsidR="004777D8" w:rsidRPr="00EF7686" w:rsidTr="00A308AA">
        <w:trPr>
          <w:trHeight w:val="250"/>
          <w:jc w:val="center"/>
        </w:trPr>
        <w:tc>
          <w:tcPr>
            <w:tcW w:w="1121" w:type="dxa"/>
            <w:vMerge w:val="restart"/>
            <w:tcBorders>
              <w:top w:val="single" w:sz="4" w:space="0" w:color="auto"/>
              <w:left w:val="nil"/>
              <w:bottom w:val="single" w:sz="4" w:space="0" w:color="000000"/>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Provincia</w:t>
            </w:r>
          </w:p>
        </w:tc>
        <w:tc>
          <w:tcPr>
            <w:tcW w:w="1361" w:type="dxa"/>
            <w:vMerge w:val="restart"/>
            <w:tcBorders>
              <w:top w:val="single" w:sz="4" w:space="0" w:color="auto"/>
              <w:left w:val="nil"/>
              <w:bottom w:val="single" w:sz="4" w:space="0" w:color="000000"/>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Cantón</w:t>
            </w:r>
          </w:p>
        </w:tc>
        <w:tc>
          <w:tcPr>
            <w:tcW w:w="1412"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color w:val="000000"/>
                <w:sz w:val="18"/>
                <w:szCs w:val="18"/>
                <w:lang w:eastAsia="es-PA"/>
              </w:rPr>
            </w:pPr>
            <w:r w:rsidRPr="00EF7686">
              <w:rPr>
                <w:rFonts w:ascii="Arial" w:eastAsia="Times New Roman" w:hAnsi="Arial" w:cs="Arial"/>
                <w:b/>
                <w:color w:val="000000"/>
                <w:sz w:val="18"/>
                <w:szCs w:val="18"/>
                <w:lang w:val="es-ES" w:eastAsia="es-PA"/>
              </w:rPr>
              <w:t>2015</w:t>
            </w:r>
          </w:p>
        </w:tc>
        <w:tc>
          <w:tcPr>
            <w:tcW w:w="1372"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color w:val="000000"/>
                <w:sz w:val="18"/>
                <w:szCs w:val="18"/>
                <w:lang w:eastAsia="es-PA"/>
              </w:rPr>
            </w:pPr>
            <w:r w:rsidRPr="00EF7686">
              <w:rPr>
                <w:rFonts w:ascii="Arial" w:eastAsia="Times New Roman" w:hAnsi="Arial" w:cs="Arial"/>
                <w:b/>
                <w:color w:val="000000"/>
                <w:sz w:val="18"/>
                <w:szCs w:val="18"/>
                <w:lang w:val="es-ES" w:eastAsia="es-PA"/>
              </w:rPr>
              <w:t>2016</w:t>
            </w:r>
          </w:p>
        </w:tc>
        <w:tc>
          <w:tcPr>
            <w:tcW w:w="1372"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color w:val="000000"/>
                <w:sz w:val="18"/>
                <w:szCs w:val="18"/>
                <w:lang w:eastAsia="es-PA"/>
              </w:rPr>
            </w:pPr>
            <w:r w:rsidRPr="00EF7686">
              <w:rPr>
                <w:rFonts w:ascii="Arial" w:eastAsia="Times New Roman" w:hAnsi="Arial" w:cs="Arial"/>
                <w:b/>
                <w:color w:val="000000"/>
                <w:sz w:val="18"/>
                <w:szCs w:val="18"/>
                <w:lang w:val="es-ES" w:eastAsia="es-PA"/>
              </w:rPr>
              <w:t>2017</w:t>
            </w:r>
          </w:p>
        </w:tc>
        <w:tc>
          <w:tcPr>
            <w:tcW w:w="1412"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color w:val="000000"/>
                <w:sz w:val="18"/>
                <w:szCs w:val="18"/>
                <w:lang w:eastAsia="es-PA"/>
              </w:rPr>
            </w:pPr>
            <w:r w:rsidRPr="00EF7686">
              <w:rPr>
                <w:rFonts w:ascii="Arial" w:eastAsia="Times New Roman" w:hAnsi="Arial" w:cs="Arial"/>
                <w:b/>
                <w:color w:val="000000"/>
                <w:sz w:val="18"/>
                <w:szCs w:val="18"/>
                <w:lang w:val="es-ES" w:eastAsia="es-PA"/>
              </w:rPr>
              <w:t>2018</w:t>
            </w:r>
          </w:p>
        </w:tc>
      </w:tr>
      <w:tr w:rsidR="004777D8" w:rsidRPr="00EF7686" w:rsidTr="00A308AA">
        <w:trPr>
          <w:trHeight w:val="250"/>
          <w:jc w:val="center"/>
        </w:trPr>
        <w:tc>
          <w:tcPr>
            <w:tcW w:w="1121" w:type="dxa"/>
            <w:vMerge/>
            <w:tcBorders>
              <w:top w:val="single" w:sz="4" w:space="0" w:color="auto"/>
              <w:left w:val="nil"/>
              <w:bottom w:val="single" w:sz="4" w:space="0" w:color="000000"/>
              <w:right w:val="nil"/>
            </w:tcBorders>
            <w:shd w:val="clear" w:color="auto" w:fill="D5DCE4" w:themeFill="text2" w:themeFillTint="33"/>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vMerge/>
            <w:tcBorders>
              <w:top w:val="single" w:sz="4" w:space="0" w:color="auto"/>
              <w:left w:val="nil"/>
              <w:bottom w:val="single" w:sz="4" w:space="0" w:color="000000"/>
              <w:right w:val="nil"/>
            </w:tcBorders>
            <w:shd w:val="clear" w:color="auto" w:fill="D5DCE4" w:themeFill="text2" w:themeFillTint="33"/>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821"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Número</w:t>
            </w:r>
          </w:p>
        </w:tc>
        <w:tc>
          <w:tcPr>
            <w:tcW w:w="591"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Tasa</w:t>
            </w:r>
          </w:p>
        </w:tc>
        <w:tc>
          <w:tcPr>
            <w:tcW w:w="821"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Número</w:t>
            </w:r>
          </w:p>
        </w:tc>
        <w:tc>
          <w:tcPr>
            <w:tcW w:w="551"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Tasa</w:t>
            </w:r>
          </w:p>
        </w:tc>
        <w:tc>
          <w:tcPr>
            <w:tcW w:w="821"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Número</w:t>
            </w:r>
          </w:p>
        </w:tc>
        <w:tc>
          <w:tcPr>
            <w:tcW w:w="551"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Tasa</w:t>
            </w:r>
          </w:p>
        </w:tc>
        <w:tc>
          <w:tcPr>
            <w:tcW w:w="821"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Número</w:t>
            </w:r>
          </w:p>
        </w:tc>
        <w:tc>
          <w:tcPr>
            <w:tcW w:w="591"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Tasa</w:t>
            </w:r>
          </w:p>
        </w:tc>
      </w:tr>
      <w:tr w:rsidR="004777D8" w:rsidRPr="00EF7686" w:rsidTr="00EF7686">
        <w:trPr>
          <w:trHeight w:val="250"/>
          <w:jc w:val="center"/>
        </w:trPr>
        <w:tc>
          <w:tcPr>
            <w:tcW w:w="1121" w:type="dxa"/>
            <w:vMerge w:val="restart"/>
            <w:tcBorders>
              <w:top w:val="nil"/>
              <w:left w:val="nil"/>
              <w:bottom w:val="single" w:sz="4" w:space="0" w:color="000000"/>
              <w:right w:val="nil"/>
            </w:tcBorders>
            <w:shd w:val="clear" w:color="000000" w:fill="FFFFFF"/>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San José</w:t>
            </w: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Puriscal</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11</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30,3</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2,7</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5,4</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8,03</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Tarrazú</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67,5</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55,7</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55,2</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10,95</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Desamparados</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0,42</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Acosta</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9</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42,5</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7</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32,8</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4,6</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4,61</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Turrubares</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30,6</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Dota</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26,1</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25,9</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64,2</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12,75</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Pérez Zeledón</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45</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31,6</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25</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17,5</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8</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5,60</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single" w:sz="4" w:space="0" w:color="auto"/>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León Cortes</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7</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53,7</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30,3</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45</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14,82</w:t>
            </w:r>
          </w:p>
        </w:tc>
      </w:tr>
      <w:tr w:rsidR="004777D8" w:rsidRPr="00EF7686" w:rsidTr="00EF7686">
        <w:trPr>
          <w:trHeight w:val="250"/>
          <w:jc w:val="center"/>
        </w:trPr>
        <w:tc>
          <w:tcPr>
            <w:tcW w:w="1121" w:type="dxa"/>
            <w:vMerge w:val="restart"/>
            <w:tcBorders>
              <w:top w:val="nil"/>
              <w:left w:val="nil"/>
              <w:bottom w:val="single" w:sz="4" w:space="0" w:color="000000"/>
              <w:right w:val="nil"/>
            </w:tcBorders>
            <w:shd w:val="clear" w:color="000000" w:fill="FFFFFF"/>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Alajuela</w:t>
            </w: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Alajuela</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0,98</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Los Chiles</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9,7</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Guatuso</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11,1</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7</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38,2</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7</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37,8</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Orotina</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4,32</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Poás</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6,04</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single" w:sz="4" w:space="0" w:color="auto"/>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San Carlos</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0,51</w:t>
            </w:r>
          </w:p>
        </w:tc>
      </w:tr>
      <w:tr w:rsidR="004777D8" w:rsidRPr="00EF7686" w:rsidTr="00EF7686">
        <w:trPr>
          <w:trHeight w:val="250"/>
          <w:jc w:val="center"/>
        </w:trPr>
        <w:tc>
          <w:tcPr>
            <w:tcW w:w="1121" w:type="dxa"/>
            <w:vMerge w:val="restart"/>
            <w:tcBorders>
              <w:top w:val="nil"/>
              <w:left w:val="nil"/>
              <w:bottom w:val="single" w:sz="4" w:space="0" w:color="000000"/>
              <w:right w:val="nil"/>
            </w:tcBorders>
            <w:shd w:val="clear" w:color="000000" w:fill="FFFFFF"/>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Cartago</w:t>
            </w: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Cartago</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0,61</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Alvarado</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20,02</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Oreamuno</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4,06</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single" w:sz="4" w:space="0" w:color="auto"/>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Turrialba</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1,35</w:t>
            </w:r>
          </w:p>
        </w:tc>
      </w:tr>
      <w:tr w:rsidR="004777D8" w:rsidRPr="00EF7686" w:rsidTr="00EF7686">
        <w:trPr>
          <w:trHeight w:val="250"/>
          <w:jc w:val="center"/>
        </w:trPr>
        <w:tc>
          <w:tcPr>
            <w:tcW w:w="1121" w:type="dxa"/>
            <w:vMerge w:val="restart"/>
            <w:tcBorders>
              <w:top w:val="nil"/>
              <w:left w:val="nil"/>
              <w:bottom w:val="single" w:sz="4" w:space="0" w:color="000000"/>
              <w:right w:val="nil"/>
            </w:tcBorders>
            <w:shd w:val="clear" w:color="000000" w:fill="FFFFFF"/>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bookmarkStart w:id="31" w:name="RANGE!A24"/>
            <w:bookmarkStart w:id="32" w:name="_Hlk2236564" w:colFirst="1" w:colLast="9"/>
            <w:r w:rsidRPr="00EF7686">
              <w:rPr>
                <w:rFonts w:ascii="Arial" w:eastAsia="Times New Roman" w:hAnsi="Arial" w:cs="Arial"/>
                <w:b/>
                <w:bCs/>
                <w:color w:val="000000"/>
                <w:sz w:val="18"/>
                <w:szCs w:val="18"/>
                <w:lang w:val="es-ES" w:eastAsia="es-PA"/>
              </w:rPr>
              <w:t>Heredia</w:t>
            </w:r>
            <w:bookmarkEnd w:id="31"/>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Flores</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4,11</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single" w:sz="4" w:space="0" w:color="auto"/>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Sarapiquí</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15</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20,8</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8</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10,8</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2,6</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1,27</w:t>
            </w:r>
          </w:p>
        </w:tc>
      </w:tr>
      <w:tr w:rsidR="004777D8" w:rsidRPr="00EF7686" w:rsidTr="00EF7686">
        <w:trPr>
          <w:trHeight w:val="250"/>
          <w:jc w:val="center"/>
        </w:trPr>
        <w:tc>
          <w:tcPr>
            <w:tcW w:w="1121" w:type="dxa"/>
            <w:vMerge w:val="restart"/>
            <w:tcBorders>
              <w:top w:val="nil"/>
              <w:left w:val="nil"/>
              <w:bottom w:val="single" w:sz="4" w:space="0" w:color="000000"/>
              <w:right w:val="nil"/>
            </w:tcBorders>
            <w:shd w:val="clear" w:color="000000" w:fill="FFFFFF"/>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bookmarkStart w:id="33" w:name="RANGE!A26"/>
            <w:bookmarkStart w:id="34" w:name="_Hlk2240333" w:colFirst="1" w:colLast="9"/>
            <w:bookmarkEnd w:id="32"/>
            <w:r w:rsidRPr="00EF7686">
              <w:rPr>
                <w:rFonts w:ascii="Arial" w:eastAsia="Times New Roman" w:hAnsi="Arial" w:cs="Arial"/>
                <w:b/>
                <w:bCs/>
                <w:color w:val="000000"/>
                <w:sz w:val="18"/>
                <w:szCs w:val="18"/>
                <w:lang w:val="es-ES" w:eastAsia="es-PA"/>
              </w:rPr>
              <w:t>Puntarenas</w:t>
            </w:r>
            <w:bookmarkEnd w:id="33"/>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Buenos Aires</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16</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31,5</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15</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29,2</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7,67</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Puntarenas</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1,46</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Osa</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19,7</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9,8</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7</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22.71</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Coto Brus</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15</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34,1</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 xml:space="preserve"> 11,3                                                                                                                                                                                                                                                                                                                    </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7</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15,84</w:t>
            </w:r>
          </w:p>
        </w:tc>
      </w:tr>
      <w:bookmarkEnd w:id="34"/>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Parrita</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23</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125,6</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11</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58,8</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31,4</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61,67</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Golfito</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2,24</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Garabito</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4,04</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single" w:sz="4" w:space="0" w:color="auto"/>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Corredores</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12,0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9,9</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7,79</w:t>
            </w:r>
          </w:p>
        </w:tc>
      </w:tr>
      <w:tr w:rsidR="004777D8" w:rsidRPr="00EF7686" w:rsidTr="00EF7686">
        <w:trPr>
          <w:trHeight w:val="250"/>
          <w:jc w:val="center"/>
        </w:trPr>
        <w:tc>
          <w:tcPr>
            <w:tcW w:w="1121" w:type="dxa"/>
            <w:vMerge w:val="restart"/>
            <w:tcBorders>
              <w:top w:val="nil"/>
              <w:left w:val="nil"/>
              <w:bottom w:val="single" w:sz="4" w:space="0" w:color="000000"/>
              <w:right w:val="nil"/>
            </w:tcBorders>
            <w:shd w:val="clear" w:color="000000" w:fill="FFFFFF"/>
            <w:vAlign w:val="center"/>
            <w:hideMark/>
          </w:tcPr>
          <w:p w:rsidR="004777D8" w:rsidRPr="00EF7686" w:rsidRDefault="004777D8" w:rsidP="00475BBF">
            <w:pPr>
              <w:jc w:val="center"/>
              <w:rPr>
                <w:rFonts w:ascii="Arial" w:eastAsia="Times New Roman" w:hAnsi="Arial" w:cs="Arial"/>
                <w:b/>
                <w:bCs/>
                <w:color w:val="000000"/>
                <w:sz w:val="18"/>
                <w:szCs w:val="18"/>
                <w:lang w:eastAsia="es-PA"/>
              </w:rPr>
            </w:pPr>
            <w:r w:rsidRPr="00EF7686">
              <w:rPr>
                <w:rFonts w:ascii="Arial" w:eastAsia="Times New Roman" w:hAnsi="Arial" w:cs="Arial"/>
                <w:b/>
                <w:bCs/>
                <w:color w:val="000000"/>
                <w:sz w:val="18"/>
                <w:szCs w:val="18"/>
                <w:lang w:val="es-ES" w:eastAsia="es-PA"/>
              </w:rPr>
              <w:t>Limón</w:t>
            </w: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Guácimo</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23,8</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4</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7,8</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5,63</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Pococí</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6,83</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nil"/>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Siquirres</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2</w:t>
            </w:r>
          </w:p>
        </w:tc>
        <w:tc>
          <w:tcPr>
            <w:tcW w:w="591"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3,12</w:t>
            </w:r>
          </w:p>
        </w:tc>
      </w:tr>
      <w:tr w:rsidR="004777D8" w:rsidRPr="00EF7686" w:rsidTr="00EF7686">
        <w:trPr>
          <w:trHeight w:val="250"/>
          <w:jc w:val="center"/>
        </w:trPr>
        <w:tc>
          <w:tcPr>
            <w:tcW w:w="1121" w:type="dxa"/>
            <w:vMerge/>
            <w:tcBorders>
              <w:top w:val="nil"/>
              <w:left w:val="nil"/>
              <w:bottom w:val="single" w:sz="4" w:space="0" w:color="000000"/>
              <w:right w:val="nil"/>
            </w:tcBorders>
            <w:vAlign w:val="center"/>
            <w:hideMark/>
          </w:tcPr>
          <w:p w:rsidR="004777D8" w:rsidRPr="00EF7686" w:rsidRDefault="004777D8" w:rsidP="00475BBF">
            <w:pPr>
              <w:rPr>
                <w:rFonts w:ascii="Arial" w:eastAsia="Times New Roman" w:hAnsi="Arial" w:cs="Arial"/>
                <w:b/>
                <w:bCs/>
                <w:color w:val="000000"/>
                <w:sz w:val="18"/>
                <w:szCs w:val="18"/>
                <w:lang w:eastAsia="es-PA"/>
              </w:rPr>
            </w:pPr>
          </w:p>
        </w:tc>
        <w:tc>
          <w:tcPr>
            <w:tcW w:w="1361" w:type="dxa"/>
            <w:tcBorders>
              <w:top w:val="nil"/>
              <w:left w:val="nil"/>
              <w:bottom w:val="single" w:sz="4" w:space="0" w:color="auto"/>
              <w:right w:val="nil"/>
            </w:tcBorders>
            <w:shd w:val="clear" w:color="000000" w:fill="FFFFFF"/>
            <w:vAlign w:val="center"/>
            <w:hideMark/>
          </w:tcPr>
          <w:p w:rsidR="004777D8" w:rsidRPr="00EF7686" w:rsidRDefault="004777D8" w:rsidP="00475BBF">
            <w:pPr>
              <w:jc w:val="both"/>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Talamanca</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55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0</w:t>
            </w:r>
          </w:p>
        </w:tc>
        <w:tc>
          <w:tcPr>
            <w:tcW w:w="82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8</w:t>
            </w:r>
          </w:p>
        </w:tc>
        <w:tc>
          <w:tcPr>
            <w:tcW w:w="591"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18"/>
                <w:szCs w:val="18"/>
                <w:lang w:eastAsia="es-PA"/>
              </w:rPr>
            </w:pPr>
            <w:r w:rsidRPr="00EF7686">
              <w:rPr>
                <w:rFonts w:ascii="Arial" w:eastAsia="Times New Roman" w:hAnsi="Arial" w:cs="Arial"/>
                <w:color w:val="000000"/>
                <w:sz w:val="18"/>
                <w:szCs w:val="18"/>
                <w:lang w:val="es-ES" w:eastAsia="es-PA"/>
              </w:rPr>
              <w:t>19,27</w:t>
            </w:r>
          </w:p>
        </w:tc>
      </w:tr>
    </w:tbl>
    <w:p w:rsidR="004777D8" w:rsidRDefault="004777D8" w:rsidP="00EF7686">
      <w:pPr>
        <w:spacing w:line="360" w:lineRule="auto"/>
        <w:jc w:val="center"/>
        <w:rPr>
          <w:rFonts w:ascii="Arial" w:eastAsia="Times New Roman" w:hAnsi="Arial" w:cs="Arial"/>
          <w:lang w:val="es-ES" w:eastAsia="es-ES"/>
        </w:rPr>
      </w:pPr>
      <w:r w:rsidRPr="00EF7686">
        <w:rPr>
          <w:rFonts w:ascii="Arial" w:eastAsia="Times New Roman" w:hAnsi="Arial" w:cs="Arial"/>
          <w:b/>
          <w:color w:val="000000"/>
          <w:sz w:val="16"/>
          <w:szCs w:val="16"/>
          <w:lang w:val="es-CR" w:eastAsia="es-CR"/>
        </w:rPr>
        <w:t>Fuente:</w:t>
      </w:r>
      <w:r w:rsidRPr="00C36458">
        <w:rPr>
          <w:rFonts w:ascii="Arial" w:eastAsia="Times New Roman" w:hAnsi="Arial" w:cs="Arial"/>
          <w:color w:val="000000"/>
          <w:sz w:val="16"/>
          <w:szCs w:val="16"/>
          <w:lang w:val="es-CR" w:eastAsia="es-CR"/>
        </w:rPr>
        <w:t xml:space="preserve"> Dirección de Vigilancia</w:t>
      </w:r>
      <w:r>
        <w:rPr>
          <w:rFonts w:ascii="Arial" w:eastAsia="Times New Roman" w:hAnsi="Arial" w:cs="Arial"/>
          <w:color w:val="000000"/>
          <w:sz w:val="16"/>
          <w:szCs w:val="16"/>
          <w:lang w:val="es-CR" w:eastAsia="es-CR"/>
        </w:rPr>
        <w:t xml:space="preserve"> de la Salud, Ministerio de Salud</w:t>
      </w:r>
      <w:r w:rsidR="00EF7686">
        <w:rPr>
          <w:rFonts w:ascii="Arial" w:eastAsia="Times New Roman" w:hAnsi="Arial" w:cs="Arial"/>
          <w:color w:val="000000"/>
          <w:sz w:val="16"/>
          <w:szCs w:val="16"/>
          <w:lang w:val="es-CR" w:eastAsia="es-CR"/>
        </w:rPr>
        <w:t>, 2019.</w:t>
      </w:r>
    </w:p>
    <w:p w:rsidR="00EF7686" w:rsidRDefault="00EF7686">
      <w:pPr>
        <w:spacing w:after="160" w:line="259" w:lineRule="auto"/>
        <w:rPr>
          <w:rFonts w:ascii="Arial" w:eastAsia="Times New Roman" w:hAnsi="Arial" w:cs="Arial"/>
          <w:lang w:val="es-ES" w:eastAsia="es-ES"/>
        </w:rPr>
      </w:pPr>
      <w:r>
        <w:rPr>
          <w:rFonts w:ascii="Arial" w:eastAsia="Times New Roman" w:hAnsi="Arial" w:cs="Arial"/>
          <w:lang w:val="es-ES" w:eastAsia="es-ES"/>
        </w:rPr>
        <w:br w:type="page"/>
      </w:r>
    </w:p>
    <w:p w:rsidR="004777D8" w:rsidRDefault="004777D8" w:rsidP="004777D8">
      <w:pPr>
        <w:spacing w:line="276" w:lineRule="auto"/>
        <w:jc w:val="both"/>
        <w:rPr>
          <w:rFonts w:ascii="Arial" w:eastAsia="Times New Roman" w:hAnsi="Arial" w:cs="Arial"/>
          <w:lang w:val="es-ES" w:eastAsia="es-ES"/>
        </w:rPr>
      </w:pPr>
      <w:r w:rsidRPr="001704C2">
        <w:rPr>
          <w:rFonts w:ascii="Arial" w:eastAsia="Times New Roman" w:hAnsi="Arial" w:cs="Arial"/>
          <w:lang w:val="es-ES" w:eastAsia="es-ES"/>
        </w:rPr>
        <w:lastRenderedPageBreak/>
        <w:t>L</w:t>
      </w:r>
      <w:r w:rsidRPr="000D6531">
        <w:rPr>
          <w:rFonts w:ascii="Arial" w:eastAsia="Times New Roman" w:hAnsi="Arial" w:cs="Arial"/>
          <w:lang w:val="es-ES" w:eastAsia="es-ES"/>
        </w:rPr>
        <w:t>as intoxicaciones</w:t>
      </w:r>
      <w:r w:rsidRPr="001704C2">
        <w:rPr>
          <w:rFonts w:ascii="Arial" w:eastAsia="Times New Roman" w:hAnsi="Arial" w:cs="Arial"/>
          <w:lang w:val="es-ES" w:eastAsia="es-ES"/>
        </w:rPr>
        <w:t xml:space="preserve"> </w:t>
      </w:r>
      <w:r w:rsidRPr="000D6531">
        <w:rPr>
          <w:rFonts w:ascii="Arial" w:eastAsia="Times New Roman" w:hAnsi="Arial" w:cs="Arial"/>
          <w:lang w:val="es-ES" w:eastAsia="es-ES"/>
        </w:rPr>
        <w:t xml:space="preserve">son más frecuentes </w:t>
      </w:r>
      <w:r w:rsidRPr="001704C2">
        <w:rPr>
          <w:rFonts w:ascii="Arial" w:eastAsia="Times New Roman" w:hAnsi="Arial" w:cs="Arial"/>
          <w:lang w:val="es-ES" w:eastAsia="es-ES"/>
        </w:rPr>
        <w:t xml:space="preserve">en hombres, </w:t>
      </w:r>
      <w:r>
        <w:rPr>
          <w:rFonts w:ascii="Arial" w:eastAsia="Times New Roman" w:hAnsi="Arial" w:cs="Arial"/>
          <w:lang w:val="es-ES" w:eastAsia="es-ES"/>
        </w:rPr>
        <w:t xml:space="preserve">representan el 82,9 % del total. </w:t>
      </w:r>
      <w:bookmarkStart w:id="35" w:name="_Hlk498180589"/>
      <w:r>
        <w:rPr>
          <w:rFonts w:ascii="Arial" w:eastAsia="Times New Roman" w:hAnsi="Arial" w:cs="Arial"/>
          <w:lang w:val="es-ES" w:eastAsia="es-ES"/>
        </w:rPr>
        <w:t>La</w:t>
      </w:r>
      <w:r w:rsidRPr="001704C2">
        <w:rPr>
          <w:rFonts w:ascii="Arial" w:eastAsia="Times New Roman" w:hAnsi="Arial" w:cs="Arial"/>
          <w:lang w:val="es-ES" w:eastAsia="es-ES"/>
        </w:rPr>
        <w:t xml:space="preserve"> razón hombre-mujer </w:t>
      </w:r>
      <w:r>
        <w:rPr>
          <w:rFonts w:ascii="Arial" w:eastAsia="Times New Roman" w:hAnsi="Arial" w:cs="Arial"/>
          <w:lang w:val="es-ES" w:eastAsia="es-ES"/>
        </w:rPr>
        <w:t xml:space="preserve">fue </w:t>
      </w:r>
      <w:r w:rsidRPr="001704C2">
        <w:rPr>
          <w:rFonts w:ascii="Arial" w:eastAsia="Times New Roman" w:hAnsi="Arial" w:cs="Arial"/>
          <w:lang w:val="es-ES" w:eastAsia="es-ES"/>
        </w:rPr>
        <w:t xml:space="preserve">de 5 para </w:t>
      </w:r>
      <w:r>
        <w:rPr>
          <w:rFonts w:ascii="Arial" w:eastAsia="Times New Roman" w:hAnsi="Arial" w:cs="Arial"/>
          <w:lang w:val="es-ES" w:eastAsia="es-ES"/>
        </w:rPr>
        <w:t>los años 2015-</w:t>
      </w:r>
      <w:r w:rsidRPr="001704C2">
        <w:rPr>
          <w:rFonts w:ascii="Arial" w:eastAsia="Times New Roman" w:hAnsi="Arial" w:cs="Arial"/>
          <w:lang w:val="es-ES" w:eastAsia="es-ES"/>
        </w:rPr>
        <w:t>2016</w:t>
      </w:r>
      <w:r>
        <w:rPr>
          <w:rFonts w:ascii="Arial" w:eastAsia="Times New Roman" w:hAnsi="Arial" w:cs="Arial"/>
          <w:lang w:val="es-ES" w:eastAsia="es-ES"/>
        </w:rPr>
        <w:t>;</w:t>
      </w:r>
      <w:r w:rsidRPr="001704C2">
        <w:rPr>
          <w:rFonts w:ascii="Arial" w:eastAsia="Times New Roman" w:hAnsi="Arial" w:cs="Arial"/>
          <w:lang w:val="es-ES" w:eastAsia="es-ES"/>
        </w:rPr>
        <w:t xml:space="preserve"> 6,</w:t>
      </w:r>
      <w:r>
        <w:rPr>
          <w:rFonts w:ascii="Arial" w:eastAsia="Times New Roman" w:hAnsi="Arial" w:cs="Arial"/>
          <w:lang w:val="es-ES" w:eastAsia="es-ES"/>
        </w:rPr>
        <w:t>6</w:t>
      </w:r>
      <w:r w:rsidRPr="001704C2">
        <w:rPr>
          <w:rFonts w:ascii="Arial" w:eastAsia="Times New Roman" w:hAnsi="Arial" w:cs="Arial"/>
          <w:lang w:val="es-ES" w:eastAsia="es-ES"/>
        </w:rPr>
        <w:t xml:space="preserve"> para el</w:t>
      </w:r>
      <w:r>
        <w:rPr>
          <w:rFonts w:ascii="Arial" w:eastAsia="Times New Roman" w:hAnsi="Arial" w:cs="Arial"/>
          <w:lang w:val="es-ES" w:eastAsia="es-ES"/>
        </w:rPr>
        <w:t xml:space="preserve"> año</w:t>
      </w:r>
      <w:r w:rsidRPr="001704C2">
        <w:rPr>
          <w:rFonts w:ascii="Arial" w:eastAsia="Times New Roman" w:hAnsi="Arial" w:cs="Arial"/>
          <w:lang w:val="es-ES" w:eastAsia="es-ES"/>
        </w:rPr>
        <w:t xml:space="preserve"> 201</w:t>
      </w:r>
      <w:r>
        <w:rPr>
          <w:rFonts w:ascii="Arial" w:eastAsia="Times New Roman" w:hAnsi="Arial" w:cs="Arial"/>
          <w:lang w:val="es-ES" w:eastAsia="es-ES"/>
        </w:rPr>
        <w:t xml:space="preserve">7 y de 3,1 para el año 2018, </w:t>
      </w:r>
      <w:r w:rsidR="00EF7686">
        <w:rPr>
          <w:rFonts w:ascii="Arial" w:eastAsia="Times New Roman" w:hAnsi="Arial" w:cs="Arial"/>
          <w:lang w:val="es-ES" w:eastAsia="es-ES"/>
        </w:rPr>
        <w:t xml:space="preserve">lo anterior </w:t>
      </w:r>
      <w:r>
        <w:rPr>
          <w:rFonts w:ascii="Arial" w:eastAsia="Times New Roman" w:hAnsi="Arial" w:cs="Arial"/>
          <w:lang w:val="es-ES" w:eastAsia="es-ES"/>
        </w:rPr>
        <w:t>debido a que los hombres generalmente están más en contacto con plaguicidas que las mujeres, lo que hace que ellos también tengan más facilidad de acceder a estos agroquímicos para auto eliminarse</w:t>
      </w:r>
      <w:r w:rsidRPr="000D6531">
        <w:rPr>
          <w:rFonts w:ascii="Arial" w:eastAsia="Times New Roman" w:hAnsi="Arial" w:cs="Arial"/>
          <w:lang w:val="es-ES" w:eastAsia="es-ES"/>
        </w:rPr>
        <w:t>.</w:t>
      </w:r>
      <w:bookmarkEnd w:id="35"/>
    </w:p>
    <w:p w:rsidR="004777D8" w:rsidRDefault="004777D8" w:rsidP="004777D8">
      <w:pPr>
        <w:spacing w:line="276" w:lineRule="auto"/>
        <w:jc w:val="both"/>
        <w:rPr>
          <w:rFonts w:ascii="Arial" w:eastAsia="Times New Roman" w:hAnsi="Arial" w:cs="Arial"/>
          <w:lang w:val="es-ES" w:eastAsia="es-ES"/>
        </w:rPr>
      </w:pPr>
    </w:p>
    <w:p w:rsidR="004777D8" w:rsidRPr="00EF7686" w:rsidRDefault="00EF7686" w:rsidP="00EF7686">
      <w:pPr>
        <w:jc w:val="center"/>
        <w:rPr>
          <w:rFonts w:ascii="Arial" w:eastAsia="Arial Unicode MS" w:hAnsi="Arial" w:cs="Arial"/>
          <w:b/>
          <w:kern w:val="1"/>
          <w:lang w:val="es-CR"/>
        </w:rPr>
      </w:pPr>
      <w:r w:rsidRPr="00EF7686">
        <w:rPr>
          <w:rFonts w:ascii="Arial" w:eastAsia="Arial Unicode MS" w:hAnsi="Arial" w:cs="Arial"/>
          <w:b/>
          <w:kern w:val="1"/>
          <w:lang w:val="es-CR"/>
        </w:rPr>
        <w:t>Cuadro 2</w:t>
      </w:r>
      <w:r w:rsidR="00A308AA">
        <w:rPr>
          <w:rFonts w:ascii="Arial" w:eastAsia="Arial Unicode MS" w:hAnsi="Arial" w:cs="Arial"/>
          <w:b/>
          <w:kern w:val="1"/>
          <w:lang w:val="es-CR"/>
        </w:rPr>
        <w:t>0</w:t>
      </w:r>
    </w:p>
    <w:p w:rsidR="00EF7686" w:rsidRDefault="004777D8" w:rsidP="00EF7686">
      <w:pPr>
        <w:jc w:val="center"/>
        <w:rPr>
          <w:rFonts w:ascii="Arial" w:eastAsia="Times New Roman" w:hAnsi="Arial" w:cs="Arial"/>
          <w:b/>
          <w:lang w:val="es-ES" w:eastAsia="es-ES"/>
        </w:rPr>
      </w:pPr>
      <w:r w:rsidRPr="00FA65AE">
        <w:rPr>
          <w:rFonts w:ascii="Arial" w:eastAsia="Times New Roman" w:hAnsi="Arial" w:cs="Arial"/>
          <w:b/>
          <w:lang w:val="es-ES" w:eastAsia="es-ES"/>
        </w:rPr>
        <w:t xml:space="preserve">Costa Rica: Incidencia de intoxicaciones agudas </w:t>
      </w:r>
    </w:p>
    <w:p w:rsidR="00EF7686" w:rsidRDefault="004777D8" w:rsidP="00EF7686">
      <w:pPr>
        <w:jc w:val="center"/>
        <w:rPr>
          <w:rFonts w:ascii="Arial" w:eastAsia="Times New Roman" w:hAnsi="Arial" w:cs="Arial"/>
          <w:b/>
          <w:lang w:val="es-ES" w:eastAsia="es-ES"/>
        </w:rPr>
      </w:pPr>
      <w:r w:rsidRPr="00FA65AE">
        <w:rPr>
          <w:rFonts w:ascii="Arial" w:eastAsia="Times New Roman" w:hAnsi="Arial" w:cs="Arial"/>
          <w:b/>
          <w:lang w:val="es-ES" w:eastAsia="es-ES"/>
        </w:rPr>
        <w:t>por</w:t>
      </w:r>
      <w:r>
        <w:rPr>
          <w:rFonts w:ascii="Arial" w:eastAsia="Times New Roman" w:hAnsi="Arial" w:cs="Arial"/>
          <w:b/>
          <w:lang w:val="es-ES" w:eastAsia="es-ES"/>
        </w:rPr>
        <w:t xml:space="preserve"> </w:t>
      </w:r>
      <w:r w:rsidRPr="00FA65AE">
        <w:rPr>
          <w:rFonts w:ascii="Arial" w:eastAsia="Times New Roman" w:hAnsi="Arial" w:cs="Arial"/>
          <w:b/>
          <w:lang w:val="es-ES" w:eastAsia="es-ES"/>
        </w:rPr>
        <w:t>pl</w:t>
      </w:r>
      <w:r>
        <w:rPr>
          <w:rFonts w:ascii="Arial" w:eastAsia="Times New Roman" w:hAnsi="Arial" w:cs="Arial"/>
          <w:b/>
          <w:lang w:val="es-ES" w:eastAsia="es-ES"/>
        </w:rPr>
        <w:t>aguicidas</w:t>
      </w:r>
      <w:r w:rsidR="00EF7686">
        <w:rPr>
          <w:rFonts w:ascii="Arial" w:eastAsia="Times New Roman" w:hAnsi="Arial" w:cs="Arial"/>
          <w:b/>
          <w:lang w:val="es-ES" w:eastAsia="es-ES"/>
        </w:rPr>
        <w:t>,</w:t>
      </w:r>
      <w:r>
        <w:rPr>
          <w:rFonts w:ascii="Arial" w:eastAsia="Times New Roman" w:hAnsi="Arial" w:cs="Arial"/>
          <w:b/>
          <w:lang w:val="es-ES" w:eastAsia="es-ES"/>
        </w:rPr>
        <w:t xml:space="preserve"> según sexo</w:t>
      </w:r>
      <w:r w:rsidR="00EF7686">
        <w:rPr>
          <w:rFonts w:ascii="Arial" w:eastAsia="Times New Roman" w:hAnsi="Arial" w:cs="Arial"/>
          <w:b/>
          <w:lang w:val="es-ES" w:eastAsia="es-ES"/>
        </w:rPr>
        <w:t>,</w:t>
      </w:r>
      <w:r>
        <w:rPr>
          <w:rFonts w:ascii="Arial" w:eastAsia="Times New Roman" w:hAnsi="Arial" w:cs="Arial"/>
          <w:b/>
          <w:lang w:val="es-ES" w:eastAsia="es-ES"/>
        </w:rPr>
        <w:t xml:space="preserve"> 2015-2018.</w:t>
      </w:r>
      <w:r w:rsidRPr="00FA65AE">
        <w:rPr>
          <w:rFonts w:ascii="Arial" w:eastAsia="Times New Roman" w:hAnsi="Arial" w:cs="Arial"/>
          <w:b/>
          <w:lang w:val="es-ES" w:eastAsia="es-ES"/>
        </w:rPr>
        <w:t xml:space="preserve"> </w:t>
      </w:r>
    </w:p>
    <w:p w:rsidR="004777D8" w:rsidRDefault="004777D8" w:rsidP="00EF7686">
      <w:pPr>
        <w:jc w:val="center"/>
        <w:rPr>
          <w:rFonts w:ascii="Arial" w:eastAsia="Times New Roman" w:hAnsi="Arial" w:cs="Arial"/>
          <w:sz w:val="18"/>
          <w:szCs w:val="18"/>
          <w:lang w:val="es-ES" w:eastAsia="es-ES"/>
        </w:rPr>
      </w:pPr>
      <w:r w:rsidRPr="00EF7686">
        <w:rPr>
          <w:rFonts w:ascii="Arial" w:eastAsia="Times New Roman" w:hAnsi="Arial" w:cs="Arial"/>
          <w:sz w:val="18"/>
          <w:szCs w:val="18"/>
          <w:lang w:val="es-ES" w:eastAsia="es-ES"/>
        </w:rPr>
        <w:t>(</w:t>
      </w:r>
      <w:r w:rsidR="00EF7686" w:rsidRPr="00EF7686">
        <w:rPr>
          <w:rFonts w:ascii="Arial" w:eastAsia="Times New Roman" w:hAnsi="Arial" w:cs="Arial"/>
          <w:sz w:val="18"/>
          <w:szCs w:val="18"/>
          <w:lang w:val="es-ES" w:eastAsia="es-ES"/>
        </w:rPr>
        <w:t>t</w:t>
      </w:r>
      <w:r w:rsidRPr="00EF7686">
        <w:rPr>
          <w:rFonts w:ascii="Arial" w:eastAsia="Times New Roman" w:hAnsi="Arial" w:cs="Arial"/>
          <w:sz w:val="18"/>
          <w:szCs w:val="18"/>
          <w:lang w:val="es-ES" w:eastAsia="es-ES"/>
        </w:rPr>
        <w:t>asa por 100.000 habitantes)</w:t>
      </w:r>
    </w:p>
    <w:p w:rsidR="00EF7686" w:rsidRPr="00EF7686" w:rsidRDefault="00EF7686" w:rsidP="00EF7686">
      <w:pPr>
        <w:jc w:val="center"/>
        <w:rPr>
          <w:rFonts w:ascii="Arial" w:eastAsia="Times New Roman" w:hAnsi="Arial" w:cs="Arial"/>
          <w:sz w:val="18"/>
          <w:szCs w:val="18"/>
          <w:lang w:val="es-ES" w:eastAsia="es-ES"/>
        </w:rPr>
      </w:pPr>
    </w:p>
    <w:tbl>
      <w:tblPr>
        <w:tblW w:w="7669" w:type="dxa"/>
        <w:jc w:val="center"/>
        <w:tblCellMar>
          <w:left w:w="70" w:type="dxa"/>
          <w:right w:w="70" w:type="dxa"/>
        </w:tblCellMar>
        <w:tblLook w:val="04A0" w:firstRow="1" w:lastRow="0" w:firstColumn="1" w:lastColumn="0" w:noHBand="0" w:noVBand="1"/>
      </w:tblPr>
      <w:tblGrid>
        <w:gridCol w:w="1119"/>
        <w:gridCol w:w="1157"/>
        <w:gridCol w:w="596"/>
        <w:gridCol w:w="1157"/>
        <w:gridCol w:w="596"/>
        <w:gridCol w:w="1157"/>
        <w:gridCol w:w="596"/>
        <w:gridCol w:w="695"/>
        <w:gridCol w:w="596"/>
      </w:tblGrid>
      <w:tr w:rsidR="004777D8" w:rsidRPr="00EF7686" w:rsidTr="00A308AA">
        <w:trPr>
          <w:trHeight w:val="252"/>
          <w:jc w:val="center"/>
        </w:trPr>
        <w:tc>
          <w:tcPr>
            <w:tcW w:w="1119"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Sexo</w:t>
            </w:r>
          </w:p>
        </w:tc>
        <w:tc>
          <w:tcPr>
            <w:tcW w:w="1753" w:type="dxa"/>
            <w:gridSpan w:val="2"/>
            <w:tcBorders>
              <w:top w:val="single" w:sz="4" w:space="0" w:color="auto"/>
              <w:left w:val="nil"/>
              <w:bottom w:val="single" w:sz="4" w:space="0" w:color="auto"/>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2015</w:t>
            </w:r>
          </w:p>
        </w:tc>
        <w:tc>
          <w:tcPr>
            <w:tcW w:w="1753" w:type="dxa"/>
            <w:gridSpan w:val="2"/>
            <w:tcBorders>
              <w:top w:val="single" w:sz="4" w:space="0" w:color="auto"/>
              <w:left w:val="nil"/>
              <w:bottom w:val="single" w:sz="4" w:space="0" w:color="auto"/>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2016</w:t>
            </w:r>
          </w:p>
        </w:tc>
        <w:tc>
          <w:tcPr>
            <w:tcW w:w="1753" w:type="dxa"/>
            <w:gridSpan w:val="2"/>
            <w:tcBorders>
              <w:top w:val="single" w:sz="4" w:space="0" w:color="auto"/>
              <w:left w:val="nil"/>
              <w:bottom w:val="single" w:sz="4" w:space="0" w:color="auto"/>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2017</w:t>
            </w:r>
          </w:p>
        </w:tc>
        <w:tc>
          <w:tcPr>
            <w:tcW w:w="1291"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2018</w:t>
            </w:r>
          </w:p>
        </w:tc>
      </w:tr>
      <w:tr w:rsidR="004777D8" w:rsidRPr="00EF7686" w:rsidTr="00A308AA">
        <w:trPr>
          <w:trHeight w:val="239"/>
          <w:jc w:val="center"/>
        </w:trPr>
        <w:tc>
          <w:tcPr>
            <w:tcW w:w="1119" w:type="dxa"/>
            <w:vMerge/>
            <w:tcBorders>
              <w:top w:val="single" w:sz="4" w:space="0" w:color="auto"/>
              <w:left w:val="nil"/>
              <w:bottom w:val="single" w:sz="4" w:space="0" w:color="000000"/>
              <w:right w:val="nil"/>
            </w:tcBorders>
            <w:shd w:val="clear" w:color="auto" w:fill="D5DCE4" w:themeFill="text2" w:themeFillTint="33"/>
            <w:vAlign w:val="center"/>
            <w:hideMark/>
          </w:tcPr>
          <w:p w:rsidR="004777D8" w:rsidRPr="00EF7686" w:rsidRDefault="004777D8" w:rsidP="00475BBF">
            <w:pPr>
              <w:rPr>
                <w:rFonts w:ascii="Arial" w:eastAsia="Times New Roman" w:hAnsi="Arial" w:cs="Arial"/>
                <w:b/>
                <w:bCs/>
                <w:color w:val="000000"/>
                <w:sz w:val="20"/>
                <w:szCs w:val="20"/>
                <w:lang w:eastAsia="es-PA"/>
              </w:rPr>
            </w:pPr>
          </w:p>
        </w:tc>
        <w:tc>
          <w:tcPr>
            <w:tcW w:w="1157" w:type="dxa"/>
            <w:tcBorders>
              <w:top w:val="nil"/>
              <w:left w:val="nil"/>
              <w:bottom w:val="single" w:sz="4" w:space="0" w:color="auto"/>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N°</w:t>
            </w:r>
          </w:p>
        </w:tc>
        <w:tc>
          <w:tcPr>
            <w:tcW w:w="596" w:type="dxa"/>
            <w:tcBorders>
              <w:top w:val="nil"/>
              <w:left w:val="nil"/>
              <w:bottom w:val="single" w:sz="4" w:space="0" w:color="auto"/>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Tasa</w:t>
            </w:r>
          </w:p>
        </w:tc>
        <w:tc>
          <w:tcPr>
            <w:tcW w:w="1157" w:type="dxa"/>
            <w:tcBorders>
              <w:top w:val="nil"/>
              <w:left w:val="nil"/>
              <w:bottom w:val="single" w:sz="4" w:space="0" w:color="auto"/>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N°</w:t>
            </w:r>
          </w:p>
        </w:tc>
        <w:tc>
          <w:tcPr>
            <w:tcW w:w="596" w:type="dxa"/>
            <w:tcBorders>
              <w:top w:val="nil"/>
              <w:left w:val="nil"/>
              <w:bottom w:val="single" w:sz="4" w:space="0" w:color="auto"/>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Tasa</w:t>
            </w:r>
          </w:p>
        </w:tc>
        <w:tc>
          <w:tcPr>
            <w:tcW w:w="1157" w:type="dxa"/>
            <w:tcBorders>
              <w:top w:val="nil"/>
              <w:left w:val="nil"/>
              <w:bottom w:val="single" w:sz="4" w:space="0" w:color="auto"/>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N°</w:t>
            </w:r>
          </w:p>
        </w:tc>
        <w:tc>
          <w:tcPr>
            <w:tcW w:w="596" w:type="dxa"/>
            <w:tcBorders>
              <w:top w:val="nil"/>
              <w:left w:val="nil"/>
              <w:bottom w:val="single" w:sz="4" w:space="0" w:color="auto"/>
              <w:right w:val="nil"/>
            </w:tcBorders>
            <w:shd w:val="clear" w:color="auto" w:fill="D5DCE4" w:themeFill="text2" w:themeFillTint="33"/>
            <w:noWrap/>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Tasa</w:t>
            </w:r>
          </w:p>
        </w:tc>
        <w:tc>
          <w:tcPr>
            <w:tcW w:w="695"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Nº</w:t>
            </w:r>
          </w:p>
        </w:tc>
        <w:tc>
          <w:tcPr>
            <w:tcW w:w="596" w:type="dxa"/>
            <w:tcBorders>
              <w:top w:val="nil"/>
              <w:left w:val="nil"/>
              <w:bottom w:val="single" w:sz="4" w:space="0" w:color="auto"/>
              <w:right w:val="nil"/>
            </w:tcBorders>
            <w:shd w:val="clear" w:color="auto" w:fill="D5DCE4" w:themeFill="text2" w:themeFillTint="33"/>
            <w:vAlign w:val="center"/>
            <w:hideMark/>
          </w:tcPr>
          <w:p w:rsidR="004777D8" w:rsidRPr="00EF7686" w:rsidRDefault="004777D8" w:rsidP="00475BBF">
            <w:pPr>
              <w:jc w:val="center"/>
              <w:rPr>
                <w:rFonts w:ascii="Arial" w:eastAsia="Times New Roman" w:hAnsi="Arial" w:cs="Arial"/>
                <w:b/>
                <w:bCs/>
                <w:color w:val="000000"/>
                <w:sz w:val="20"/>
                <w:szCs w:val="20"/>
                <w:lang w:eastAsia="es-PA"/>
              </w:rPr>
            </w:pPr>
            <w:r w:rsidRPr="00EF7686">
              <w:rPr>
                <w:rFonts w:ascii="Arial" w:eastAsia="Times New Roman" w:hAnsi="Arial" w:cs="Arial"/>
                <w:b/>
                <w:bCs/>
                <w:color w:val="000000"/>
                <w:sz w:val="20"/>
                <w:szCs w:val="20"/>
                <w:lang w:val="es-CR" w:eastAsia="es-PA"/>
              </w:rPr>
              <w:t>Tasa</w:t>
            </w:r>
          </w:p>
        </w:tc>
      </w:tr>
      <w:tr w:rsidR="004777D8" w:rsidRPr="00EF7686" w:rsidTr="00EF7686">
        <w:trPr>
          <w:trHeight w:val="433"/>
          <w:jc w:val="center"/>
        </w:trPr>
        <w:tc>
          <w:tcPr>
            <w:tcW w:w="1119" w:type="dxa"/>
            <w:tcBorders>
              <w:top w:val="nil"/>
              <w:left w:val="nil"/>
              <w:bottom w:val="nil"/>
              <w:right w:val="nil"/>
            </w:tcBorders>
            <w:shd w:val="clear" w:color="000000" w:fill="FFFFFF"/>
            <w:noWrap/>
            <w:vAlign w:val="bottom"/>
            <w:hideMark/>
          </w:tcPr>
          <w:p w:rsidR="004777D8" w:rsidRPr="00EF7686" w:rsidRDefault="004777D8" w:rsidP="00475BBF">
            <w:pP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Hombres</w:t>
            </w:r>
          </w:p>
        </w:tc>
        <w:tc>
          <w:tcPr>
            <w:tcW w:w="1157" w:type="dxa"/>
            <w:tcBorders>
              <w:top w:val="nil"/>
              <w:left w:val="nil"/>
              <w:bottom w:val="nil"/>
              <w:right w:val="nil"/>
            </w:tcBorders>
            <w:shd w:val="clear" w:color="000000" w:fill="FFFFFF"/>
            <w:noWrap/>
            <w:vAlign w:val="bottom"/>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169</w:t>
            </w:r>
          </w:p>
        </w:tc>
        <w:tc>
          <w:tcPr>
            <w:tcW w:w="596" w:type="dxa"/>
            <w:tcBorders>
              <w:top w:val="nil"/>
              <w:left w:val="nil"/>
              <w:bottom w:val="nil"/>
              <w:right w:val="nil"/>
            </w:tcBorders>
            <w:shd w:val="clear" w:color="000000" w:fill="FFFFFF"/>
            <w:noWrap/>
            <w:vAlign w:val="bottom"/>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6,9</w:t>
            </w:r>
          </w:p>
        </w:tc>
        <w:tc>
          <w:tcPr>
            <w:tcW w:w="1157" w:type="dxa"/>
            <w:tcBorders>
              <w:top w:val="nil"/>
              <w:left w:val="nil"/>
              <w:bottom w:val="nil"/>
              <w:right w:val="nil"/>
            </w:tcBorders>
            <w:shd w:val="clear" w:color="000000" w:fill="FFFFFF"/>
            <w:noWrap/>
            <w:vAlign w:val="bottom"/>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169</w:t>
            </w:r>
          </w:p>
        </w:tc>
        <w:tc>
          <w:tcPr>
            <w:tcW w:w="596" w:type="dxa"/>
            <w:tcBorders>
              <w:top w:val="nil"/>
              <w:left w:val="nil"/>
              <w:bottom w:val="nil"/>
              <w:right w:val="nil"/>
            </w:tcBorders>
            <w:shd w:val="clear" w:color="000000" w:fill="FFFFFF"/>
            <w:noWrap/>
            <w:vAlign w:val="bottom"/>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6,8</w:t>
            </w:r>
          </w:p>
        </w:tc>
        <w:tc>
          <w:tcPr>
            <w:tcW w:w="1157" w:type="dxa"/>
            <w:tcBorders>
              <w:top w:val="nil"/>
              <w:left w:val="nil"/>
              <w:bottom w:val="nil"/>
              <w:right w:val="nil"/>
            </w:tcBorders>
            <w:shd w:val="clear" w:color="000000" w:fill="FFFFFF"/>
            <w:noWrap/>
            <w:vAlign w:val="bottom"/>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151</w:t>
            </w:r>
          </w:p>
        </w:tc>
        <w:tc>
          <w:tcPr>
            <w:tcW w:w="596" w:type="dxa"/>
            <w:tcBorders>
              <w:top w:val="nil"/>
              <w:left w:val="nil"/>
              <w:bottom w:val="nil"/>
              <w:right w:val="nil"/>
            </w:tcBorders>
            <w:shd w:val="clear" w:color="000000" w:fill="FFFFFF"/>
            <w:noWrap/>
            <w:vAlign w:val="bottom"/>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6,2</w:t>
            </w:r>
          </w:p>
        </w:tc>
        <w:tc>
          <w:tcPr>
            <w:tcW w:w="695" w:type="dxa"/>
            <w:tcBorders>
              <w:top w:val="nil"/>
              <w:left w:val="nil"/>
              <w:bottom w:val="nil"/>
              <w:right w:val="nil"/>
            </w:tcBorders>
            <w:shd w:val="clear" w:color="000000" w:fill="FFFFFF"/>
            <w:vAlign w:val="bottom"/>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72</w:t>
            </w:r>
          </w:p>
        </w:tc>
        <w:tc>
          <w:tcPr>
            <w:tcW w:w="596" w:type="dxa"/>
            <w:tcBorders>
              <w:top w:val="nil"/>
              <w:left w:val="nil"/>
              <w:bottom w:val="nil"/>
              <w:right w:val="nil"/>
            </w:tcBorders>
            <w:shd w:val="clear" w:color="000000" w:fill="FFFFFF"/>
            <w:vAlign w:val="bottom"/>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2,9</w:t>
            </w:r>
          </w:p>
        </w:tc>
      </w:tr>
      <w:tr w:rsidR="004777D8" w:rsidRPr="00EF7686" w:rsidTr="00EF7686">
        <w:trPr>
          <w:trHeight w:val="436"/>
          <w:jc w:val="center"/>
        </w:trPr>
        <w:tc>
          <w:tcPr>
            <w:tcW w:w="1119" w:type="dxa"/>
            <w:tcBorders>
              <w:top w:val="nil"/>
              <w:left w:val="nil"/>
              <w:bottom w:val="nil"/>
              <w:right w:val="nil"/>
            </w:tcBorders>
            <w:shd w:val="clear" w:color="000000" w:fill="FFFFFF"/>
            <w:noWrap/>
            <w:vAlign w:val="center"/>
            <w:hideMark/>
          </w:tcPr>
          <w:p w:rsidR="004777D8" w:rsidRPr="00EF7686" w:rsidRDefault="004777D8" w:rsidP="00475BBF">
            <w:pP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Mujeres</w:t>
            </w:r>
          </w:p>
        </w:tc>
        <w:tc>
          <w:tcPr>
            <w:tcW w:w="1157"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34</w:t>
            </w:r>
          </w:p>
        </w:tc>
        <w:tc>
          <w:tcPr>
            <w:tcW w:w="596"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1,4</w:t>
            </w:r>
          </w:p>
        </w:tc>
        <w:tc>
          <w:tcPr>
            <w:tcW w:w="1157"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33</w:t>
            </w:r>
          </w:p>
        </w:tc>
        <w:tc>
          <w:tcPr>
            <w:tcW w:w="596"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1,3</w:t>
            </w:r>
          </w:p>
        </w:tc>
        <w:tc>
          <w:tcPr>
            <w:tcW w:w="1157"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23</w:t>
            </w:r>
          </w:p>
        </w:tc>
        <w:tc>
          <w:tcPr>
            <w:tcW w:w="596"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0,9</w:t>
            </w:r>
          </w:p>
        </w:tc>
        <w:tc>
          <w:tcPr>
            <w:tcW w:w="695"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23</w:t>
            </w:r>
          </w:p>
        </w:tc>
        <w:tc>
          <w:tcPr>
            <w:tcW w:w="596"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0,9</w:t>
            </w:r>
          </w:p>
        </w:tc>
      </w:tr>
      <w:tr w:rsidR="004777D8" w:rsidRPr="00EF7686" w:rsidTr="00475BBF">
        <w:trPr>
          <w:trHeight w:val="101"/>
          <w:jc w:val="center"/>
        </w:trPr>
        <w:tc>
          <w:tcPr>
            <w:tcW w:w="1119" w:type="dxa"/>
            <w:tcBorders>
              <w:top w:val="nil"/>
              <w:left w:val="nil"/>
              <w:bottom w:val="nil"/>
              <w:right w:val="nil"/>
            </w:tcBorders>
            <w:shd w:val="clear" w:color="000000" w:fill="FFFFFF"/>
            <w:noWrap/>
            <w:vAlign w:val="center"/>
            <w:hideMark/>
          </w:tcPr>
          <w:p w:rsidR="004777D8" w:rsidRPr="00EF7686" w:rsidRDefault="004777D8" w:rsidP="00475BBF">
            <w:pP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 </w:t>
            </w:r>
          </w:p>
        </w:tc>
        <w:tc>
          <w:tcPr>
            <w:tcW w:w="1157"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 </w:t>
            </w:r>
          </w:p>
        </w:tc>
        <w:tc>
          <w:tcPr>
            <w:tcW w:w="596"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 </w:t>
            </w:r>
          </w:p>
        </w:tc>
        <w:tc>
          <w:tcPr>
            <w:tcW w:w="1157"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 </w:t>
            </w:r>
          </w:p>
        </w:tc>
        <w:tc>
          <w:tcPr>
            <w:tcW w:w="596"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eastAsia="es-PA"/>
              </w:rPr>
              <w:t> </w:t>
            </w:r>
          </w:p>
        </w:tc>
        <w:tc>
          <w:tcPr>
            <w:tcW w:w="1157"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 </w:t>
            </w:r>
          </w:p>
        </w:tc>
        <w:tc>
          <w:tcPr>
            <w:tcW w:w="596" w:type="dxa"/>
            <w:tcBorders>
              <w:top w:val="nil"/>
              <w:left w:val="nil"/>
              <w:bottom w:val="nil"/>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 </w:t>
            </w:r>
          </w:p>
        </w:tc>
        <w:tc>
          <w:tcPr>
            <w:tcW w:w="695"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 </w:t>
            </w:r>
          </w:p>
        </w:tc>
        <w:tc>
          <w:tcPr>
            <w:tcW w:w="596" w:type="dxa"/>
            <w:tcBorders>
              <w:top w:val="nil"/>
              <w:left w:val="nil"/>
              <w:bottom w:val="nil"/>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 </w:t>
            </w:r>
          </w:p>
        </w:tc>
      </w:tr>
      <w:tr w:rsidR="004777D8" w:rsidRPr="00EF7686" w:rsidTr="00475BBF">
        <w:trPr>
          <w:trHeight w:val="252"/>
          <w:jc w:val="center"/>
        </w:trPr>
        <w:tc>
          <w:tcPr>
            <w:tcW w:w="1119" w:type="dxa"/>
            <w:tcBorders>
              <w:top w:val="nil"/>
              <w:left w:val="nil"/>
              <w:bottom w:val="single" w:sz="4" w:space="0" w:color="auto"/>
              <w:right w:val="nil"/>
            </w:tcBorders>
            <w:shd w:val="clear" w:color="000000" w:fill="FFFFFF"/>
            <w:noWrap/>
            <w:vAlign w:val="center"/>
            <w:hideMark/>
          </w:tcPr>
          <w:p w:rsidR="004777D8" w:rsidRPr="00EF7686" w:rsidRDefault="004777D8" w:rsidP="00475BBF">
            <w:pP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Total</w:t>
            </w:r>
          </w:p>
        </w:tc>
        <w:tc>
          <w:tcPr>
            <w:tcW w:w="1157" w:type="dxa"/>
            <w:tcBorders>
              <w:top w:val="nil"/>
              <w:left w:val="nil"/>
              <w:bottom w:val="single" w:sz="4" w:space="0" w:color="auto"/>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203</w:t>
            </w:r>
          </w:p>
        </w:tc>
        <w:tc>
          <w:tcPr>
            <w:tcW w:w="596" w:type="dxa"/>
            <w:tcBorders>
              <w:top w:val="nil"/>
              <w:left w:val="nil"/>
              <w:bottom w:val="single" w:sz="4" w:space="0" w:color="auto"/>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4,2</w:t>
            </w:r>
          </w:p>
        </w:tc>
        <w:tc>
          <w:tcPr>
            <w:tcW w:w="1157" w:type="dxa"/>
            <w:tcBorders>
              <w:top w:val="nil"/>
              <w:left w:val="nil"/>
              <w:bottom w:val="single" w:sz="4" w:space="0" w:color="auto"/>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202</w:t>
            </w:r>
          </w:p>
        </w:tc>
        <w:tc>
          <w:tcPr>
            <w:tcW w:w="596" w:type="dxa"/>
            <w:tcBorders>
              <w:top w:val="nil"/>
              <w:left w:val="nil"/>
              <w:bottom w:val="single" w:sz="4" w:space="0" w:color="auto"/>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4,1</w:t>
            </w:r>
          </w:p>
        </w:tc>
        <w:tc>
          <w:tcPr>
            <w:tcW w:w="1157" w:type="dxa"/>
            <w:tcBorders>
              <w:top w:val="nil"/>
              <w:left w:val="nil"/>
              <w:bottom w:val="single" w:sz="4" w:space="0" w:color="auto"/>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174</w:t>
            </w:r>
          </w:p>
        </w:tc>
        <w:tc>
          <w:tcPr>
            <w:tcW w:w="596" w:type="dxa"/>
            <w:tcBorders>
              <w:top w:val="nil"/>
              <w:left w:val="nil"/>
              <w:bottom w:val="single" w:sz="4" w:space="0" w:color="auto"/>
              <w:right w:val="nil"/>
            </w:tcBorders>
            <w:shd w:val="clear" w:color="000000" w:fill="FFFFFF"/>
            <w:noWrap/>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3,5</w:t>
            </w:r>
          </w:p>
        </w:tc>
        <w:tc>
          <w:tcPr>
            <w:tcW w:w="695"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95</w:t>
            </w:r>
          </w:p>
        </w:tc>
        <w:tc>
          <w:tcPr>
            <w:tcW w:w="596" w:type="dxa"/>
            <w:tcBorders>
              <w:top w:val="nil"/>
              <w:left w:val="nil"/>
              <w:bottom w:val="single" w:sz="4" w:space="0" w:color="auto"/>
              <w:right w:val="nil"/>
            </w:tcBorders>
            <w:shd w:val="clear" w:color="000000" w:fill="FFFFFF"/>
            <w:vAlign w:val="center"/>
            <w:hideMark/>
          </w:tcPr>
          <w:p w:rsidR="004777D8" w:rsidRPr="00EF7686" w:rsidRDefault="004777D8" w:rsidP="00475BBF">
            <w:pPr>
              <w:jc w:val="center"/>
              <w:rPr>
                <w:rFonts w:ascii="Arial" w:eastAsia="Times New Roman" w:hAnsi="Arial" w:cs="Arial"/>
                <w:color w:val="000000"/>
                <w:sz w:val="20"/>
                <w:szCs w:val="20"/>
                <w:lang w:eastAsia="es-PA"/>
              </w:rPr>
            </w:pPr>
            <w:r w:rsidRPr="00EF7686">
              <w:rPr>
                <w:rFonts w:ascii="Arial" w:eastAsia="Times New Roman" w:hAnsi="Arial" w:cs="Arial"/>
                <w:color w:val="000000"/>
                <w:sz w:val="20"/>
                <w:szCs w:val="20"/>
                <w:lang w:val="es-CR" w:eastAsia="es-PA"/>
              </w:rPr>
              <w:t>1,9</w:t>
            </w:r>
          </w:p>
        </w:tc>
      </w:tr>
    </w:tbl>
    <w:p w:rsidR="004777D8" w:rsidRPr="00884812" w:rsidRDefault="004777D8" w:rsidP="004777D8">
      <w:pPr>
        <w:spacing w:line="360" w:lineRule="auto"/>
        <w:jc w:val="center"/>
        <w:rPr>
          <w:rFonts w:ascii="Arial" w:eastAsia="Times New Roman" w:hAnsi="Arial" w:cs="Arial"/>
          <w:b/>
          <w:lang w:val="es-ES" w:eastAsia="es-ES"/>
        </w:rPr>
      </w:pPr>
      <w:r w:rsidRPr="00A308AA">
        <w:rPr>
          <w:rFonts w:ascii="Arial" w:eastAsia="Times New Roman" w:hAnsi="Arial" w:cs="Arial"/>
          <w:b/>
          <w:color w:val="000000"/>
          <w:sz w:val="16"/>
          <w:szCs w:val="16"/>
          <w:lang w:val="es-CR" w:eastAsia="es-CR"/>
        </w:rPr>
        <w:t>Fuente:</w:t>
      </w:r>
      <w:r w:rsidRPr="00C36458">
        <w:rPr>
          <w:rFonts w:ascii="Arial" w:eastAsia="Times New Roman" w:hAnsi="Arial" w:cs="Arial"/>
          <w:color w:val="000000"/>
          <w:sz w:val="16"/>
          <w:szCs w:val="16"/>
          <w:lang w:val="es-CR" w:eastAsia="es-CR"/>
        </w:rPr>
        <w:t xml:space="preserve"> Dirección de Vigilancia</w:t>
      </w:r>
      <w:r>
        <w:rPr>
          <w:rFonts w:ascii="Arial" w:eastAsia="Times New Roman" w:hAnsi="Arial" w:cs="Arial"/>
          <w:color w:val="000000"/>
          <w:sz w:val="16"/>
          <w:szCs w:val="16"/>
          <w:lang w:val="es-CR" w:eastAsia="es-CR"/>
        </w:rPr>
        <w:t xml:space="preserve"> de la Salud, Ministerio de Salud</w:t>
      </w:r>
      <w:r w:rsidR="00EF7686">
        <w:rPr>
          <w:rFonts w:ascii="Arial" w:eastAsia="Times New Roman" w:hAnsi="Arial" w:cs="Arial"/>
          <w:color w:val="000000"/>
          <w:sz w:val="16"/>
          <w:szCs w:val="16"/>
          <w:lang w:val="es-CR" w:eastAsia="es-CR"/>
        </w:rPr>
        <w:t>, 2019.</w:t>
      </w:r>
    </w:p>
    <w:p w:rsidR="004777D8" w:rsidRDefault="004777D8" w:rsidP="004777D8">
      <w:pPr>
        <w:spacing w:line="360" w:lineRule="auto"/>
        <w:jc w:val="both"/>
        <w:rPr>
          <w:rFonts w:ascii="Arial" w:eastAsia="Times New Roman" w:hAnsi="Arial" w:cs="Arial"/>
          <w:b/>
          <w:lang w:val="es-ES" w:eastAsia="es-ES"/>
        </w:rPr>
      </w:pPr>
    </w:p>
    <w:p w:rsidR="004777D8" w:rsidRPr="00FB5715" w:rsidRDefault="004777D8" w:rsidP="0043232B">
      <w:pPr>
        <w:spacing w:after="240" w:line="276" w:lineRule="auto"/>
        <w:jc w:val="both"/>
        <w:rPr>
          <w:rFonts w:ascii="Arial" w:eastAsia="Times New Roman" w:hAnsi="Arial" w:cs="Arial"/>
          <w:b/>
          <w:lang w:val="es-ES" w:eastAsia="es-ES"/>
        </w:rPr>
      </w:pPr>
      <w:r w:rsidRPr="00FB5715">
        <w:rPr>
          <w:rFonts w:ascii="Arial" w:eastAsia="Times New Roman" w:hAnsi="Arial" w:cs="Arial"/>
          <w:b/>
          <w:lang w:val="es-ES" w:eastAsia="es-ES"/>
        </w:rPr>
        <w:t>Modo de intoxicación</w:t>
      </w:r>
    </w:p>
    <w:p w:rsidR="0043232B" w:rsidRDefault="004777D8" w:rsidP="0043232B">
      <w:pPr>
        <w:spacing w:after="240" w:line="276" w:lineRule="auto"/>
        <w:jc w:val="both"/>
        <w:rPr>
          <w:rFonts w:ascii="Arial" w:eastAsia="Times New Roman" w:hAnsi="Arial" w:cs="Arial"/>
          <w:lang w:val="es-ES" w:eastAsia="es-ES"/>
        </w:rPr>
      </w:pPr>
      <w:r>
        <w:rPr>
          <w:rFonts w:ascii="Arial" w:eastAsia="Times New Roman" w:hAnsi="Arial" w:cs="Arial"/>
          <w:lang w:val="es-ES" w:eastAsia="es-ES"/>
        </w:rPr>
        <w:t>En el 2015</w:t>
      </w:r>
      <w:r w:rsidR="0043232B">
        <w:rPr>
          <w:rFonts w:ascii="Arial" w:eastAsia="Times New Roman" w:hAnsi="Arial" w:cs="Arial"/>
          <w:lang w:val="es-ES" w:eastAsia="es-ES"/>
        </w:rPr>
        <w:t>,</w:t>
      </w:r>
      <w:r>
        <w:rPr>
          <w:rFonts w:ascii="Arial" w:eastAsia="Times New Roman" w:hAnsi="Arial" w:cs="Arial"/>
          <w:lang w:val="es-ES" w:eastAsia="es-ES"/>
        </w:rPr>
        <w:t xml:space="preserve"> el modo de intoxicación </w:t>
      </w:r>
      <w:r w:rsidR="0043232B">
        <w:rPr>
          <w:rFonts w:ascii="Arial" w:eastAsia="Times New Roman" w:hAnsi="Arial" w:cs="Arial"/>
          <w:lang w:val="es-ES" w:eastAsia="es-ES"/>
        </w:rPr>
        <w:t xml:space="preserve">más frecuente </w:t>
      </w:r>
      <w:r>
        <w:rPr>
          <w:rFonts w:ascii="Arial" w:eastAsia="Times New Roman" w:hAnsi="Arial" w:cs="Arial"/>
          <w:lang w:val="es-ES" w:eastAsia="es-ES"/>
        </w:rPr>
        <w:t>fue el laboral</w:t>
      </w:r>
      <w:r w:rsidRPr="00257675">
        <w:rPr>
          <w:rFonts w:ascii="Arial" w:eastAsia="Times New Roman" w:hAnsi="Arial" w:cs="Arial"/>
          <w:lang w:val="es-ES" w:eastAsia="es-ES"/>
        </w:rPr>
        <w:t xml:space="preserve"> </w:t>
      </w:r>
      <w:r>
        <w:rPr>
          <w:rFonts w:ascii="Arial" w:eastAsia="Times New Roman" w:hAnsi="Arial" w:cs="Arial"/>
          <w:lang w:val="es-ES" w:eastAsia="es-ES"/>
        </w:rPr>
        <w:t>con pago, correspondiente al</w:t>
      </w:r>
      <w:r w:rsidRPr="00257675">
        <w:rPr>
          <w:rFonts w:ascii="Arial" w:eastAsia="Times New Roman" w:hAnsi="Arial" w:cs="Arial"/>
          <w:lang w:val="es-ES" w:eastAsia="es-ES"/>
        </w:rPr>
        <w:t xml:space="preserve"> </w:t>
      </w:r>
      <w:r>
        <w:rPr>
          <w:rFonts w:ascii="Arial" w:eastAsia="Times New Roman" w:hAnsi="Arial" w:cs="Arial"/>
          <w:lang w:val="es-ES" w:eastAsia="es-ES"/>
        </w:rPr>
        <w:t>42</w:t>
      </w:r>
      <w:r w:rsidRPr="00257675">
        <w:rPr>
          <w:rFonts w:ascii="Arial" w:eastAsia="Times New Roman" w:hAnsi="Arial" w:cs="Arial"/>
          <w:lang w:val="es-ES" w:eastAsia="es-ES"/>
        </w:rPr>
        <w:t xml:space="preserve">% del total </w:t>
      </w:r>
      <w:r>
        <w:rPr>
          <w:rFonts w:ascii="Arial" w:eastAsia="Times New Roman" w:hAnsi="Arial" w:cs="Arial"/>
          <w:lang w:val="es-ES" w:eastAsia="es-ES"/>
        </w:rPr>
        <w:t>de los casos notificados. Los accidentes no laborales,</w:t>
      </w:r>
      <w:r w:rsidRPr="00257675">
        <w:rPr>
          <w:rFonts w:ascii="Arial" w:eastAsia="Times New Roman" w:hAnsi="Arial" w:cs="Arial"/>
          <w:lang w:val="es-ES" w:eastAsia="es-ES"/>
        </w:rPr>
        <w:t xml:space="preserve"> </w:t>
      </w:r>
      <w:r>
        <w:rPr>
          <w:rFonts w:ascii="Arial" w:eastAsia="Times New Roman" w:hAnsi="Arial" w:cs="Arial"/>
          <w:lang w:val="es-ES" w:eastAsia="es-ES"/>
        </w:rPr>
        <w:t>en los años 2016 y 2017 fueron el principal modo de intoxicación, representando el 37% y 31% respectivamente</w:t>
      </w:r>
      <w:r w:rsidR="0043232B">
        <w:rPr>
          <w:rFonts w:ascii="Arial" w:eastAsia="Times New Roman" w:hAnsi="Arial" w:cs="Arial"/>
          <w:lang w:val="es-ES" w:eastAsia="es-ES"/>
        </w:rPr>
        <w:t>. P</w:t>
      </w:r>
      <w:r>
        <w:rPr>
          <w:rFonts w:ascii="Arial" w:eastAsia="Times New Roman" w:hAnsi="Arial" w:cs="Arial"/>
          <w:lang w:val="es-ES" w:eastAsia="es-ES"/>
        </w:rPr>
        <w:t>ara el 2018</w:t>
      </w:r>
      <w:r w:rsidR="0043232B">
        <w:rPr>
          <w:rFonts w:ascii="Arial" w:eastAsia="Times New Roman" w:hAnsi="Arial" w:cs="Arial"/>
          <w:lang w:val="es-ES" w:eastAsia="es-ES"/>
        </w:rPr>
        <w:t>,</w:t>
      </w:r>
      <w:r>
        <w:rPr>
          <w:rFonts w:ascii="Arial" w:eastAsia="Times New Roman" w:hAnsi="Arial" w:cs="Arial"/>
          <w:lang w:val="es-ES" w:eastAsia="es-ES"/>
        </w:rPr>
        <w:t xml:space="preserve"> los accidentes no laborales representaron el 27% de los casos. </w:t>
      </w:r>
    </w:p>
    <w:p w:rsidR="004777D8" w:rsidRDefault="004777D8" w:rsidP="0043232B">
      <w:pPr>
        <w:spacing w:after="240" w:line="276" w:lineRule="auto"/>
        <w:jc w:val="both"/>
        <w:rPr>
          <w:rFonts w:ascii="Arial" w:eastAsia="Times New Roman" w:hAnsi="Arial" w:cs="Arial"/>
          <w:lang w:val="es-ES" w:eastAsia="es-ES"/>
        </w:rPr>
      </w:pPr>
      <w:r>
        <w:rPr>
          <w:rFonts w:ascii="Arial" w:eastAsia="Times New Roman" w:hAnsi="Arial" w:cs="Arial"/>
          <w:lang w:val="es-ES" w:eastAsia="es-ES"/>
        </w:rPr>
        <w:t xml:space="preserve">Los </w:t>
      </w:r>
      <w:r w:rsidRPr="00257675">
        <w:rPr>
          <w:rFonts w:ascii="Arial" w:eastAsia="Times New Roman" w:hAnsi="Arial" w:cs="Arial"/>
          <w:lang w:val="es-ES" w:eastAsia="es-ES"/>
        </w:rPr>
        <w:t xml:space="preserve">intentos de suicidio </w:t>
      </w:r>
      <w:r>
        <w:rPr>
          <w:rFonts w:ascii="Arial" w:eastAsia="Times New Roman" w:hAnsi="Arial" w:cs="Arial"/>
          <w:lang w:val="es-ES" w:eastAsia="es-ES"/>
        </w:rPr>
        <w:t xml:space="preserve">del 2015 al 2018 representaron el </w:t>
      </w:r>
      <w:r w:rsidRPr="00257675">
        <w:rPr>
          <w:rFonts w:ascii="Arial" w:eastAsia="Times New Roman" w:hAnsi="Arial" w:cs="Arial"/>
          <w:lang w:val="es-ES" w:eastAsia="es-ES"/>
        </w:rPr>
        <w:t>19,</w:t>
      </w:r>
      <w:r>
        <w:rPr>
          <w:rFonts w:ascii="Arial" w:eastAsia="Times New Roman" w:hAnsi="Arial" w:cs="Arial"/>
          <w:lang w:val="es-ES" w:eastAsia="es-ES"/>
        </w:rPr>
        <w:t>7% de los casos reportados</w:t>
      </w:r>
      <w:r w:rsidR="0043232B">
        <w:rPr>
          <w:rFonts w:ascii="Arial" w:eastAsia="Times New Roman" w:hAnsi="Arial" w:cs="Arial"/>
          <w:lang w:val="es-ES" w:eastAsia="es-ES"/>
        </w:rPr>
        <w:t xml:space="preserve">. </w:t>
      </w:r>
      <w:r>
        <w:rPr>
          <w:rFonts w:ascii="Arial" w:eastAsia="Times New Roman" w:hAnsi="Arial" w:cs="Arial"/>
          <w:lang w:val="es-ES" w:eastAsia="es-ES"/>
        </w:rPr>
        <w:t xml:space="preserve"> </w:t>
      </w:r>
      <w:r w:rsidR="0043232B">
        <w:rPr>
          <w:rFonts w:ascii="Arial" w:eastAsia="Times New Roman" w:hAnsi="Arial" w:cs="Arial"/>
          <w:lang w:val="es-ES" w:eastAsia="es-ES"/>
        </w:rPr>
        <w:t>E</w:t>
      </w:r>
      <w:r w:rsidRPr="00257675">
        <w:rPr>
          <w:rFonts w:ascii="Arial" w:eastAsia="Times New Roman" w:hAnsi="Arial" w:cs="Arial"/>
          <w:lang w:val="es-ES" w:eastAsia="es-ES"/>
        </w:rPr>
        <w:t xml:space="preserve">n </w:t>
      </w:r>
      <w:r>
        <w:rPr>
          <w:rFonts w:ascii="Arial" w:eastAsia="Times New Roman" w:hAnsi="Arial" w:cs="Arial"/>
          <w:lang w:val="es-ES" w:eastAsia="es-ES"/>
        </w:rPr>
        <w:t>el 17,8</w:t>
      </w:r>
      <w:r w:rsidRPr="00257675">
        <w:rPr>
          <w:rFonts w:ascii="Arial" w:eastAsia="Times New Roman" w:hAnsi="Arial" w:cs="Arial"/>
          <w:lang w:val="es-ES" w:eastAsia="es-ES"/>
        </w:rPr>
        <w:t>% de los casos</w:t>
      </w:r>
      <w:r>
        <w:rPr>
          <w:rFonts w:ascii="Arial" w:eastAsia="Times New Roman" w:hAnsi="Arial" w:cs="Arial"/>
          <w:lang w:val="es-ES" w:eastAsia="es-ES"/>
        </w:rPr>
        <w:t xml:space="preserve"> en ese mismo periodo</w:t>
      </w:r>
      <w:r w:rsidR="0043232B">
        <w:rPr>
          <w:rFonts w:ascii="Arial" w:eastAsia="Times New Roman" w:hAnsi="Arial" w:cs="Arial"/>
          <w:lang w:val="es-ES" w:eastAsia="es-ES"/>
        </w:rPr>
        <w:t>, no se reportó el modo de intoxicación</w:t>
      </w:r>
      <w:r w:rsidRPr="00257675">
        <w:rPr>
          <w:rFonts w:ascii="Arial" w:eastAsia="Times New Roman" w:hAnsi="Arial" w:cs="Arial"/>
          <w:lang w:val="es-ES" w:eastAsia="es-ES"/>
        </w:rPr>
        <w:t>.</w:t>
      </w:r>
    </w:p>
    <w:p w:rsidR="0043232B" w:rsidRDefault="0043232B" w:rsidP="0043232B">
      <w:pPr>
        <w:spacing w:after="240" w:line="276" w:lineRule="auto"/>
        <w:jc w:val="both"/>
        <w:rPr>
          <w:rFonts w:ascii="Arial" w:eastAsia="Times New Roman" w:hAnsi="Arial" w:cs="Arial"/>
          <w:lang w:val="es-ES" w:eastAsia="es-ES"/>
        </w:rPr>
      </w:pPr>
    </w:p>
    <w:p w:rsidR="0043232B" w:rsidRDefault="0043232B" w:rsidP="0043232B">
      <w:pPr>
        <w:spacing w:after="240" w:line="276" w:lineRule="auto"/>
        <w:jc w:val="both"/>
        <w:rPr>
          <w:rFonts w:ascii="Arial" w:eastAsia="Times New Roman" w:hAnsi="Arial" w:cs="Arial"/>
          <w:lang w:val="es-ES" w:eastAsia="es-ES"/>
        </w:rPr>
      </w:pPr>
    </w:p>
    <w:p w:rsidR="0043232B" w:rsidRDefault="0043232B">
      <w:pPr>
        <w:spacing w:after="160" w:line="259" w:lineRule="auto"/>
        <w:rPr>
          <w:rFonts w:ascii="Arial" w:eastAsia="Times New Roman" w:hAnsi="Arial" w:cs="Arial"/>
          <w:lang w:val="es-ES" w:eastAsia="es-ES"/>
        </w:rPr>
      </w:pPr>
      <w:r>
        <w:rPr>
          <w:rFonts w:ascii="Arial" w:eastAsia="Times New Roman" w:hAnsi="Arial" w:cs="Arial"/>
          <w:lang w:val="es-ES" w:eastAsia="es-ES"/>
        </w:rPr>
        <w:br w:type="page"/>
      </w:r>
    </w:p>
    <w:p w:rsidR="004777D8" w:rsidRPr="0043232B" w:rsidRDefault="0043232B" w:rsidP="004777D8">
      <w:pPr>
        <w:spacing w:line="276" w:lineRule="auto"/>
        <w:jc w:val="center"/>
        <w:rPr>
          <w:rFonts w:ascii="Arial" w:eastAsia="Times New Roman" w:hAnsi="Arial" w:cs="Arial"/>
          <w:b/>
          <w:lang w:val="es-ES" w:eastAsia="es-ES"/>
        </w:rPr>
      </w:pPr>
      <w:r w:rsidRPr="0043232B">
        <w:rPr>
          <w:rFonts w:ascii="Arial" w:eastAsia="Times New Roman" w:hAnsi="Arial" w:cs="Arial"/>
          <w:b/>
          <w:lang w:val="es-ES" w:eastAsia="es-ES"/>
        </w:rPr>
        <w:lastRenderedPageBreak/>
        <w:t>Cuadro 2</w:t>
      </w:r>
      <w:r w:rsidR="00A308AA">
        <w:rPr>
          <w:rFonts w:ascii="Arial" w:eastAsia="Times New Roman" w:hAnsi="Arial" w:cs="Arial"/>
          <w:b/>
          <w:lang w:val="es-ES" w:eastAsia="es-ES"/>
        </w:rPr>
        <w:t>1</w:t>
      </w:r>
    </w:p>
    <w:p w:rsidR="0043232B" w:rsidRDefault="004777D8" w:rsidP="004777D8">
      <w:pPr>
        <w:spacing w:line="276" w:lineRule="auto"/>
        <w:jc w:val="center"/>
        <w:rPr>
          <w:rFonts w:ascii="Arial" w:hAnsi="Arial" w:cs="Arial"/>
          <w:b/>
          <w:lang w:val="es-MX"/>
        </w:rPr>
      </w:pPr>
      <w:r w:rsidRPr="00D96E63">
        <w:rPr>
          <w:rFonts w:ascii="Arial" w:hAnsi="Arial" w:cs="Arial"/>
          <w:b/>
          <w:lang w:val="es-MX"/>
        </w:rPr>
        <w:t xml:space="preserve">Costa Rica: </w:t>
      </w:r>
      <w:r w:rsidR="0043232B">
        <w:rPr>
          <w:rFonts w:ascii="Arial" w:hAnsi="Arial" w:cs="Arial"/>
          <w:b/>
          <w:lang w:val="es-MX"/>
        </w:rPr>
        <w:t>I</w:t>
      </w:r>
      <w:r w:rsidRPr="00D96E63">
        <w:rPr>
          <w:rFonts w:ascii="Arial" w:hAnsi="Arial" w:cs="Arial"/>
          <w:b/>
          <w:lang w:val="es-MX"/>
        </w:rPr>
        <w:t xml:space="preserve">ntoxicaciones </w:t>
      </w:r>
      <w:r w:rsidR="0043232B">
        <w:rPr>
          <w:rFonts w:ascii="Arial" w:hAnsi="Arial" w:cs="Arial"/>
          <w:b/>
          <w:lang w:val="es-MX"/>
        </w:rPr>
        <w:t>a</w:t>
      </w:r>
      <w:r w:rsidRPr="00D96E63">
        <w:rPr>
          <w:rFonts w:ascii="Arial" w:hAnsi="Arial" w:cs="Arial"/>
          <w:b/>
          <w:lang w:val="es-MX"/>
        </w:rPr>
        <w:t xml:space="preserve">gudas por </w:t>
      </w:r>
      <w:r w:rsidR="0043232B">
        <w:rPr>
          <w:rFonts w:ascii="Arial" w:hAnsi="Arial" w:cs="Arial"/>
          <w:b/>
          <w:lang w:val="es-MX"/>
        </w:rPr>
        <w:t>p</w:t>
      </w:r>
      <w:r w:rsidRPr="00D96E63">
        <w:rPr>
          <w:rFonts w:ascii="Arial" w:hAnsi="Arial" w:cs="Arial"/>
          <w:b/>
          <w:lang w:val="es-MX"/>
        </w:rPr>
        <w:t>laguicidas</w:t>
      </w:r>
      <w:r w:rsidR="0043232B">
        <w:rPr>
          <w:rFonts w:ascii="Arial" w:hAnsi="Arial" w:cs="Arial"/>
          <w:b/>
          <w:lang w:val="es-MX"/>
        </w:rPr>
        <w:t>,</w:t>
      </w:r>
      <w:r w:rsidRPr="00D96E63">
        <w:rPr>
          <w:rFonts w:ascii="Arial" w:hAnsi="Arial" w:cs="Arial"/>
          <w:b/>
          <w:lang w:val="es-MX"/>
        </w:rPr>
        <w:t xml:space="preserve"> según modo </w:t>
      </w:r>
    </w:p>
    <w:p w:rsidR="0043232B" w:rsidRDefault="004777D8" w:rsidP="004777D8">
      <w:pPr>
        <w:spacing w:line="276" w:lineRule="auto"/>
        <w:jc w:val="center"/>
        <w:rPr>
          <w:rFonts w:ascii="Arial" w:hAnsi="Arial" w:cs="Arial"/>
          <w:b/>
          <w:lang w:val="es-MX"/>
        </w:rPr>
      </w:pPr>
      <w:r w:rsidRPr="00D96E63">
        <w:rPr>
          <w:rFonts w:ascii="Arial" w:hAnsi="Arial" w:cs="Arial"/>
          <w:b/>
          <w:lang w:val="es-MX"/>
        </w:rPr>
        <w:t>y año de ocurrencia, 2015-2018</w:t>
      </w:r>
      <w:r w:rsidR="0043232B">
        <w:rPr>
          <w:rFonts w:ascii="Arial" w:hAnsi="Arial" w:cs="Arial"/>
          <w:b/>
          <w:lang w:val="es-MX"/>
        </w:rPr>
        <w:t>.</w:t>
      </w:r>
      <w:r w:rsidRPr="00D96E63">
        <w:rPr>
          <w:rFonts w:ascii="Arial" w:hAnsi="Arial" w:cs="Arial"/>
          <w:b/>
          <w:lang w:val="es-MX"/>
        </w:rPr>
        <w:t xml:space="preserve"> </w:t>
      </w:r>
    </w:p>
    <w:p w:rsidR="004777D8" w:rsidRPr="0043232B" w:rsidRDefault="004777D8" w:rsidP="004777D8">
      <w:pPr>
        <w:spacing w:line="276" w:lineRule="auto"/>
        <w:jc w:val="center"/>
        <w:rPr>
          <w:rFonts w:ascii="Arial" w:hAnsi="Arial" w:cs="Arial"/>
          <w:sz w:val="20"/>
          <w:szCs w:val="20"/>
          <w:lang w:val="es-MX"/>
        </w:rPr>
      </w:pPr>
      <w:r w:rsidRPr="0043232B">
        <w:rPr>
          <w:rFonts w:ascii="Arial" w:hAnsi="Arial" w:cs="Arial"/>
          <w:sz w:val="20"/>
          <w:szCs w:val="20"/>
          <w:lang w:val="es-MX"/>
        </w:rPr>
        <w:t>(tasas por 100.000 habitantes)</w:t>
      </w:r>
    </w:p>
    <w:tbl>
      <w:tblPr>
        <w:tblW w:w="9291" w:type="dxa"/>
        <w:jc w:val="center"/>
        <w:tblCellMar>
          <w:left w:w="70" w:type="dxa"/>
          <w:right w:w="70" w:type="dxa"/>
        </w:tblCellMar>
        <w:tblLook w:val="04A0" w:firstRow="1" w:lastRow="0" w:firstColumn="1" w:lastColumn="0" w:noHBand="0" w:noVBand="1"/>
      </w:tblPr>
      <w:tblGrid>
        <w:gridCol w:w="2431"/>
        <w:gridCol w:w="1119"/>
        <w:gridCol w:w="596"/>
        <w:gridCol w:w="1119"/>
        <w:gridCol w:w="596"/>
        <w:gridCol w:w="1119"/>
        <w:gridCol w:w="596"/>
        <w:gridCol w:w="1119"/>
        <w:gridCol w:w="596"/>
      </w:tblGrid>
      <w:tr w:rsidR="004777D8" w:rsidRPr="0043232B" w:rsidTr="0043232B">
        <w:trPr>
          <w:trHeight w:val="246"/>
          <w:jc w:val="center"/>
        </w:trPr>
        <w:tc>
          <w:tcPr>
            <w:tcW w:w="2431"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Modo de intoxicación</w:t>
            </w:r>
          </w:p>
        </w:tc>
        <w:tc>
          <w:tcPr>
            <w:tcW w:w="1715" w:type="dxa"/>
            <w:gridSpan w:val="2"/>
            <w:tcBorders>
              <w:top w:val="single" w:sz="4" w:space="0" w:color="auto"/>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2015</w:t>
            </w:r>
          </w:p>
        </w:tc>
        <w:tc>
          <w:tcPr>
            <w:tcW w:w="1715" w:type="dxa"/>
            <w:gridSpan w:val="2"/>
            <w:tcBorders>
              <w:top w:val="single" w:sz="4" w:space="0" w:color="auto"/>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2016</w:t>
            </w:r>
          </w:p>
        </w:tc>
        <w:tc>
          <w:tcPr>
            <w:tcW w:w="1715" w:type="dxa"/>
            <w:gridSpan w:val="2"/>
            <w:tcBorders>
              <w:top w:val="single" w:sz="4" w:space="0" w:color="auto"/>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2017</w:t>
            </w:r>
          </w:p>
        </w:tc>
        <w:tc>
          <w:tcPr>
            <w:tcW w:w="1715" w:type="dxa"/>
            <w:gridSpan w:val="2"/>
            <w:tcBorders>
              <w:top w:val="single" w:sz="4" w:space="0" w:color="auto"/>
              <w:left w:val="nil"/>
              <w:bottom w:val="single" w:sz="4" w:space="0" w:color="auto"/>
              <w:right w:val="nil"/>
            </w:tcBorders>
            <w:shd w:val="clear" w:color="auto" w:fill="D5DCE4" w:themeFill="text2" w:themeFillTint="33"/>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2018</w:t>
            </w:r>
          </w:p>
        </w:tc>
      </w:tr>
      <w:tr w:rsidR="004777D8" w:rsidRPr="0043232B" w:rsidTr="0043232B">
        <w:trPr>
          <w:trHeight w:val="246"/>
          <w:jc w:val="center"/>
        </w:trPr>
        <w:tc>
          <w:tcPr>
            <w:tcW w:w="2431" w:type="dxa"/>
            <w:vMerge/>
            <w:tcBorders>
              <w:top w:val="single" w:sz="4" w:space="0" w:color="auto"/>
              <w:left w:val="nil"/>
              <w:bottom w:val="single" w:sz="4" w:space="0" w:color="000000"/>
              <w:right w:val="nil"/>
            </w:tcBorders>
            <w:shd w:val="clear" w:color="auto" w:fill="D5DCE4" w:themeFill="text2" w:themeFillTint="33"/>
            <w:vAlign w:val="center"/>
            <w:hideMark/>
          </w:tcPr>
          <w:p w:rsidR="004777D8" w:rsidRPr="0043232B" w:rsidRDefault="004777D8" w:rsidP="00475BBF">
            <w:pPr>
              <w:rPr>
                <w:rFonts w:ascii="Arial" w:eastAsia="Times New Roman" w:hAnsi="Arial" w:cs="Arial"/>
                <w:b/>
                <w:bCs/>
                <w:color w:val="000000"/>
                <w:sz w:val="20"/>
                <w:szCs w:val="20"/>
                <w:lang w:eastAsia="es-PA"/>
              </w:rPr>
            </w:pPr>
          </w:p>
        </w:tc>
        <w:tc>
          <w:tcPr>
            <w:tcW w:w="1119" w:type="dxa"/>
            <w:tcBorders>
              <w:top w:val="nil"/>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 xml:space="preserve">N° </w:t>
            </w:r>
          </w:p>
        </w:tc>
        <w:tc>
          <w:tcPr>
            <w:tcW w:w="596" w:type="dxa"/>
            <w:tcBorders>
              <w:top w:val="nil"/>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Tasa</w:t>
            </w:r>
          </w:p>
        </w:tc>
        <w:tc>
          <w:tcPr>
            <w:tcW w:w="1119" w:type="dxa"/>
            <w:tcBorders>
              <w:top w:val="nil"/>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 xml:space="preserve">N° </w:t>
            </w:r>
          </w:p>
        </w:tc>
        <w:tc>
          <w:tcPr>
            <w:tcW w:w="596" w:type="dxa"/>
            <w:tcBorders>
              <w:top w:val="nil"/>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Tasa</w:t>
            </w:r>
          </w:p>
        </w:tc>
        <w:tc>
          <w:tcPr>
            <w:tcW w:w="1119" w:type="dxa"/>
            <w:tcBorders>
              <w:top w:val="nil"/>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 xml:space="preserve">N° </w:t>
            </w:r>
          </w:p>
        </w:tc>
        <w:tc>
          <w:tcPr>
            <w:tcW w:w="596" w:type="dxa"/>
            <w:tcBorders>
              <w:top w:val="nil"/>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Tasa</w:t>
            </w:r>
          </w:p>
        </w:tc>
        <w:tc>
          <w:tcPr>
            <w:tcW w:w="1119" w:type="dxa"/>
            <w:tcBorders>
              <w:top w:val="nil"/>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 xml:space="preserve">N° </w:t>
            </w:r>
          </w:p>
        </w:tc>
        <w:tc>
          <w:tcPr>
            <w:tcW w:w="596" w:type="dxa"/>
            <w:tcBorders>
              <w:top w:val="nil"/>
              <w:left w:val="nil"/>
              <w:bottom w:val="single" w:sz="4" w:space="0" w:color="auto"/>
              <w:right w:val="nil"/>
            </w:tcBorders>
            <w:shd w:val="clear" w:color="auto" w:fill="D5DCE4" w:themeFill="text2" w:themeFillTint="33"/>
            <w:noWrap/>
            <w:vAlign w:val="center"/>
            <w:hideMark/>
          </w:tcPr>
          <w:p w:rsidR="004777D8" w:rsidRPr="0043232B" w:rsidRDefault="004777D8" w:rsidP="00475BBF">
            <w:pPr>
              <w:jc w:val="center"/>
              <w:rPr>
                <w:rFonts w:ascii="Arial" w:eastAsia="Times New Roman" w:hAnsi="Arial" w:cs="Arial"/>
                <w:b/>
                <w:bCs/>
                <w:color w:val="000000"/>
                <w:sz w:val="20"/>
                <w:szCs w:val="20"/>
                <w:lang w:eastAsia="es-PA"/>
              </w:rPr>
            </w:pPr>
            <w:r w:rsidRPr="0043232B">
              <w:rPr>
                <w:rFonts w:ascii="Arial" w:eastAsia="Times New Roman" w:hAnsi="Arial" w:cs="Arial"/>
                <w:b/>
                <w:bCs/>
                <w:color w:val="000000"/>
                <w:sz w:val="20"/>
                <w:szCs w:val="20"/>
                <w:lang w:val="es-CR" w:eastAsia="es-PA"/>
              </w:rPr>
              <w:t>Tasa</w:t>
            </w:r>
          </w:p>
        </w:tc>
      </w:tr>
      <w:tr w:rsidR="004777D8" w:rsidRPr="0043232B" w:rsidTr="0043232B">
        <w:trPr>
          <w:trHeight w:val="392"/>
          <w:jc w:val="center"/>
        </w:trPr>
        <w:tc>
          <w:tcPr>
            <w:tcW w:w="2431" w:type="dxa"/>
            <w:tcBorders>
              <w:top w:val="nil"/>
              <w:left w:val="nil"/>
              <w:bottom w:val="nil"/>
              <w:right w:val="nil"/>
            </w:tcBorders>
            <w:shd w:val="clear" w:color="000000" w:fill="FFFFFF"/>
            <w:vAlign w:val="center"/>
            <w:hideMark/>
          </w:tcPr>
          <w:p w:rsidR="004777D8" w:rsidRPr="0043232B" w:rsidRDefault="004777D8" w:rsidP="00475BBF">
            <w:pP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Accidental (no laboral)</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45</w:t>
            </w:r>
          </w:p>
        </w:tc>
        <w:tc>
          <w:tcPr>
            <w:tcW w:w="596"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0.93</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75</w:t>
            </w:r>
          </w:p>
        </w:tc>
        <w:tc>
          <w:tcPr>
            <w:tcW w:w="596"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1.53</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54</w:t>
            </w:r>
          </w:p>
        </w:tc>
        <w:tc>
          <w:tcPr>
            <w:tcW w:w="596"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1.09</w:t>
            </w:r>
          </w:p>
        </w:tc>
        <w:tc>
          <w:tcPr>
            <w:tcW w:w="1119"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26</w:t>
            </w:r>
          </w:p>
        </w:tc>
        <w:tc>
          <w:tcPr>
            <w:tcW w:w="596"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0.52</w:t>
            </w:r>
          </w:p>
        </w:tc>
      </w:tr>
      <w:tr w:rsidR="004777D8" w:rsidRPr="0043232B" w:rsidTr="0043232B">
        <w:trPr>
          <w:trHeight w:val="280"/>
          <w:jc w:val="center"/>
        </w:trPr>
        <w:tc>
          <w:tcPr>
            <w:tcW w:w="2431" w:type="dxa"/>
            <w:tcBorders>
              <w:top w:val="nil"/>
              <w:left w:val="nil"/>
              <w:bottom w:val="nil"/>
              <w:right w:val="nil"/>
            </w:tcBorders>
            <w:shd w:val="clear" w:color="000000" w:fill="FFFFFF"/>
            <w:noWrap/>
            <w:vAlign w:val="center"/>
            <w:hideMark/>
          </w:tcPr>
          <w:p w:rsidR="004777D8" w:rsidRPr="0043232B" w:rsidRDefault="004777D8" w:rsidP="00475BBF">
            <w:pP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Intento de suicidio</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39</w:t>
            </w:r>
          </w:p>
        </w:tc>
        <w:tc>
          <w:tcPr>
            <w:tcW w:w="596"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0.81</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39</w:t>
            </w:r>
          </w:p>
        </w:tc>
        <w:tc>
          <w:tcPr>
            <w:tcW w:w="596"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0.80</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34</w:t>
            </w:r>
          </w:p>
        </w:tc>
        <w:tc>
          <w:tcPr>
            <w:tcW w:w="596"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0.69</w:t>
            </w:r>
          </w:p>
        </w:tc>
        <w:tc>
          <w:tcPr>
            <w:tcW w:w="1119"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21</w:t>
            </w:r>
          </w:p>
        </w:tc>
        <w:tc>
          <w:tcPr>
            <w:tcW w:w="596"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0.42</w:t>
            </w:r>
          </w:p>
        </w:tc>
      </w:tr>
      <w:tr w:rsidR="004777D8" w:rsidRPr="0043232B" w:rsidTr="0043232B">
        <w:trPr>
          <w:trHeight w:val="426"/>
          <w:jc w:val="center"/>
        </w:trPr>
        <w:tc>
          <w:tcPr>
            <w:tcW w:w="2431" w:type="dxa"/>
            <w:tcBorders>
              <w:top w:val="nil"/>
              <w:left w:val="nil"/>
              <w:bottom w:val="nil"/>
              <w:right w:val="nil"/>
            </w:tcBorders>
            <w:shd w:val="clear" w:color="000000" w:fill="FFFFFF"/>
            <w:noWrap/>
            <w:vAlign w:val="center"/>
            <w:hideMark/>
          </w:tcPr>
          <w:p w:rsidR="004777D8" w:rsidRPr="0043232B" w:rsidRDefault="004777D8" w:rsidP="00475BBF">
            <w:pP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Laboral con pago</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86</w:t>
            </w:r>
          </w:p>
        </w:tc>
        <w:tc>
          <w:tcPr>
            <w:tcW w:w="596"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1.78</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51</w:t>
            </w:r>
          </w:p>
        </w:tc>
        <w:tc>
          <w:tcPr>
            <w:tcW w:w="596"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1.04</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45</w:t>
            </w:r>
          </w:p>
        </w:tc>
        <w:tc>
          <w:tcPr>
            <w:tcW w:w="596"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0.91</w:t>
            </w:r>
          </w:p>
        </w:tc>
        <w:tc>
          <w:tcPr>
            <w:tcW w:w="1119"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18</w:t>
            </w:r>
          </w:p>
        </w:tc>
        <w:tc>
          <w:tcPr>
            <w:tcW w:w="596"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0.36</w:t>
            </w:r>
          </w:p>
        </w:tc>
      </w:tr>
      <w:tr w:rsidR="004777D8" w:rsidRPr="0043232B" w:rsidTr="0043232B">
        <w:trPr>
          <w:trHeight w:val="432"/>
          <w:jc w:val="center"/>
        </w:trPr>
        <w:tc>
          <w:tcPr>
            <w:tcW w:w="2431" w:type="dxa"/>
            <w:tcBorders>
              <w:top w:val="nil"/>
              <w:left w:val="nil"/>
              <w:bottom w:val="nil"/>
              <w:right w:val="nil"/>
            </w:tcBorders>
            <w:shd w:val="clear" w:color="000000" w:fill="FFFFFF"/>
            <w:noWrap/>
            <w:vAlign w:val="center"/>
            <w:hideMark/>
          </w:tcPr>
          <w:p w:rsidR="004777D8" w:rsidRPr="0043232B" w:rsidRDefault="004777D8" w:rsidP="00475BBF">
            <w:pP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Laboral sin pago</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4</w:t>
            </w:r>
          </w:p>
        </w:tc>
        <w:tc>
          <w:tcPr>
            <w:tcW w:w="596"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0.08</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10</w:t>
            </w:r>
          </w:p>
        </w:tc>
        <w:tc>
          <w:tcPr>
            <w:tcW w:w="596"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0.20</w:t>
            </w:r>
          </w:p>
        </w:tc>
        <w:tc>
          <w:tcPr>
            <w:tcW w:w="1119" w:type="dxa"/>
            <w:tcBorders>
              <w:top w:val="nil"/>
              <w:left w:val="nil"/>
              <w:bottom w:val="nil"/>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6</w:t>
            </w:r>
          </w:p>
        </w:tc>
        <w:tc>
          <w:tcPr>
            <w:tcW w:w="596"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0.12</w:t>
            </w:r>
          </w:p>
        </w:tc>
        <w:tc>
          <w:tcPr>
            <w:tcW w:w="1119"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1</w:t>
            </w:r>
          </w:p>
        </w:tc>
        <w:tc>
          <w:tcPr>
            <w:tcW w:w="596" w:type="dxa"/>
            <w:tcBorders>
              <w:top w:val="nil"/>
              <w:left w:val="nil"/>
              <w:bottom w:val="nil"/>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0.02</w:t>
            </w:r>
          </w:p>
        </w:tc>
      </w:tr>
      <w:tr w:rsidR="004777D8" w:rsidRPr="0043232B" w:rsidTr="0043232B">
        <w:trPr>
          <w:trHeight w:val="424"/>
          <w:jc w:val="center"/>
        </w:trPr>
        <w:tc>
          <w:tcPr>
            <w:tcW w:w="2431" w:type="dxa"/>
            <w:tcBorders>
              <w:top w:val="nil"/>
              <w:left w:val="nil"/>
              <w:bottom w:val="single" w:sz="4" w:space="0" w:color="auto"/>
              <w:right w:val="nil"/>
            </w:tcBorders>
            <w:shd w:val="clear" w:color="000000" w:fill="FFFFFF"/>
            <w:noWrap/>
            <w:vAlign w:val="center"/>
            <w:hideMark/>
          </w:tcPr>
          <w:p w:rsidR="004777D8" w:rsidRPr="0043232B" w:rsidRDefault="004777D8" w:rsidP="00475BBF">
            <w:pP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Sin datos</w:t>
            </w:r>
          </w:p>
        </w:tc>
        <w:tc>
          <w:tcPr>
            <w:tcW w:w="1119"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29</w:t>
            </w:r>
          </w:p>
        </w:tc>
        <w:tc>
          <w:tcPr>
            <w:tcW w:w="596"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0.60</w:t>
            </w:r>
          </w:p>
        </w:tc>
        <w:tc>
          <w:tcPr>
            <w:tcW w:w="1119"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27</w:t>
            </w:r>
          </w:p>
        </w:tc>
        <w:tc>
          <w:tcPr>
            <w:tcW w:w="596"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0.55</w:t>
            </w:r>
          </w:p>
        </w:tc>
        <w:tc>
          <w:tcPr>
            <w:tcW w:w="1119"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35</w:t>
            </w:r>
          </w:p>
        </w:tc>
        <w:tc>
          <w:tcPr>
            <w:tcW w:w="596" w:type="dxa"/>
            <w:tcBorders>
              <w:top w:val="nil"/>
              <w:left w:val="nil"/>
              <w:bottom w:val="single" w:sz="4" w:space="0" w:color="auto"/>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0.71</w:t>
            </w:r>
          </w:p>
        </w:tc>
        <w:tc>
          <w:tcPr>
            <w:tcW w:w="1119" w:type="dxa"/>
            <w:tcBorders>
              <w:top w:val="nil"/>
              <w:left w:val="nil"/>
              <w:bottom w:val="single" w:sz="4" w:space="0" w:color="auto"/>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29</w:t>
            </w:r>
          </w:p>
        </w:tc>
        <w:tc>
          <w:tcPr>
            <w:tcW w:w="596" w:type="dxa"/>
            <w:tcBorders>
              <w:top w:val="nil"/>
              <w:left w:val="nil"/>
              <w:bottom w:val="single" w:sz="4" w:space="0" w:color="auto"/>
              <w:right w:val="nil"/>
            </w:tcBorders>
            <w:shd w:val="clear" w:color="000000" w:fill="FFFFFF"/>
            <w:vAlign w:val="center"/>
            <w:hideMark/>
          </w:tcPr>
          <w:p w:rsidR="004777D8" w:rsidRPr="0043232B" w:rsidRDefault="004777D8" w:rsidP="00475BBF">
            <w:pPr>
              <w:jc w:val="center"/>
              <w:rPr>
                <w:rFonts w:ascii="Arial" w:eastAsia="Times New Roman" w:hAnsi="Arial" w:cs="Arial"/>
                <w:color w:val="000000"/>
                <w:sz w:val="20"/>
                <w:szCs w:val="20"/>
                <w:lang w:eastAsia="es-PA"/>
              </w:rPr>
            </w:pPr>
            <w:r w:rsidRPr="0043232B">
              <w:rPr>
                <w:rFonts w:ascii="Arial" w:eastAsia="Times New Roman" w:hAnsi="Arial" w:cs="Arial"/>
                <w:color w:val="000000"/>
                <w:sz w:val="20"/>
                <w:szCs w:val="20"/>
                <w:lang w:val="es-CR" w:eastAsia="es-PA"/>
              </w:rPr>
              <w:t>0.58</w:t>
            </w:r>
          </w:p>
        </w:tc>
      </w:tr>
      <w:tr w:rsidR="004777D8" w:rsidRPr="0043232B" w:rsidTr="0043232B">
        <w:trPr>
          <w:trHeight w:val="548"/>
          <w:jc w:val="center"/>
        </w:trPr>
        <w:tc>
          <w:tcPr>
            <w:tcW w:w="2431" w:type="dxa"/>
            <w:tcBorders>
              <w:top w:val="nil"/>
              <w:left w:val="nil"/>
              <w:bottom w:val="single" w:sz="4" w:space="0" w:color="auto"/>
              <w:right w:val="nil"/>
            </w:tcBorders>
            <w:shd w:val="clear" w:color="000000" w:fill="FFFFFF"/>
            <w:noWrap/>
            <w:vAlign w:val="center"/>
            <w:hideMark/>
          </w:tcPr>
          <w:p w:rsidR="004777D8" w:rsidRPr="0043232B" w:rsidRDefault="004777D8" w:rsidP="00475BBF">
            <w:pPr>
              <w:rPr>
                <w:rFonts w:ascii="Arial" w:eastAsia="Times New Roman" w:hAnsi="Arial" w:cs="Arial"/>
                <w:b/>
                <w:color w:val="000000"/>
                <w:sz w:val="20"/>
                <w:szCs w:val="20"/>
                <w:lang w:eastAsia="es-PA"/>
              </w:rPr>
            </w:pPr>
            <w:r w:rsidRPr="0043232B">
              <w:rPr>
                <w:rFonts w:ascii="Arial" w:eastAsia="Times New Roman" w:hAnsi="Arial" w:cs="Arial"/>
                <w:b/>
                <w:color w:val="000000"/>
                <w:sz w:val="20"/>
                <w:szCs w:val="20"/>
                <w:lang w:val="es-CR" w:eastAsia="es-PA"/>
              </w:rPr>
              <w:t>Total</w:t>
            </w:r>
          </w:p>
        </w:tc>
        <w:tc>
          <w:tcPr>
            <w:tcW w:w="1119"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b/>
                <w:color w:val="000000"/>
                <w:sz w:val="20"/>
                <w:szCs w:val="20"/>
                <w:lang w:eastAsia="es-PA"/>
              </w:rPr>
            </w:pPr>
            <w:r w:rsidRPr="0043232B">
              <w:rPr>
                <w:rFonts w:ascii="Arial" w:eastAsia="Times New Roman" w:hAnsi="Arial" w:cs="Arial"/>
                <w:b/>
                <w:color w:val="000000"/>
                <w:sz w:val="20"/>
                <w:szCs w:val="20"/>
                <w:lang w:val="es-CR" w:eastAsia="es-PA"/>
              </w:rPr>
              <w:t>203</w:t>
            </w:r>
          </w:p>
        </w:tc>
        <w:tc>
          <w:tcPr>
            <w:tcW w:w="596"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b/>
                <w:color w:val="000000"/>
                <w:sz w:val="20"/>
                <w:szCs w:val="20"/>
                <w:lang w:eastAsia="es-PA"/>
              </w:rPr>
            </w:pPr>
            <w:r w:rsidRPr="0043232B">
              <w:rPr>
                <w:rFonts w:ascii="Arial" w:eastAsia="Times New Roman" w:hAnsi="Arial" w:cs="Arial"/>
                <w:b/>
                <w:color w:val="000000"/>
                <w:sz w:val="20"/>
                <w:szCs w:val="20"/>
                <w:lang w:val="es-CR" w:eastAsia="es-PA"/>
              </w:rPr>
              <w:t>4.20</w:t>
            </w:r>
          </w:p>
        </w:tc>
        <w:tc>
          <w:tcPr>
            <w:tcW w:w="1119"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b/>
                <w:color w:val="000000"/>
                <w:sz w:val="20"/>
                <w:szCs w:val="20"/>
                <w:lang w:eastAsia="es-PA"/>
              </w:rPr>
            </w:pPr>
            <w:r w:rsidRPr="0043232B">
              <w:rPr>
                <w:rFonts w:ascii="Arial" w:eastAsia="Times New Roman" w:hAnsi="Arial" w:cs="Arial"/>
                <w:b/>
                <w:color w:val="000000"/>
                <w:sz w:val="20"/>
                <w:szCs w:val="20"/>
                <w:lang w:val="es-CR" w:eastAsia="es-PA"/>
              </w:rPr>
              <w:t>202</w:t>
            </w:r>
          </w:p>
        </w:tc>
        <w:tc>
          <w:tcPr>
            <w:tcW w:w="596"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b/>
                <w:color w:val="000000"/>
                <w:sz w:val="20"/>
                <w:szCs w:val="20"/>
                <w:lang w:eastAsia="es-PA"/>
              </w:rPr>
            </w:pPr>
            <w:r w:rsidRPr="0043232B">
              <w:rPr>
                <w:rFonts w:ascii="Arial" w:eastAsia="Times New Roman" w:hAnsi="Arial" w:cs="Arial"/>
                <w:b/>
                <w:color w:val="000000"/>
                <w:sz w:val="20"/>
                <w:szCs w:val="20"/>
                <w:lang w:val="es-CR" w:eastAsia="es-PA"/>
              </w:rPr>
              <w:t>4.13</w:t>
            </w:r>
          </w:p>
        </w:tc>
        <w:tc>
          <w:tcPr>
            <w:tcW w:w="1119" w:type="dxa"/>
            <w:tcBorders>
              <w:top w:val="nil"/>
              <w:left w:val="nil"/>
              <w:bottom w:val="single" w:sz="4" w:space="0" w:color="auto"/>
              <w:right w:val="nil"/>
            </w:tcBorders>
            <w:shd w:val="clear" w:color="000000" w:fill="FFFFFF"/>
            <w:noWrap/>
            <w:vAlign w:val="center"/>
            <w:hideMark/>
          </w:tcPr>
          <w:p w:rsidR="004777D8" w:rsidRPr="0043232B" w:rsidRDefault="004777D8" w:rsidP="00475BBF">
            <w:pPr>
              <w:jc w:val="center"/>
              <w:rPr>
                <w:rFonts w:ascii="Arial" w:eastAsia="Times New Roman" w:hAnsi="Arial" w:cs="Arial"/>
                <w:b/>
                <w:color w:val="000000"/>
                <w:sz w:val="20"/>
                <w:szCs w:val="20"/>
                <w:lang w:eastAsia="es-PA"/>
              </w:rPr>
            </w:pPr>
            <w:r w:rsidRPr="0043232B">
              <w:rPr>
                <w:rFonts w:ascii="Arial" w:eastAsia="Times New Roman" w:hAnsi="Arial" w:cs="Arial"/>
                <w:b/>
                <w:color w:val="000000"/>
                <w:sz w:val="20"/>
                <w:szCs w:val="20"/>
                <w:lang w:val="es-CR" w:eastAsia="es-PA"/>
              </w:rPr>
              <w:t>174</w:t>
            </w:r>
          </w:p>
        </w:tc>
        <w:tc>
          <w:tcPr>
            <w:tcW w:w="596" w:type="dxa"/>
            <w:tcBorders>
              <w:top w:val="nil"/>
              <w:left w:val="nil"/>
              <w:bottom w:val="single" w:sz="4" w:space="0" w:color="auto"/>
              <w:right w:val="nil"/>
            </w:tcBorders>
            <w:shd w:val="clear" w:color="000000" w:fill="FFFFFF"/>
            <w:vAlign w:val="center"/>
            <w:hideMark/>
          </w:tcPr>
          <w:p w:rsidR="004777D8" w:rsidRPr="0043232B" w:rsidRDefault="004777D8" w:rsidP="00475BBF">
            <w:pPr>
              <w:jc w:val="center"/>
              <w:rPr>
                <w:rFonts w:ascii="Arial" w:eastAsia="Times New Roman" w:hAnsi="Arial" w:cs="Arial"/>
                <w:b/>
                <w:color w:val="000000"/>
                <w:sz w:val="20"/>
                <w:szCs w:val="20"/>
                <w:lang w:eastAsia="es-PA"/>
              </w:rPr>
            </w:pPr>
            <w:r w:rsidRPr="0043232B">
              <w:rPr>
                <w:rFonts w:ascii="Arial" w:eastAsia="Times New Roman" w:hAnsi="Arial" w:cs="Arial"/>
                <w:b/>
                <w:color w:val="000000"/>
                <w:sz w:val="20"/>
                <w:szCs w:val="20"/>
                <w:lang w:val="es-CR" w:eastAsia="es-PA"/>
              </w:rPr>
              <w:t>3.52</w:t>
            </w:r>
          </w:p>
        </w:tc>
        <w:tc>
          <w:tcPr>
            <w:tcW w:w="1119" w:type="dxa"/>
            <w:tcBorders>
              <w:top w:val="nil"/>
              <w:left w:val="nil"/>
              <w:bottom w:val="single" w:sz="4" w:space="0" w:color="auto"/>
              <w:right w:val="nil"/>
            </w:tcBorders>
            <w:shd w:val="clear" w:color="000000" w:fill="FFFFFF"/>
            <w:vAlign w:val="center"/>
            <w:hideMark/>
          </w:tcPr>
          <w:p w:rsidR="004777D8" w:rsidRPr="0043232B" w:rsidRDefault="004777D8" w:rsidP="00475BBF">
            <w:pPr>
              <w:jc w:val="center"/>
              <w:rPr>
                <w:rFonts w:ascii="Arial" w:eastAsia="Times New Roman" w:hAnsi="Arial" w:cs="Arial"/>
                <w:b/>
                <w:color w:val="000000"/>
                <w:sz w:val="20"/>
                <w:szCs w:val="20"/>
                <w:lang w:eastAsia="es-PA"/>
              </w:rPr>
            </w:pPr>
            <w:r w:rsidRPr="0043232B">
              <w:rPr>
                <w:rFonts w:ascii="Arial" w:eastAsia="Times New Roman" w:hAnsi="Arial" w:cs="Arial"/>
                <w:b/>
                <w:color w:val="000000"/>
                <w:sz w:val="20"/>
                <w:szCs w:val="20"/>
                <w:lang w:val="es-CR" w:eastAsia="es-PA"/>
              </w:rPr>
              <w:t>95</w:t>
            </w:r>
          </w:p>
        </w:tc>
        <w:tc>
          <w:tcPr>
            <w:tcW w:w="596" w:type="dxa"/>
            <w:tcBorders>
              <w:top w:val="nil"/>
              <w:left w:val="nil"/>
              <w:bottom w:val="single" w:sz="4" w:space="0" w:color="auto"/>
              <w:right w:val="nil"/>
            </w:tcBorders>
            <w:shd w:val="clear" w:color="000000" w:fill="FFFFFF"/>
            <w:vAlign w:val="center"/>
            <w:hideMark/>
          </w:tcPr>
          <w:p w:rsidR="004777D8" w:rsidRPr="0043232B" w:rsidRDefault="004777D8" w:rsidP="00475BBF">
            <w:pPr>
              <w:jc w:val="center"/>
              <w:rPr>
                <w:rFonts w:ascii="Arial" w:eastAsia="Times New Roman" w:hAnsi="Arial" w:cs="Arial"/>
                <w:b/>
                <w:color w:val="000000"/>
                <w:sz w:val="20"/>
                <w:szCs w:val="20"/>
                <w:lang w:eastAsia="es-PA"/>
              </w:rPr>
            </w:pPr>
            <w:r w:rsidRPr="0043232B">
              <w:rPr>
                <w:rFonts w:ascii="Arial" w:eastAsia="Times New Roman" w:hAnsi="Arial" w:cs="Arial"/>
                <w:b/>
                <w:color w:val="000000"/>
                <w:sz w:val="20"/>
                <w:szCs w:val="20"/>
                <w:lang w:val="es-CR" w:eastAsia="es-PA"/>
              </w:rPr>
              <w:t>1.90</w:t>
            </w:r>
          </w:p>
        </w:tc>
      </w:tr>
    </w:tbl>
    <w:p w:rsidR="004777D8" w:rsidRDefault="004777D8" w:rsidP="00001D7E">
      <w:pPr>
        <w:spacing w:after="240" w:line="360" w:lineRule="auto"/>
        <w:jc w:val="right"/>
        <w:rPr>
          <w:lang w:val="es-MX"/>
        </w:rPr>
      </w:pPr>
      <w:r w:rsidRPr="0043232B">
        <w:rPr>
          <w:rFonts w:ascii="Arial" w:eastAsia="Times New Roman" w:hAnsi="Arial" w:cs="Arial"/>
          <w:b/>
          <w:color w:val="000000"/>
          <w:sz w:val="16"/>
          <w:szCs w:val="16"/>
          <w:lang w:val="es-CR" w:eastAsia="es-CR"/>
        </w:rPr>
        <w:t>Fuente:</w:t>
      </w:r>
      <w:r w:rsidRPr="00C36458">
        <w:rPr>
          <w:rFonts w:ascii="Arial" w:eastAsia="Times New Roman" w:hAnsi="Arial" w:cs="Arial"/>
          <w:color w:val="000000"/>
          <w:sz w:val="16"/>
          <w:szCs w:val="16"/>
          <w:lang w:val="es-CR" w:eastAsia="es-CR"/>
        </w:rPr>
        <w:t xml:space="preserve"> Dirección de Vigilancia</w:t>
      </w:r>
      <w:r>
        <w:rPr>
          <w:rFonts w:ascii="Arial" w:eastAsia="Times New Roman" w:hAnsi="Arial" w:cs="Arial"/>
          <w:color w:val="000000"/>
          <w:sz w:val="16"/>
          <w:szCs w:val="16"/>
          <w:lang w:val="es-CR" w:eastAsia="es-CR"/>
        </w:rPr>
        <w:t xml:space="preserve"> de la Salud, Ministerio de Salud</w:t>
      </w:r>
      <w:r w:rsidR="0043232B">
        <w:rPr>
          <w:rFonts w:ascii="Arial" w:eastAsia="Times New Roman" w:hAnsi="Arial" w:cs="Arial"/>
          <w:color w:val="000000"/>
          <w:sz w:val="16"/>
          <w:szCs w:val="16"/>
          <w:lang w:val="es-CR" w:eastAsia="es-CR"/>
        </w:rPr>
        <w:t>, 2019.</w:t>
      </w:r>
    </w:p>
    <w:p w:rsidR="00C72F8F" w:rsidRDefault="00C72F8F" w:rsidP="004777D8">
      <w:pPr>
        <w:widowControl w:val="0"/>
        <w:suppressAutoHyphens/>
        <w:spacing w:after="120" w:line="276" w:lineRule="auto"/>
        <w:jc w:val="both"/>
        <w:rPr>
          <w:rFonts w:ascii="Arial" w:eastAsia="Times New Roman" w:hAnsi="Arial" w:cs="Arial"/>
          <w:lang w:val="es-ES" w:eastAsia="es-ES"/>
        </w:rPr>
      </w:pPr>
      <w:r>
        <w:rPr>
          <w:rFonts w:ascii="Arial" w:eastAsia="Times New Roman" w:hAnsi="Arial" w:cs="Arial"/>
          <w:lang w:val="es-ES" w:eastAsia="es-ES"/>
        </w:rPr>
        <w:t>E</w:t>
      </w:r>
      <w:r w:rsidRPr="0026554C">
        <w:rPr>
          <w:rFonts w:ascii="Arial" w:eastAsia="Times New Roman" w:hAnsi="Arial" w:cs="Arial"/>
          <w:lang w:val="es-ES" w:eastAsia="es-ES"/>
        </w:rPr>
        <w:t>n el período 2015-201</w:t>
      </w:r>
      <w:r>
        <w:rPr>
          <w:rFonts w:ascii="Arial" w:eastAsia="Times New Roman" w:hAnsi="Arial" w:cs="Arial"/>
          <w:lang w:val="es-ES" w:eastAsia="es-ES"/>
        </w:rPr>
        <w:t>8</w:t>
      </w:r>
      <w:r w:rsidRPr="0026554C">
        <w:rPr>
          <w:rFonts w:ascii="Arial" w:eastAsia="Times New Roman" w:hAnsi="Arial" w:cs="Arial"/>
          <w:lang w:val="es-ES" w:eastAsia="es-ES"/>
        </w:rPr>
        <w:t xml:space="preserve">, </w:t>
      </w:r>
      <w:r>
        <w:rPr>
          <w:rFonts w:ascii="Arial" w:eastAsia="Times New Roman" w:hAnsi="Arial" w:cs="Arial"/>
          <w:lang w:val="es-ES" w:eastAsia="es-ES"/>
        </w:rPr>
        <w:t>l</w:t>
      </w:r>
      <w:r w:rsidR="004777D8" w:rsidRPr="0026554C">
        <w:rPr>
          <w:rFonts w:ascii="Arial" w:eastAsia="Times New Roman" w:hAnsi="Arial" w:cs="Arial"/>
          <w:lang w:val="es-ES" w:eastAsia="es-ES"/>
        </w:rPr>
        <w:t xml:space="preserve">os insecticidas </w:t>
      </w:r>
      <w:r>
        <w:rPr>
          <w:rFonts w:ascii="Arial" w:eastAsia="Times New Roman" w:hAnsi="Arial" w:cs="Arial"/>
          <w:lang w:val="es-ES" w:eastAsia="es-ES"/>
        </w:rPr>
        <w:t xml:space="preserve">fueron </w:t>
      </w:r>
      <w:r w:rsidR="004777D8" w:rsidRPr="0026554C">
        <w:rPr>
          <w:rFonts w:ascii="Arial" w:eastAsia="Times New Roman" w:hAnsi="Arial" w:cs="Arial"/>
          <w:lang w:val="es-ES" w:eastAsia="es-ES"/>
        </w:rPr>
        <w:t xml:space="preserve">los principales causantes de intoxicaciones </w:t>
      </w:r>
      <w:r w:rsidR="004777D8">
        <w:rPr>
          <w:rFonts w:ascii="Arial" w:eastAsia="Times New Roman" w:hAnsi="Arial" w:cs="Arial"/>
          <w:lang w:val="es-ES" w:eastAsia="es-ES"/>
        </w:rPr>
        <w:t>representan</w:t>
      </w:r>
      <w:r w:rsidR="0043232B">
        <w:rPr>
          <w:rFonts w:ascii="Arial" w:eastAsia="Times New Roman" w:hAnsi="Arial" w:cs="Arial"/>
          <w:lang w:val="es-ES" w:eastAsia="es-ES"/>
        </w:rPr>
        <w:t>do</w:t>
      </w:r>
      <w:r w:rsidR="004777D8">
        <w:rPr>
          <w:rFonts w:ascii="Arial" w:eastAsia="Times New Roman" w:hAnsi="Arial" w:cs="Arial"/>
          <w:lang w:val="es-ES" w:eastAsia="es-ES"/>
        </w:rPr>
        <w:t xml:space="preserve"> el 38% de</w:t>
      </w:r>
      <w:r>
        <w:rPr>
          <w:rFonts w:ascii="Arial" w:eastAsia="Times New Roman" w:hAnsi="Arial" w:cs="Arial"/>
          <w:lang w:val="es-ES" w:eastAsia="es-ES"/>
        </w:rPr>
        <w:t>l total del pe</w:t>
      </w:r>
      <w:r w:rsidR="004777D8">
        <w:rPr>
          <w:rFonts w:ascii="Arial" w:eastAsia="Times New Roman" w:hAnsi="Arial" w:cs="Arial"/>
          <w:lang w:val="es-ES" w:eastAsia="es-ES"/>
        </w:rPr>
        <w:t>r</w:t>
      </w:r>
      <w:r w:rsidR="0043232B">
        <w:rPr>
          <w:rFonts w:ascii="Arial" w:eastAsia="Times New Roman" w:hAnsi="Arial" w:cs="Arial"/>
          <w:lang w:val="es-ES" w:eastAsia="es-ES"/>
        </w:rPr>
        <w:t>í</w:t>
      </w:r>
      <w:r w:rsidR="004777D8">
        <w:rPr>
          <w:rFonts w:ascii="Arial" w:eastAsia="Times New Roman" w:hAnsi="Arial" w:cs="Arial"/>
          <w:lang w:val="es-ES" w:eastAsia="es-ES"/>
        </w:rPr>
        <w:t>odo</w:t>
      </w:r>
      <w:r>
        <w:rPr>
          <w:rFonts w:ascii="Arial" w:eastAsia="Times New Roman" w:hAnsi="Arial" w:cs="Arial"/>
          <w:lang w:val="es-ES" w:eastAsia="es-ES"/>
        </w:rPr>
        <w:t>; lo anterior por ser</w:t>
      </w:r>
      <w:r w:rsidR="004777D8">
        <w:rPr>
          <w:rFonts w:ascii="Arial" w:eastAsia="Times New Roman" w:hAnsi="Arial" w:cs="Arial"/>
          <w:lang w:val="es-ES" w:eastAsia="es-ES"/>
        </w:rPr>
        <w:t xml:space="preserve"> </w:t>
      </w:r>
      <w:r w:rsidR="004777D8" w:rsidRPr="00284CF3">
        <w:rPr>
          <w:rFonts w:ascii="Arial" w:eastAsia="Times New Roman" w:hAnsi="Arial" w:cs="Arial"/>
          <w:lang w:val="es-ES" w:eastAsia="es-ES"/>
        </w:rPr>
        <w:t>producto</w:t>
      </w:r>
      <w:r>
        <w:rPr>
          <w:rFonts w:ascii="Arial" w:eastAsia="Times New Roman" w:hAnsi="Arial" w:cs="Arial"/>
          <w:lang w:val="es-ES" w:eastAsia="es-ES"/>
        </w:rPr>
        <w:t>s</w:t>
      </w:r>
      <w:r w:rsidR="004777D8" w:rsidRPr="00284CF3">
        <w:rPr>
          <w:rFonts w:ascii="Arial" w:eastAsia="Times New Roman" w:hAnsi="Arial" w:cs="Arial"/>
          <w:lang w:val="es-ES" w:eastAsia="es-ES"/>
        </w:rPr>
        <w:t xml:space="preserve"> de fácil acceso</w:t>
      </w:r>
      <w:r>
        <w:rPr>
          <w:rFonts w:ascii="Arial" w:eastAsia="Times New Roman" w:hAnsi="Arial" w:cs="Arial"/>
          <w:lang w:val="es-ES" w:eastAsia="es-ES"/>
        </w:rPr>
        <w:t>, y</w:t>
      </w:r>
      <w:r w:rsidR="004777D8" w:rsidRPr="00284CF3">
        <w:rPr>
          <w:rFonts w:ascii="Arial" w:eastAsia="Times New Roman" w:hAnsi="Arial" w:cs="Arial"/>
          <w:lang w:val="es-ES" w:eastAsia="es-ES"/>
        </w:rPr>
        <w:t xml:space="preserve"> no necesitan receta de un regente para su venta como si sucede con los herbicidas</w:t>
      </w:r>
      <w:r>
        <w:rPr>
          <w:rFonts w:ascii="Arial" w:eastAsia="Times New Roman" w:hAnsi="Arial" w:cs="Arial"/>
          <w:lang w:val="es-ES" w:eastAsia="es-ES"/>
        </w:rPr>
        <w:t xml:space="preserve">. </w:t>
      </w:r>
      <w:r w:rsidR="004777D8" w:rsidRPr="00284CF3">
        <w:rPr>
          <w:rFonts w:ascii="Arial" w:eastAsia="Times New Roman" w:hAnsi="Arial" w:cs="Arial"/>
          <w:lang w:val="es-ES" w:eastAsia="es-ES"/>
        </w:rPr>
        <w:t xml:space="preserve"> </w:t>
      </w:r>
      <w:r>
        <w:rPr>
          <w:rFonts w:ascii="Arial" w:eastAsia="Times New Roman" w:hAnsi="Arial" w:cs="Arial"/>
          <w:lang w:val="es-ES" w:eastAsia="es-ES"/>
        </w:rPr>
        <w:t>É</w:t>
      </w:r>
      <w:r w:rsidR="004777D8">
        <w:rPr>
          <w:rFonts w:ascii="Arial" w:eastAsia="Times New Roman" w:hAnsi="Arial" w:cs="Arial"/>
          <w:lang w:val="es-ES" w:eastAsia="es-ES"/>
        </w:rPr>
        <w:t>stos</w:t>
      </w:r>
      <w:r w:rsidR="004777D8" w:rsidRPr="00284CF3">
        <w:rPr>
          <w:rFonts w:ascii="Arial" w:eastAsia="Times New Roman" w:hAnsi="Arial" w:cs="Arial"/>
          <w:lang w:val="es-ES" w:eastAsia="es-ES"/>
        </w:rPr>
        <w:t xml:space="preserve"> son el segundo producto que provoca más intoxicaciones</w:t>
      </w:r>
      <w:r>
        <w:rPr>
          <w:rFonts w:ascii="Arial" w:eastAsia="Times New Roman" w:hAnsi="Arial" w:cs="Arial"/>
          <w:lang w:val="es-ES" w:eastAsia="es-ES"/>
        </w:rPr>
        <w:t xml:space="preserve"> y </w:t>
      </w:r>
      <w:r w:rsidR="004777D8">
        <w:rPr>
          <w:rFonts w:ascii="Arial" w:eastAsia="Times New Roman" w:hAnsi="Arial" w:cs="Arial"/>
          <w:lang w:val="es-ES" w:eastAsia="es-ES"/>
        </w:rPr>
        <w:t>representa</w:t>
      </w:r>
      <w:r>
        <w:rPr>
          <w:rFonts w:ascii="Arial" w:eastAsia="Times New Roman" w:hAnsi="Arial" w:cs="Arial"/>
          <w:lang w:val="es-ES" w:eastAsia="es-ES"/>
        </w:rPr>
        <w:t>n</w:t>
      </w:r>
      <w:r w:rsidR="004777D8">
        <w:rPr>
          <w:rFonts w:ascii="Arial" w:eastAsia="Times New Roman" w:hAnsi="Arial" w:cs="Arial"/>
          <w:lang w:val="es-ES" w:eastAsia="es-ES"/>
        </w:rPr>
        <w:t xml:space="preserve"> </w:t>
      </w:r>
      <w:r>
        <w:rPr>
          <w:rFonts w:ascii="Arial" w:eastAsia="Times New Roman" w:hAnsi="Arial" w:cs="Arial"/>
          <w:lang w:val="es-ES" w:eastAsia="es-ES"/>
        </w:rPr>
        <w:t>la causa d</w:t>
      </w:r>
      <w:r w:rsidR="004777D8">
        <w:rPr>
          <w:rFonts w:ascii="Arial" w:eastAsia="Times New Roman" w:hAnsi="Arial" w:cs="Arial"/>
          <w:lang w:val="es-ES" w:eastAsia="es-ES"/>
        </w:rPr>
        <w:t xml:space="preserve">el 28,5% de todos los casos, además </w:t>
      </w:r>
      <w:r>
        <w:rPr>
          <w:rFonts w:ascii="Arial" w:eastAsia="Times New Roman" w:hAnsi="Arial" w:cs="Arial"/>
          <w:lang w:val="es-ES" w:eastAsia="es-ES"/>
        </w:rPr>
        <w:t>son</w:t>
      </w:r>
      <w:r w:rsidR="004777D8">
        <w:rPr>
          <w:rFonts w:ascii="Arial" w:eastAsia="Times New Roman" w:hAnsi="Arial" w:cs="Arial"/>
          <w:lang w:val="es-ES" w:eastAsia="es-ES"/>
        </w:rPr>
        <w:t xml:space="preserve"> </w:t>
      </w:r>
      <w:r>
        <w:rPr>
          <w:rFonts w:ascii="Arial" w:eastAsia="Times New Roman" w:hAnsi="Arial" w:cs="Arial"/>
          <w:lang w:val="es-ES" w:eastAsia="es-ES"/>
        </w:rPr>
        <w:t>los</w:t>
      </w:r>
      <w:r w:rsidR="004777D8">
        <w:rPr>
          <w:rFonts w:ascii="Arial" w:eastAsia="Times New Roman" w:hAnsi="Arial" w:cs="Arial"/>
          <w:lang w:val="es-ES" w:eastAsia="es-ES"/>
        </w:rPr>
        <w:t xml:space="preserve"> preferido</w:t>
      </w:r>
      <w:r>
        <w:rPr>
          <w:rFonts w:ascii="Arial" w:eastAsia="Times New Roman" w:hAnsi="Arial" w:cs="Arial"/>
          <w:lang w:val="es-ES" w:eastAsia="es-ES"/>
        </w:rPr>
        <w:t>s</w:t>
      </w:r>
      <w:r w:rsidR="004777D8">
        <w:rPr>
          <w:rFonts w:ascii="Arial" w:eastAsia="Times New Roman" w:hAnsi="Arial" w:cs="Arial"/>
          <w:lang w:val="es-ES" w:eastAsia="es-ES"/>
        </w:rPr>
        <w:t xml:space="preserve"> para el suicidio</w:t>
      </w:r>
      <w:r>
        <w:rPr>
          <w:rFonts w:ascii="Arial" w:eastAsia="Times New Roman" w:hAnsi="Arial" w:cs="Arial"/>
          <w:lang w:val="es-ES" w:eastAsia="es-ES"/>
        </w:rPr>
        <w:t>,</w:t>
      </w:r>
      <w:r w:rsidR="004777D8">
        <w:rPr>
          <w:rFonts w:ascii="Arial" w:eastAsia="Times New Roman" w:hAnsi="Arial" w:cs="Arial"/>
          <w:lang w:val="es-ES" w:eastAsia="es-ES"/>
        </w:rPr>
        <w:t xml:space="preserve"> </w:t>
      </w:r>
      <w:r w:rsidR="004777D8" w:rsidRPr="00284CF3">
        <w:rPr>
          <w:rFonts w:ascii="Arial" w:eastAsia="Times New Roman" w:hAnsi="Arial" w:cs="Arial"/>
          <w:lang w:val="es-ES" w:eastAsia="es-ES"/>
        </w:rPr>
        <w:t>las intoxicaciones de tipo laboral y las laborales sin pago</w:t>
      </w:r>
      <w:r w:rsidR="004777D8">
        <w:rPr>
          <w:rFonts w:ascii="Arial" w:eastAsia="Times New Roman" w:hAnsi="Arial" w:cs="Arial"/>
          <w:lang w:val="es-ES" w:eastAsia="es-ES"/>
        </w:rPr>
        <w:t xml:space="preserve">. </w:t>
      </w:r>
    </w:p>
    <w:p w:rsidR="004777D8" w:rsidRDefault="004777D8" w:rsidP="00C72F8F">
      <w:pPr>
        <w:widowControl w:val="0"/>
        <w:suppressAutoHyphens/>
        <w:spacing w:before="240" w:after="120" w:line="276" w:lineRule="auto"/>
        <w:jc w:val="both"/>
        <w:rPr>
          <w:rFonts w:ascii="Arial" w:eastAsia="Times New Roman" w:hAnsi="Arial" w:cs="Arial"/>
          <w:lang w:val="es-ES" w:eastAsia="es-ES"/>
        </w:rPr>
      </w:pPr>
      <w:r>
        <w:rPr>
          <w:rFonts w:ascii="Arial" w:eastAsia="Times New Roman" w:hAnsi="Arial" w:cs="Arial"/>
          <w:lang w:val="es-ES" w:eastAsia="es-ES"/>
        </w:rPr>
        <w:t>S</w:t>
      </w:r>
      <w:r w:rsidRPr="0026554C">
        <w:rPr>
          <w:rFonts w:ascii="Arial" w:eastAsia="Times New Roman" w:hAnsi="Arial" w:cs="Arial"/>
          <w:lang w:val="es-ES" w:eastAsia="es-ES"/>
        </w:rPr>
        <w:t>in embargo, en el año 2016</w:t>
      </w:r>
      <w:r w:rsidR="00C72F8F">
        <w:rPr>
          <w:rFonts w:ascii="Arial" w:eastAsia="Times New Roman" w:hAnsi="Arial" w:cs="Arial"/>
          <w:lang w:val="es-ES" w:eastAsia="es-ES"/>
        </w:rPr>
        <w:t>,</w:t>
      </w:r>
      <w:r w:rsidRPr="0026554C">
        <w:rPr>
          <w:rFonts w:ascii="Arial" w:eastAsia="Times New Roman" w:hAnsi="Arial" w:cs="Arial"/>
          <w:lang w:val="es-ES" w:eastAsia="es-ES"/>
        </w:rPr>
        <w:t xml:space="preserve"> </w:t>
      </w:r>
      <w:r w:rsidR="00C72F8F" w:rsidRPr="0026554C">
        <w:rPr>
          <w:rFonts w:ascii="Arial" w:eastAsia="Times New Roman" w:hAnsi="Arial" w:cs="Arial"/>
          <w:lang w:val="es-ES" w:eastAsia="es-ES"/>
        </w:rPr>
        <w:t xml:space="preserve">no se logró identificar el tipo de plaguicida </w:t>
      </w:r>
      <w:r w:rsidR="00C72F8F">
        <w:rPr>
          <w:rFonts w:ascii="Arial" w:eastAsia="Times New Roman" w:hAnsi="Arial" w:cs="Arial"/>
          <w:lang w:val="es-ES" w:eastAsia="es-ES"/>
        </w:rPr>
        <w:t xml:space="preserve">involucrado </w:t>
      </w:r>
      <w:r w:rsidRPr="0026554C">
        <w:rPr>
          <w:rFonts w:ascii="Arial" w:eastAsia="Times New Roman" w:hAnsi="Arial" w:cs="Arial"/>
          <w:lang w:val="es-ES" w:eastAsia="es-ES"/>
        </w:rPr>
        <w:t xml:space="preserve">en 70 </w:t>
      </w:r>
      <w:r w:rsidR="00C72F8F">
        <w:rPr>
          <w:rFonts w:ascii="Arial" w:eastAsia="Times New Roman" w:hAnsi="Arial" w:cs="Arial"/>
          <w:lang w:val="es-ES" w:eastAsia="es-ES"/>
        </w:rPr>
        <w:t>(35%) del</w:t>
      </w:r>
      <w:r>
        <w:rPr>
          <w:rFonts w:ascii="Arial" w:eastAsia="Times New Roman" w:hAnsi="Arial" w:cs="Arial"/>
          <w:lang w:val="es-ES" w:eastAsia="es-ES"/>
        </w:rPr>
        <w:t xml:space="preserve"> total de </w:t>
      </w:r>
      <w:r w:rsidR="00C72F8F">
        <w:rPr>
          <w:rFonts w:ascii="Arial" w:eastAsia="Times New Roman" w:hAnsi="Arial" w:cs="Arial"/>
          <w:lang w:val="es-ES" w:eastAsia="es-ES"/>
        </w:rPr>
        <w:t xml:space="preserve">intoxicaciones </w:t>
      </w:r>
      <w:r>
        <w:rPr>
          <w:rFonts w:ascii="Arial" w:eastAsia="Times New Roman" w:hAnsi="Arial" w:cs="Arial"/>
          <w:lang w:val="es-ES" w:eastAsia="es-ES"/>
        </w:rPr>
        <w:t>notificad</w:t>
      </w:r>
      <w:r w:rsidR="00C72F8F">
        <w:rPr>
          <w:rFonts w:ascii="Arial" w:eastAsia="Times New Roman" w:hAnsi="Arial" w:cs="Arial"/>
          <w:lang w:val="es-ES" w:eastAsia="es-ES"/>
        </w:rPr>
        <w:t>a</w:t>
      </w:r>
      <w:r>
        <w:rPr>
          <w:rFonts w:ascii="Arial" w:eastAsia="Times New Roman" w:hAnsi="Arial" w:cs="Arial"/>
          <w:lang w:val="es-ES" w:eastAsia="es-ES"/>
        </w:rPr>
        <w:t>s</w:t>
      </w:r>
      <w:r w:rsidR="00C72F8F">
        <w:rPr>
          <w:rFonts w:ascii="Arial" w:eastAsia="Times New Roman" w:hAnsi="Arial" w:cs="Arial"/>
          <w:lang w:val="es-ES" w:eastAsia="es-ES"/>
        </w:rPr>
        <w:t xml:space="preserve">. </w:t>
      </w:r>
    </w:p>
    <w:p w:rsidR="004777D8" w:rsidRPr="00C72F8F" w:rsidRDefault="00C72F8F" w:rsidP="00C72F8F">
      <w:pPr>
        <w:widowControl w:val="0"/>
        <w:suppressAutoHyphens/>
        <w:jc w:val="center"/>
        <w:rPr>
          <w:rFonts w:ascii="Arial" w:eastAsia="Times New Roman" w:hAnsi="Arial" w:cs="Arial"/>
          <w:b/>
          <w:lang w:val="es-ES" w:eastAsia="es-ES"/>
        </w:rPr>
      </w:pPr>
      <w:r w:rsidRPr="00C72F8F">
        <w:rPr>
          <w:rFonts w:ascii="Arial" w:eastAsia="Times New Roman" w:hAnsi="Arial" w:cs="Arial"/>
          <w:b/>
          <w:lang w:val="es-ES" w:eastAsia="es-ES"/>
        </w:rPr>
        <w:t>Cuadro 2</w:t>
      </w:r>
      <w:r w:rsidR="00A308AA">
        <w:rPr>
          <w:rFonts w:ascii="Arial" w:eastAsia="Times New Roman" w:hAnsi="Arial" w:cs="Arial"/>
          <w:b/>
          <w:lang w:val="es-ES" w:eastAsia="es-ES"/>
        </w:rPr>
        <w:t>2</w:t>
      </w:r>
    </w:p>
    <w:p w:rsidR="00C72F8F" w:rsidRDefault="004777D8" w:rsidP="00C72F8F">
      <w:pPr>
        <w:jc w:val="center"/>
        <w:rPr>
          <w:rFonts w:ascii="Arial" w:eastAsia="Times New Roman" w:hAnsi="Arial" w:cs="Arial"/>
          <w:b/>
          <w:lang w:val="es-ES" w:eastAsia="es-ES"/>
        </w:rPr>
      </w:pPr>
      <w:r w:rsidRPr="00C72F8F">
        <w:rPr>
          <w:rFonts w:ascii="Arial" w:eastAsia="Times New Roman" w:hAnsi="Arial" w:cs="Arial"/>
          <w:b/>
          <w:lang w:val="es-ES" w:eastAsia="es-ES"/>
        </w:rPr>
        <w:t xml:space="preserve">Costa Rica: Casos de </w:t>
      </w:r>
      <w:r w:rsidR="00C72F8F">
        <w:rPr>
          <w:rFonts w:ascii="Arial" w:eastAsia="Times New Roman" w:hAnsi="Arial" w:cs="Arial"/>
          <w:b/>
          <w:lang w:val="es-ES" w:eastAsia="es-ES"/>
        </w:rPr>
        <w:t>i</w:t>
      </w:r>
      <w:r w:rsidRPr="00C72F8F">
        <w:rPr>
          <w:rFonts w:ascii="Arial" w:eastAsia="Times New Roman" w:hAnsi="Arial" w:cs="Arial"/>
          <w:b/>
          <w:lang w:val="es-ES" w:eastAsia="es-ES"/>
        </w:rPr>
        <w:t xml:space="preserve">ntoxicaciones </w:t>
      </w:r>
      <w:r w:rsidR="00C72F8F">
        <w:rPr>
          <w:rFonts w:ascii="Arial" w:eastAsia="Times New Roman" w:hAnsi="Arial" w:cs="Arial"/>
          <w:b/>
          <w:lang w:val="es-ES" w:eastAsia="es-ES"/>
        </w:rPr>
        <w:t>a</w:t>
      </w:r>
      <w:r w:rsidRPr="00C72F8F">
        <w:rPr>
          <w:rFonts w:ascii="Arial" w:eastAsia="Times New Roman" w:hAnsi="Arial" w:cs="Arial"/>
          <w:b/>
          <w:lang w:val="es-ES" w:eastAsia="es-ES"/>
        </w:rPr>
        <w:t xml:space="preserve">gudas por </w:t>
      </w:r>
      <w:r w:rsidR="00C72F8F">
        <w:rPr>
          <w:rFonts w:ascii="Arial" w:eastAsia="Times New Roman" w:hAnsi="Arial" w:cs="Arial"/>
          <w:b/>
          <w:lang w:val="es-ES" w:eastAsia="es-ES"/>
        </w:rPr>
        <w:t>p</w:t>
      </w:r>
      <w:r w:rsidRPr="00C72F8F">
        <w:rPr>
          <w:rFonts w:ascii="Arial" w:eastAsia="Times New Roman" w:hAnsi="Arial" w:cs="Arial"/>
          <w:b/>
          <w:lang w:val="es-ES" w:eastAsia="es-ES"/>
        </w:rPr>
        <w:t>laguicidas</w:t>
      </w:r>
      <w:r w:rsidR="00C72F8F">
        <w:rPr>
          <w:rFonts w:ascii="Arial" w:eastAsia="Times New Roman" w:hAnsi="Arial" w:cs="Arial"/>
          <w:b/>
          <w:lang w:val="es-ES" w:eastAsia="es-ES"/>
        </w:rPr>
        <w:t>,</w:t>
      </w:r>
    </w:p>
    <w:p w:rsidR="00C72F8F" w:rsidRDefault="004777D8" w:rsidP="00C72F8F">
      <w:pPr>
        <w:jc w:val="center"/>
        <w:rPr>
          <w:rFonts w:ascii="Arial" w:eastAsia="Times New Roman" w:hAnsi="Arial" w:cs="Arial"/>
          <w:b/>
          <w:lang w:val="es-ES" w:eastAsia="es-ES"/>
        </w:rPr>
      </w:pPr>
      <w:r w:rsidRPr="00C72F8F">
        <w:rPr>
          <w:rFonts w:ascii="Arial" w:eastAsia="Times New Roman" w:hAnsi="Arial" w:cs="Arial"/>
          <w:b/>
          <w:lang w:val="es-ES" w:eastAsia="es-ES"/>
        </w:rPr>
        <w:t xml:space="preserve"> según acción biocida, 2015-2018 </w:t>
      </w:r>
    </w:p>
    <w:p w:rsidR="004777D8" w:rsidRPr="00C72F8F" w:rsidRDefault="004777D8" w:rsidP="00C72F8F">
      <w:pPr>
        <w:jc w:val="center"/>
        <w:rPr>
          <w:rFonts w:ascii="Arial" w:eastAsia="Times New Roman" w:hAnsi="Arial" w:cs="Arial"/>
          <w:sz w:val="20"/>
          <w:szCs w:val="20"/>
          <w:lang w:val="es-ES" w:eastAsia="es-ES"/>
        </w:rPr>
      </w:pPr>
      <w:r w:rsidRPr="00C72F8F">
        <w:rPr>
          <w:rFonts w:ascii="Arial" w:eastAsia="Times New Roman" w:hAnsi="Arial" w:cs="Arial"/>
          <w:sz w:val="20"/>
          <w:szCs w:val="20"/>
          <w:lang w:val="es-ES" w:eastAsia="es-ES"/>
        </w:rPr>
        <w:t>(</w:t>
      </w:r>
      <w:r w:rsidR="00C72F8F" w:rsidRPr="00C72F8F">
        <w:rPr>
          <w:rFonts w:ascii="Arial" w:eastAsia="Times New Roman" w:hAnsi="Arial" w:cs="Arial"/>
          <w:sz w:val="20"/>
          <w:szCs w:val="20"/>
          <w:lang w:val="es-ES" w:eastAsia="es-ES"/>
        </w:rPr>
        <w:t>p</w:t>
      </w:r>
      <w:r w:rsidRPr="00C72F8F">
        <w:rPr>
          <w:rFonts w:ascii="Arial" w:eastAsia="Times New Roman" w:hAnsi="Arial" w:cs="Arial"/>
          <w:sz w:val="20"/>
          <w:szCs w:val="20"/>
          <w:lang w:val="es-ES" w:eastAsia="es-ES"/>
        </w:rPr>
        <w:t>orcentaje acumulado)</w:t>
      </w:r>
    </w:p>
    <w:tbl>
      <w:tblPr>
        <w:tblW w:w="7301" w:type="dxa"/>
        <w:jc w:val="center"/>
        <w:tblCellMar>
          <w:left w:w="70" w:type="dxa"/>
          <w:right w:w="70" w:type="dxa"/>
        </w:tblCellMar>
        <w:tblLook w:val="04A0" w:firstRow="1" w:lastRow="0" w:firstColumn="1" w:lastColumn="0" w:noHBand="0" w:noVBand="1"/>
      </w:tblPr>
      <w:tblGrid>
        <w:gridCol w:w="2275"/>
        <w:gridCol w:w="3291"/>
        <w:gridCol w:w="1735"/>
      </w:tblGrid>
      <w:tr w:rsidR="004777D8" w:rsidRPr="00001D7E" w:rsidTr="00001D7E">
        <w:trPr>
          <w:trHeight w:val="386"/>
          <w:jc w:val="center"/>
        </w:trPr>
        <w:tc>
          <w:tcPr>
            <w:tcW w:w="2275" w:type="dxa"/>
            <w:vMerge w:val="restart"/>
            <w:tcBorders>
              <w:top w:val="single" w:sz="4" w:space="0" w:color="auto"/>
              <w:left w:val="nil"/>
              <w:bottom w:val="single" w:sz="4" w:space="0" w:color="000000"/>
              <w:right w:val="nil"/>
            </w:tcBorders>
            <w:shd w:val="clear" w:color="auto" w:fill="D5DCE4" w:themeFill="text2" w:themeFillTint="33"/>
            <w:noWrap/>
            <w:vAlign w:val="center"/>
            <w:hideMark/>
          </w:tcPr>
          <w:bookmarkEnd w:id="28"/>
          <w:p w:rsidR="004777D8" w:rsidRPr="00001D7E" w:rsidRDefault="004777D8" w:rsidP="00475BBF">
            <w:pPr>
              <w:rPr>
                <w:rFonts w:ascii="Arial" w:eastAsia="Times New Roman" w:hAnsi="Arial" w:cs="Arial"/>
                <w:b/>
                <w:bCs/>
                <w:color w:val="000000"/>
                <w:sz w:val="22"/>
                <w:szCs w:val="22"/>
                <w:lang w:eastAsia="es-PA"/>
              </w:rPr>
            </w:pPr>
            <w:r w:rsidRPr="00001D7E">
              <w:rPr>
                <w:rFonts w:ascii="Arial" w:eastAsia="Times New Roman" w:hAnsi="Arial" w:cs="Arial"/>
                <w:b/>
                <w:bCs/>
                <w:color w:val="000000"/>
                <w:sz w:val="22"/>
                <w:szCs w:val="22"/>
                <w:lang w:val="es-CR" w:eastAsia="es-PA"/>
              </w:rPr>
              <w:t>Acción biocida</w:t>
            </w:r>
          </w:p>
        </w:tc>
        <w:tc>
          <w:tcPr>
            <w:tcW w:w="5026"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77D8" w:rsidRPr="00001D7E" w:rsidRDefault="004777D8" w:rsidP="00475BBF">
            <w:pPr>
              <w:jc w:val="center"/>
              <w:rPr>
                <w:rFonts w:ascii="Calibri" w:eastAsia="Times New Roman" w:hAnsi="Calibri"/>
                <w:b/>
                <w:bCs/>
                <w:color w:val="000000"/>
                <w:sz w:val="22"/>
                <w:szCs w:val="22"/>
                <w:lang w:eastAsia="es-PA"/>
              </w:rPr>
            </w:pPr>
            <w:r w:rsidRPr="00001D7E">
              <w:rPr>
                <w:rFonts w:ascii="Calibri" w:eastAsia="Times New Roman" w:hAnsi="Calibri"/>
                <w:b/>
                <w:bCs/>
                <w:color w:val="000000"/>
                <w:sz w:val="22"/>
                <w:szCs w:val="22"/>
                <w:lang w:eastAsia="es-PA"/>
              </w:rPr>
              <w:t>2015-2018</w:t>
            </w:r>
          </w:p>
        </w:tc>
      </w:tr>
      <w:tr w:rsidR="004777D8" w:rsidRPr="00001D7E" w:rsidTr="00001D7E">
        <w:trPr>
          <w:trHeight w:val="278"/>
          <w:jc w:val="center"/>
        </w:trPr>
        <w:tc>
          <w:tcPr>
            <w:tcW w:w="2275" w:type="dxa"/>
            <w:vMerge/>
            <w:tcBorders>
              <w:top w:val="single" w:sz="4" w:space="0" w:color="auto"/>
              <w:left w:val="nil"/>
              <w:bottom w:val="single" w:sz="4" w:space="0" w:color="000000"/>
              <w:right w:val="nil"/>
            </w:tcBorders>
            <w:shd w:val="clear" w:color="auto" w:fill="D5DCE4" w:themeFill="text2" w:themeFillTint="33"/>
            <w:vAlign w:val="center"/>
            <w:hideMark/>
          </w:tcPr>
          <w:p w:rsidR="004777D8" w:rsidRPr="00001D7E" w:rsidRDefault="004777D8" w:rsidP="00475BBF">
            <w:pPr>
              <w:rPr>
                <w:rFonts w:ascii="Arial" w:eastAsia="Times New Roman" w:hAnsi="Arial" w:cs="Arial"/>
                <w:b/>
                <w:bCs/>
                <w:color w:val="000000"/>
                <w:sz w:val="22"/>
                <w:szCs w:val="22"/>
                <w:lang w:eastAsia="es-PA"/>
              </w:rPr>
            </w:pPr>
          </w:p>
        </w:tc>
        <w:tc>
          <w:tcPr>
            <w:tcW w:w="3291" w:type="dxa"/>
            <w:tcBorders>
              <w:top w:val="nil"/>
              <w:left w:val="nil"/>
              <w:bottom w:val="single" w:sz="4" w:space="0" w:color="auto"/>
              <w:right w:val="nil"/>
            </w:tcBorders>
            <w:shd w:val="clear" w:color="auto" w:fill="D5DCE4" w:themeFill="text2" w:themeFillTint="33"/>
            <w:vAlign w:val="center"/>
            <w:hideMark/>
          </w:tcPr>
          <w:p w:rsidR="004777D8" w:rsidRPr="00001D7E" w:rsidRDefault="00001D7E" w:rsidP="00001D7E">
            <w:pPr>
              <w:jc w:val="center"/>
              <w:rPr>
                <w:rFonts w:ascii="Arial" w:eastAsia="Times New Roman" w:hAnsi="Arial" w:cs="Arial"/>
                <w:b/>
                <w:bCs/>
                <w:color w:val="000000"/>
                <w:sz w:val="22"/>
                <w:szCs w:val="22"/>
                <w:lang w:eastAsia="es-PA"/>
              </w:rPr>
            </w:pPr>
            <w:r>
              <w:rPr>
                <w:rFonts w:ascii="Arial" w:eastAsia="Times New Roman" w:hAnsi="Arial" w:cs="Arial"/>
                <w:b/>
                <w:bCs/>
                <w:color w:val="000000"/>
                <w:sz w:val="22"/>
                <w:szCs w:val="22"/>
                <w:lang w:val="es-CR" w:eastAsia="es-PA"/>
              </w:rPr>
              <w:t>Número</w:t>
            </w:r>
          </w:p>
        </w:tc>
        <w:tc>
          <w:tcPr>
            <w:tcW w:w="1735" w:type="dxa"/>
            <w:tcBorders>
              <w:top w:val="nil"/>
              <w:left w:val="nil"/>
              <w:bottom w:val="single" w:sz="4" w:space="0" w:color="auto"/>
              <w:right w:val="nil"/>
            </w:tcBorders>
            <w:shd w:val="clear" w:color="auto" w:fill="D5DCE4" w:themeFill="text2" w:themeFillTint="33"/>
            <w:noWrap/>
            <w:vAlign w:val="center"/>
            <w:hideMark/>
          </w:tcPr>
          <w:p w:rsidR="004777D8" w:rsidRPr="00001D7E" w:rsidRDefault="004777D8" w:rsidP="00475BBF">
            <w:pPr>
              <w:jc w:val="center"/>
              <w:rPr>
                <w:rFonts w:ascii="Arial" w:eastAsia="Times New Roman" w:hAnsi="Arial" w:cs="Arial"/>
                <w:b/>
                <w:bCs/>
                <w:color w:val="000000"/>
                <w:sz w:val="22"/>
                <w:szCs w:val="22"/>
                <w:lang w:eastAsia="es-PA"/>
              </w:rPr>
            </w:pPr>
            <w:r w:rsidRPr="00001D7E">
              <w:rPr>
                <w:rFonts w:ascii="Arial" w:eastAsia="Times New Roman" w:hAnsi="Arial" w:cs="Arial"/>
                <w:b/>
                <w:bCs/>
                <w:color w:val="000000"/>
                <w:sz w:val="22"/>
                <w:szCs w:val="22"/>
                <w:lang w:val="es-CR" w:eastAsia="es-PA"/>
              </w:rPr>
              <w:t>Porcentaje</w:t>
            </w:r>
          </w:p>
        </w:tc>
      </w:tr>
      <w:tr w:rsidR="004777D8" w:rsidRPr="00001D7E" w:rsidTr="00001D7E">
        <w:trPr>
          <w:trHeight w:val="410"/>
          <w:jc w:val="center"/>
        </w:trPr>
        <w:tc>
          <w:tcPr>
            <w:tcW w:w="2275" w:type="dxa"/>
            <w:tcBorders>
              <w:top w:val="nil"/>
              <w:left w:val="nil"/>
              <w:bottom w:val="nil"/>
              <w:right w:val="nil"/>
            </w:tcBorders>
            <w:shd w:val="clear" w:color="000000" w:fill="FFFFFF"/>
            <w:noWrap/>
            <w:vAlign w:val="center"/>
            <w:hideMark/>
          </w:tcPr>
          <w:p w:rsidR="004777D8" w:rsidRPr="00001D7E" w:rsidRDefault="004777D8" w:rsidP="00475BBF">
            <w:pPr>
              <w:rPr>
                <w:rFonts w:ascii="Calibri" w:eastAsia="Times New Roman" w:hAnsi="Calibri"/>
                <w:color w:val="000000"/>
                <w:sz w:val="22"/>
                <w:szCs w:val="22"/>
                <w:lang w:eastAsia="es-PA"/>
              </w:rPr>
            </w:pPr>
            <w:r w:rsidRPr="00001D7E">
              <w:rPr>
                <w:rFonts w:ascii="Calibri" w:eastAsia="Times New Roman" w:hAnsi="Calibri"/>
                <w:color w:val="000000"/>
                <w:sz w:val="22"/>
                <w:szCs w:val="22"/>
                <w:lang w:val="es-CR" w:eastAsia="es-PA"/>
              </w:rPr>
              <w:t>Insecticida</w:t>
            </w:r>
          </w:p>
        </w:tc>
        <w:tc>
          <w:tcPr>
            <w:tcW w:w="3291"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233</w:t>
            </w:r>
          </w:p>
        </w:tc>
        <w:tc>
          <w:tcPr>
            <w:tcW w:w="1735"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37.95%</w:t>
            </w:r>
          </w:p>
        </w:tc>
      </w:tr>
      <w:tr w:rsidR="004777D8" w:rsidRPr="00001D7E" w:rsidTr="00001D7E">
        <w:trPr>
          <w:trHeight w:val="410"/>
          <w:jc w:val="center"/>
        </w:trPr>
        <w:tc>
          <w:tcPr>
            <w:tcW w:w="2275" w:type="dxa"/>
            <w:tcBorders>
              <w:top w:val="nil"/>
              <w:left w:val="nil"/>
              <w:bottom w:val="nil"/>
              <w:right w:val="nil"/>
            </w:tcBorders>
            <w:shd w:val="clear" w:color="000000" w:fill="FFFFFF"/>
            <w:noWrap/>
            <w:vAlign w:val="center"/>
            <w:hideMark/>
          </w:tcPr>
          <w:p w:rsidR="004777D8" w:rsidRPr="00001D7E" w:rsidRDefault="004777D8" w:rsidP="00475BBF">
            <w:pPr>
              <w:rPr>
                <w:rFonts w:ascii="Calibri" w:eastAsia="Times New Roman" w:hAnsi="Calibri"/>
                <w:color w:val="000000"/>
                <w:sz w:val="22"/>
                <w:szCs w:val="22"/>
                <w:lang w:eastAsia="es-PA"/>
              </w:rPr>
            </w:pPr>
            <w:r w:rsidRPr="00001D7E">
              <w:rPr>
                <w:rFonts w:ascii="Calibri" w:eastAsia="Times New Roman" w:hAnsi="Calibri"/>
                <w:color w:val="000000"/>
                <w:sz w:val="22"/>
                <w:szCs w:val="22"/>
                <w:lang w:val="es-CR" w:eastAsia="es-PA"/>
              </w:rPr>
              <w:t>Herbicida</w:t>
            </w:r>
          </w:p>
        </w:tc>
        <w:tc>
          <w:tcPr>
            <w:tcW w:w="3291"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175</w:t>
            </w:r>
          </w:p>
        </w:tc>
        <w:tc>
          <w:tcPr>
            <w:tcW w:w="1735"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28.50%</w:t>
            </w:r>
          </w:p>
        </w:tc>
      </w:tr>
      <w:tr w:rsidR="004777D8" w:rsidRPr="00001D7E" w:rsidTr="00001D7E">
        <w:trPr>
          <w:trHeight w:val="410"/>
          <w:jc w:val="center"/>
        </w:trPr>
        <w:tc>
          <w:tcPr>
            <w:tcW w:w="2275" w:type="dxa"/>
            <w:tcBorders>
              <w:top w:val="nil"/>
              <w:left w:val="nil"/>
              <w:bottom w:val="nil"/>
              <w:right w:val="nil"/>
            </w:tcBorders>
            <w:shd w:val="clear" w:color="000000" w:fill="FFFFFF"/>
            <w:noWrap/>
            <w:vAlign w:val="center"/>
            <w:hideMark/>
          </w:tcPr>
          <w:p w:rsidR="004777D8" w:rsidRPr="00001D7E" w:rsidRDefault="004777D8" w:rsidP="00475BBF">
            <w:pPr>
              <w:rPr>
                <w:rFonts w:ascii="Calibri" w:eastAsia="Times New Roman" w:hAnsi="Calibri"/>
                <w:color w:val="000000"/>
                <w:sz w:val="22"/>
                <w:szCs w:val="22"/>
                <w:lang w:eastAsia="es-PA"/>
              </w:rPr>
            </w:pPr>
            <w:r w:rsidRPr="00001D7E">
              <w:rPr>
                <w:rFonts w:ascii="Calibri" w:eastAsia="Times New Roman" w:hAnsi="Calibri"/>
                <w:color w:val="000000"/>
                <w:sz w:val="22"/>
                <w:szCs w:val="22"/>
                <w:lang w:val="es-CR" w:eastAsia="es-PA"/>
              </w:rPr>
              <w:t>Fungicida</w:t>
            </w:r>
          </w:p>
        </w:tc>
        <w:tc>
          <w:tcPr>
            <w:tcW w:w="3291"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25</w:t>
            </w:r>
          </w:p>
        </w:tc>
        <w:tc>
          <w:tcPr>
            <w:tcW w:w="1735"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4.07%</w:t>
            </w:r>
          </w:p>
        </w:tc>
      </w:tr>
      <w:tr w:rsidR="004777D8" w:rsidRPr="00001D7E" w:rsidTr="00001D7E">
        <w:trPr>
          <w:trHeight w:val="410"/>
          <w:jc w:val="center"/>
        </w:trPr>
        <w:tc>
          <w:tcPr>
            <w:tcW w:w="2275" w:type="dxa"/>
            <w:tcBorders>
              <w:top w:val="nil"/>
              <w:left w:val="nil"/>
              <w:bottom w:val="nil"/>
              <w:right w:val="nil"/>
            </w:tcBorders>
            <w:shd w:val="clear" w:color="000000" w:fill="FFFFFF"/>
            <w:noWrap/>
            <w:vAlign w:val="center"/>
            <w:hideMark/>
          </w:tcPr>
          <w:p w:rsidR="004777D8" w:rsidRPr="00001D7E" w:rsidRDefault="004777D8" w:rsidP="00475BBF">
            <w:pPr>
              <w:rPr>
                <w:rFonts w:ascii="Calibri" w:eastAsia="Times New Roman" w:hAnsi="Calibri"/>
                <w:color w:val="000000"/>
                <w:sz w:val="22"/>
                <w:szCs w:val="22"/>
                <w:lang w:eastAsia="es-PA"/>
              </w:rPr>
            </w:pPr>
            <w:r w:rsidRPr="00001D7E">
              <w:rPr>
                <w:rFonts w:ascii="Calibri" w:eastAsia="Times New Roman" w:hAnsi="Calibri"/>
                <w:color w:val="000000"/>
                <w:sz w:val="22"/>
                <w:szCs w:val="22"/>
                <w:lang w:val="es-CR" w:eastAsia="es-PA"/>
              </w:rPr>
              <w:t>Nematicida</w:t>
            </w:r>
          </w:p>
        </w:tc>
        <w:tc>
          <w:tcPr>
            <w:tcW w:w="3291"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18</w:t>
            </w:r>
          </w:p>
        </w:tc>
        <w:tc>
          <w:tcPr>
            <w:tcW w:w="1735"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2.93%</w:t>
            </w:r>
          </w:p>
        </w:tc>
      </w:tr>
      <w:tr w:rsidR="004777D8" w:rsidRPr="00001D7E" w:rsidTr="00001D7E">
        <w:trPr>
          <w:trHeight w:val="410"/>
          <w:jc w:val="center"/>
        </w:trPr>
        <w:tc>
          <w:tcPr>
            <w:tcW w:w="2275" w:type="dxa"/>
            <w:tcBorders>
              <w:top w:val="nil"/>
              <w:left w:val="nil"/>
              <w:bottom w:val="nil"/>
              <w:right w:val="nil"/>
            </w:tcBorders>
            <w:shd w:val="clear" w:color="000000" w:fill="FFFFFF"/>
            <w:noWrap/>
            <w:vAlign w:val="center"/>
            <w:hideMark/>
          </w:tcPr>
          <w:p w:rsidR="004777D8" w:rsidRPr="00001D7E" w:rsidRDefault="004777D8" w:rsidP="00475BBF">
            <w:pPr>
              <w:rPr>
                <w:rFonts w:ascii="Calibri" w:eastAsia="Times New Roman" w:hAnsi="Calibri"/>
                <w:color w:val="000000"/>
                <w:sz w:val="22"/>
                <w:szCs w:val="22"/>
                <w:lang w:eastAsia="es-PA"/>
              </w:rPr>
            </w:pPr>
            <w:r w:rsidRPr="00001D7E">
              <w:rPr>
                <w:rFonts w:ascii="Calibri" w:eastAsia="Times New Roman" w:hAnsi="Calibri"/>
                <w:color w:val="000000"/>
                <w:sz w:val="22"/>
                <w:szCs w:val="22"/>
                <w:lang w:val="es-CR" w:eastAsia="es-PA"/>
              </w:rPr>
              <w:t>Otros</w:t>
            </w:r>
          </w:p>
        </w:tc>
        <w:tc>
          <w:tcPr>
            <w:tcW w:w="3291"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46</w:t>
            </w:r>
          </w:p>
        </w:tc>
        <w:tc>
          <w:tcPr>
            <w:tcW w:w="1735" w:type="dxa"/>
            <w:tcBorders>
              <w:top w:val="nil"/>
              <w:left w:val="nil"/>
              <w:bottom w:val="nil"/>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7.49%</w:t>
            </w:r>
          </w:p>
        </w:tc>
      </w:tr>
      <w:tr w:rsidR="004777D8" w:rsidRPr="00001D7E" w:rsidTr="00001D7E">
        <w:trPr>
          <w:trHeight w:val="410"/>
          <w:jc w:val="center"/>
        </w:trPr>
        <w:tc>
          <w:tcPr>
            <w:tcW w:w="2275" w:type="dxa"/>
            <w:tcBorders>
              <w:top w:val="nil"/>
              <w:left w:val="nil"/>
              <w:bottom w:val="nil"/>
              <w:right w:val="nil"/>
            </w:tcBorders>
            <w:shd w:val="clear" w:color="000000" w:fill="FFFFFF"/>
            <w:noWrap/>
            <w:vAlign w:val="center"/>
            <w:hideMark/>
          </w:tcPr>
          <w:p w:rsidR="004777D8" w:rsidRPr="00001D7E" w:rsidRDefault="004777D8" w:rsidP="00475BBF">
            <w:pPr>
              <w:rPr>
                <w:rFonts w:ascii="Calibri" w:eastAsia="Times New Roman" w:hAnsi="Calibri"/>
                <w:color w:val="000000"/>
                <w:sz w:val="22"/>
                <w:szCs w:val="22"/>
                <w:lang w:eastAsia="es-PA"/>
              </w:rPr>
            </w:pPr>
            <w:r w:rsidRPr="00001D7E">
              <w:rPr>
                <w:rFonts w:ascii="Calibri" w:eastAsia="Times New Roman" w:hAnsi="Calibri"/>
                <w:color w:val="000000"/>
                <w:sz w:val="22"/>
                <w:szCs w:val="22"/>
                <w:lang w:val="es-CR" w:eastAsia="es-PA"/>
              </w:rPr>
              <w:t>Sin datos</w:t>
            </w:r>
          </w:p>
        </w:tc>
        <w:tc>
          <w:tcPr>
            <w:tcW w:w="3291" w:type="dxa"/>
            <w:tcBorders>
              <w:top w:val="nil"/>
              <w:left w:val="nil"/>
              <w:bottom w:val="single" w:sz="4" w:space="0" w:color="auto"/>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117</w:t>
            </w:r>
          </w:p>
        </w:tc>
        <w:tc>
          <w:tcPr>
            <w:tcW w:w="1735" w:type="dxa"/>
            <w:tcBorders>
              <w:top w:val="nil"/>
              <w:left w:val="nil"/>
              <w:bottom w:val="single" w:sz="4" w:space="0" w:color="auto"/>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19.06%</w:t>
            </w:r>
          </w:p>
        </w:tc>
      </w:tr>
      <w:tr w:rsidR="004777D8" w:rsidRPr="00001D7E" w:rsidTr="00001D7E">
        <w:trPr>
          <w:trHeight w:val="410"/>
          <w:jc w:val="center"/>
        </w:trPr>
        <w:tc>
          <w:tcPr>
            <w:tcW w:w="2275" w:type="dxa"/>
            <w:tcBorders>
              <w:top w:val="single" w:sz="4" w:space="0" w:color="auto"/>
              <w:left w:val="nil"/>
              <w:bottom w:val="single" w:sz="4" w:space="0" w:color="auto"/>
              <w:right w:val="nil"/>
            </w:tcBorders>
            <w:shd w:val="clear" w:color="000000" w:fill="FFFFFF"/>
            <w:noWrap/>
            <w:vAlign w:val="center"/>
            <w:hideMark/>
          </w:tcPr>
          <w:p w:rsidR="004777D8" w:rsidRPr="00001D7E" w:rsidRDefault="004777D8" w:rsidP="00475BBF">
            <w:pPr>
              <w:rPr>
                <w:rFonts w:ascii="Calibri" w:eastAsia="Times New Roman" w:hAnsi="Calibri"/>
                <w:color w:val="000000"/>
                <w:sz w:val="22"/>
                <w:szCs w:val="22"/>
                <w:lang w:eastAsia="es-PA"/>
              </w:rPr>
            </w:pPr>
            <w:r w:rsidRPr="00001D7E">
              <w:rPr>
                <w:rFonts w:ascii="Calibri" w:eastAsia="Times New Roman" w:hAnsi="Calibri"/>
                <w:color w:val="000000"/>
                <w:sz w:val="22"/>
                <w:szCs w:val="22"/>
                <w:lang w:val="es-CR" w:eastAsia="es-PA"/>
              </w:rPr>
              <w:t>Total</w:t>
            </w:r>
          </w:p>
        </w:tc>
        <w:tc>
          <w:tcPr>
            <w:tcW w:w="3291" w:type="dxa"/>
            <w:tcBorders>
              <w:top w:val="nil"/>
              <w:left w:val="nil"/>
              <w:bottom w:val="single" w:sz="4" w:space="0" w:color="auto"/>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614</w:t>
            </w:r>
          </w:p>
        </w:tc>
        <w:tc>
          <w:tcPr>
            <w:tcW w:w="1735" w:type="dxa"/>
            <w:tcBorders>
              <w:top w:val="nil"/>
              <w:left w:val="nil"/>
              <w:bottom w:val="single" w:sz="4" w:space="0" w:color="auto"/>
              <w:right w:val="nil"/>
            </w:tcBorders>
            <w:shd w:val="clear" w:color="000000" w:fill="FFFFFF"/>
            <w:noWrap/>
            <w:vAlign w:val="bottom"/>
            <w:hideMark/>
          </w:tcPr>
          <w:p w:rsidR="004777D8" w:rsidRPr="00001D7E" w:rsidRDefault="004777D8" w:rsidP="00475BBF">
            <w:pPr>
              <w:jc w:val="center"/>
              <w:rPr>
                <w:rFonts w:ascii="Calibri" w:eastAsia="Times New Roman" w:hAnsi="Calibri"/>
                <w:color w:val="000000"/>
                <w:sz w:val="22"/>
                <w:szCs w:val="22"/>
                <w:lang w:eastAsia="es-PA"/>
              </w:rPr>
            </w:pPr>
            <w:r w:rsidRPr="00001D7E">
              <w:rPr>
                <w:rFonts w:ascii="Calibri" w:eastAsia="Times New Roman" w:hAnsi="Calibri"/>
                <w:color w:val="000000"/>
                <w:sz w:val="22"/>
                <w:szCs w:val="22"/>
                <w:lang w:eastAsia="es-PA"/>
              </w:rPr>
              <w:t>100%</w:t>
            </w:r>
          </w:p>
        </w:tc>
      </w:tr>
    </w:tbl>
    <w:p w:rsidR="004777D8" w:rsidRDefault="004777D8" w:rsidP="004777D8">
      <w:pPr>
        <w:spacing w:before="120" w:line="276" w:lineRule="auto"/>
        <w:ind w:right="57"/>
        <w:jc w:val="center"/>
        <w:rPr>
          <w:rFonts w:ascii="Arial" w:eastAsia="Times New Roman" w:hAnsi="Arial" w:cs="Arial"/>
          <w:color w:val="000000"/>
          <w:sz w:val="16"/>
          <w:szCs w:val="16"/>
          <w:lang w:val="es-CR" w:eastAsia="es-CR"/>
        </w:rPr>
      </w:pPr>
      <w:r w:rsidRPr="00A308AA">
        <w:rPr>
          <w:rFonts w:ascii="Arial" w:eastAsia="Times New Roman" w:hAnsi="Arial" w:cs="Arial"/>
          <w:b/>
          <w:color w:val="000000"/>
          <w:sz w:val="16"/>
          <w:szCs w:val="16"/>
          <w:lang w:val="es-CR" w:eastAsia="es-CR"/>
        </w:rPr>
        <w:t>Fuente:</w:t>
      </w:r>
      <w:r w:rsidRPr="00C36458">
        <w:rPr>
          <w:rFonts w:ascii="Arial" w:eastAsia="Times New Roman" w:hAnsi="Arial" w:cs="Arial"/>
          <w:color w:val="000000"/>
          <w:sz w:val="16"/>
          <w:szCs w:val="16"/>
          <w:lang w:val="es-CR" w:eastAsia="es-CR"/>
        </w:rPr>
        <w:t xml:space="preserve"> Dirección de Vigilancia</w:t>
      </w:r>
      <w:r>
        <w:rPr>
          <w:rFonts w:ascii="Arial" w:eastAsia="Times New Roman" w:hAnsi="Arial" w:cs="Arial"/>
          <w:color w:val="000000"/>
          <w:sz w:val="16"/>
          <w:szCs w:val="16"/>
          <w:lang w:val="es-CR" w:eastAsia="es-CR"/>
        </w:rPr>
        <w:t xml:space="preserve"> de la Salud, Ministerio de Salud</w:t>
      </w:r>
      <w:r w:rsidR="00A308AA">
        <w:rPr>
          <w:rFonts w:ascii="Arial" w:eastAsia="Times New Roman" w:hAnsi="Arial" w:cs="Arial"/>
          <w:color w:val="000000"/>
          <w:sz w:val="16"/>
          <w:szCs w:val="16"/>
          <w:lang w:val="es-CR" w:eastAsia="es-CR"/>
        </w:rPr>
        <w:t>, 2019.</w:t>
      </w:r>
    </w:p>
    <w:p w:rsidR="004777D8" w:rsidRPr="00B247ED" w:rsidRDefault="004777D8" w:rsidP="004777D8">
      <w:pPr>
        <w:spacing w:before="120" w:line="276" w:lineRule="auto"/>
        <w:ind w:right="57"/>
        <w:jc w:val="center"/>
        <w:rPr>
          <w:rFonts w:ascii="Arial" w:eastAsia="Times New Roman" w:hAnsi="Arial" w:cs="Arial"/>
          <w:color w:val="000000"/>
          <w:szCs w:val="18"/>
          <w:lang w:val="es-CR" w:eastAsia="es-CR"/>
        </w:rPr>
      </w:pPr>
    </w:p>
    <w:p w:rsidR="004777D8" w:rsidRDefault="00B247ED" w:rsidP="004777D8">
      <w:pPr>
        <w:spacing w:line="276" w:lineRule="auto"/>
        <w:jc w:val="both"/>
        <w:rPr>
          <w:rFonts w:ascii="Arial" w:eastAsia="Times New Roman" w:hAnsi="Arial" w:cs="Arial"/>
          <w:lang w:val="es-ES" w:eastAsia="es-ES"/>
        </w:rPr>
      </w:pPr>
      <w:r>
        <w:rPr>
          <w:rFonts w:ascii="Arial" w:eastAsia="Times New Roman" w:hAnsi="Arial" w:cs="Arial"/>
          <w:lang w:val="es-ES" w:eastAsia="es-ES"/>
        </w:rPr>
        <w:t>Según información del INEC, l</w:t>
      </w:r>
      <w:r w:rsidR="004777D8" w:rsidRPr="000D3BE7">
        <w:rPr>
          <w:rFonts w:ascii="Arial" w:eastAsia="Times New Roman" w:hAnsi="Arial" w:cs="Arial"/>
          <w:lang w:val="es-ES" w:eastAsia="es-ES"/>
        </w:rPr>
        <w:t>a mortalidad debid</w:t>
      </w:r>
      <w:r>
        <w:rPr>
          <w:rFonts w:ascii="Arial" w:eastAsia="Times New Roman" w:hAnsi="Arial" w:cs="Arial"/>
          <w:lang w:val="es-ES" w:eastAsia="es-ES"/>
        </w:rPr>
        <w:t>a</w:t>
      </w:r>
      <w:r w:rsidR="004777D8" w:rsidRPr="000D3BE7">
        <w:rPr>
          <w:rFonts w:ascii="Arial" w:eastAsia="Times New Roman" w:hAnsi="Arial" w:cs="Arial"/>
          <w:lang w:val="es-ES" w:eastAsia="es-ES"/>
        </w:rPr>
        <w:t xml:space="preserve"> a intoxicaciones agudas por plaguicidas</w:t>
      </w:r>
      <w:r w:rsidR="004777D8">
        <w:rPr>
          <w:rFonts w:ascii="Arial" w:eastAsia="Times New Roman" w:hAnsi="Arial" w:cs="Arial"/>
          <w:lang w:val="es-ES" w:eastAsia="es-ES"/>
        </w:rPr>
        <w:t xml:space="preserve"> para el año 2015 </w:t>
      </w:r>
      <w:r>
        <w:rPr>
          <w:rFonts w:ascii="Arial" w:eastAsia="Times New Roman" w:hAnsi="Arial" w:cs="Arial"/>
          <w:lang w:val="es-ES" w:eastAsia="es-ES"/>
        </w:rPr>
        <w:t xml:space="preserve">fue de un caso de una mujer en el grupo de edad de 45 a 49 años, con </w:t>
      </w:r>
      <w:r w:rsidR="004777D8">
        <w:rPr>
          <w:rFonts w:ascii="Arial" w:eastAsia="Times New Roman" w:hAnsi="Arial" w:cs="Arial"/>
          <w:lang w:val="es-ES" w:eastAsia="es-ES"/>
        </w:rPr>
        <w:t>una tasa de 0,02 por 100.000 habitantes</w:t>
      </w:r>
      <w:r>
        <w:rPr>
          <w:rFonts w:ascii="Arial" w:eastAsia="Times New Roman" w:hAnsi="Arial" w:cs="Arial"/>
          <w:lang w:val="es-ES" w:eastAsia="es-ES"/>
        </w:rPr>
        <w:t>;</w:t>
      </w:r>
      <w:r w:rsidR="004777D8">
        <w:rPr>
          <w:rFonts w:ascii="Arial" w:eastAsia="Times New Roman" w:hAnsi="Arial" w:cs="Arial"/>
          <w:lang w:val="es-ES" w:eastAsia="es-ES"/>
        </w:rPr>
        <w:t xml:space="preserve"> para el año 2016 se reportaron 45 muertes, </w:t>
      </w:r>
      <w:r>
        <w:rPr>
          <w:rFonts w:ascii="Arial" w:eastAsia="Times New Roman" w:hAnsi="Arial" w:cs="Arial"/>
          <w:lang w:val="es-ES" w:eastAsia="es-ES"/>
        </w:rPr>
        <w:t>para</w:t>
      </w:r>
      <w:r w:rsidR="004777D8">
        <w:rPr>
          <w:rFonts w:ascii="Arial" w:eastAsia="Times New Roman" w:hAnsi="Arial" w:cs="Arial"/>
          <w:lang w:val="es-ES" w:eastAsia="es-ES"/>
        </w:rPr>
        <w:t xml:space="preserve"> una tasa de 0,9, mientras que para el año 2017, murieron 47 personas, </w:t>
      </w:r>
      <w:r>
        <w:rPr>
          <w:rFonts w:ascii="Arial" w:eastAsia="Times New Roman" w:hAnsi="Arial" w:cs="Arial"/>
          <w:lang w:val="es-ES" w:eastAsia="es-ES"/>
        </w:rPr>
        <w:t xml:space="preserve">con </w:t>
      </w:r>
      <w:r w:rsidR="004777D8">
        <w:rPr>
          <w:rFonts w:ascii="Arial" w:eastAsia="Times New Roman" w:hAnsi="Arial" w:cs="Arial"/>
          <w:lang w:val="es-ES" w:eastAsia="es-ES"/>
        </w:rPr>
        <w:t>una tasa de 0,7</w:t>
      </w:r>
      <w:r>
        <w:rPr>
          <w:rFonts w:ascii="Arial" w:eastAsia="Times New Roman" w:hAnsi="Arial" w:cs="Arial"/>
          <w:lang w:val="es-ES" w:eastAsia="es-ES"/>
        </w:rPr>
        <w:t xml:space="preserve">. La información preliminar para el 2018 indica que </w:t>
      </w:r>
      <w:r w:rsidR="004777D8">
        <w:rPr>
          <w:rFonts w:ascii="Arial" w:eastAsia="Times New Roman" w:hAnsi="Arial" w:cs="Arial"/>
          <w:lang w:val="es-ES" w:eastAsia="es-ES"/>
        </w:rPr>
        <w:t xml:space="preserve">murieron </w:t>
      </w:r>
      <w:r>
        <w:rPr>
          <w:rFonts w:ascii="Arial" w:eastAsia="Times New Roman" w:hAnsi="Arial" w:cs="Arial"/>
          <w:lang w:val="es-ES" w:eastAsia="es-ES"/>
        </w:rPr>
        <w:t>cuatro personas (</w:t>
      </w:r>
      <w:r w:rsidR="004777D8">
        <w:rPr>
          <w:rFonts w:ascii="Arial" w:eastAsia="Times New Roman" w:hAnsi="Arial" w:cs="Arial"/>
          <w:lang w:val="es-ES" w:eastAsia="es-ES"/>
        </w:rPr>
        <w:t>0,1</w:t>
      </w:r>
      <w:r>
        <w:rPr>
          <w:rFonts w:ascii="Arial" w:eastAsia="Times New Roman" w:hAnsi="Arial" w:cs="Arial"/>
          <w:lang w:val="es-ES" w:eastAsia="es-ES"/>
        </w:rPr>
        <w:t>/100.000 habitantes)</w:t>
      </w:r>
      <w:r w:rsidR="004777D8">
        <w:rPr>
          <w:rFonts w:ascii="Arial" w:eastAsia="Times New Roman" w:hAnsi="Arial" w:cs="Arial"/>
          <w:lang w:val="es-ES" w:eastAsia="es-ES"/>
        </w:rPr>
        <w:t>.</w:t>
      </w:r>
    </w:p>
    <w:p w:rsidR="004777D8" w:rsidRDefault="004777D8" w:rsidP="004777D8">
      <w:pPr>
        <w:pStyle w:val="Encabezado"/>
        <w:rPr>
          <w:rFonts w:ascii="Arial" w:hAnsi="Arial" w:cs="Arial"/>
          <w:lang w:val="es-CR"/>
        </w:rPr>
      </w:pPr>
    </w:p>
    <w:p w:rsidR="004777D8" w:rsidRPr="005C5A74" w:rsidRDefault="00B247ED" w:rsidP="005C5A74">
      <w:pPr>
        <w:pStyle w:val="Ttulo3"/>
        <w:rPr>
          <w:rFonts w:ascii="Arial" w:hAnsi="Arial" w:cs="Arial"/>
          <w:b/>
          <w:color w:val="auto"/>
        </w:rPr>
      </w:pPr>
      <w:bookmarkStart w:id="36" w:name="_Toc506187978"/>
      <w:bookmarkStart w:id="37" w:name="_Toc7439664"/>
      <w:r w:rsidRPr="005C5A74">
        <w:rPr>
          <w:rFonts w:ascii="Arial" w:hAnsi="Arial" w:cs="Arial"/>
          <w:b/>
          <w:color w:val="auto"/>
        </w:rPr>
        <w:t>Violencia intrafamiliar</w:t>
      </w:r>
      <w:bookmarkEnd w:id="36"/>
      <w:bookmarkEnd w:id="37"/>
      <w:r w:rsidRPr="005C5A74">
        <w:rPr>
          <w:rFonts w:ascii="Arial" w:hAnsi="Arial" w:cs="Arial"/>
          <w:b/>
          <w:color w:val="auto"/>
        </w:rPr>
        <w:t xml:space="preserve"> </w:t>
      </w:r>
    </w:p>
    <w:p w:rsidR="004777D8" w:rsidRDefault="004777D8" w:rsidP="004777D8">
      <w:pPr>
        <w:spacing w:line="276" w:lineRule="auto"/>
        <w:jc w:val="both"/>
        <w:rPr>
          <w:rFonts w:ascii="Arial" w:hAnsi="Arial" w:cs="Arial"/>
        </w:rPr>
      </w:pPr>
    </w:p>
    <w:p w:rsidR="004777D8" w:rsidRPr="003A05DB" w:rsidRDefault="00B247ED" w:rsidP="00C802FF">
      <w:pPr>
        <w:spacing w:after="240" w:line="276" w:lineRule="auto"/>
        <w:jc w:val="both"/>
        <w:rPr>
          <w:rFonts w:ascii="Arial" w:hAnsi="Arial" w:cs="Arial"/>
          <w:lang w:val="es-ES"/>
        </w:rPr>
      </w:pPr>
      <w:r w:rsidRPr="003A05DB">
        <w:rPr>
          <w:rFonts w:ascii="Arial" w:hAnsi="Arial" w:cs="Arial"/>
          <w:lang w:val="es-ES"/>
        </w:rPr>
        <w:t xml:space="preserve">La violencia intrafamiliar </w:t>
      </w:r>
      <w:r w:rsidR="004A3F13" w:rsidRPr="003A05DB">
        <w:rPr>
          <w:rFonts w:ascii="Arial" w:hAnsi="Arial" w:cs="Arial"/>
          <w:lang w:val="es-ES"/>
        </w:rPr>
        <w:t xml:space="preserve">es un problema de salud pública. </w:t>
      </w:r>
      <w:r w:rsidR="004777D8" w:rsidRPr="003A05DB">
        <w:rPr>
          <w:rFonts w:ascii="Arial" w:hAnsi="Arial" w:cs="Arial"/>
          <w:lang w:val="es-ES"/>
        </w:rPr>
        <w:t xml:space="preserve">En Costa Rica se han identificado diversas formas en </w:t>
      </w:r>
      <w:r w:rsidR="004A3F13" w:rsidRPr="003A05DB">
        <w:rPr>
          <w:rFonts w:ascii="Arial" w:hAnsi="Arial" w:cs="Arial"/>
          <w:lang w:val="es-ES"/>
        </w:rPr>
        <w:t xml:space="preserve">las </w:t>
      </w:r>
      <w:r w:rsidR="004777D8" w:rsidRPr="003A05DB">
        <w:rPr>
          <w:rFonts w:ascii="Arial" w:hAnsi="Arial" w:cs="Arial"/>
          <w:lang w:val="es-ES"/>
        </w:rPr>
        <w:t>que se expresa la violencia</w:t>
      </w:r>
      <w:r w:rsidR="004A3F13" w:rsidRPr="003A05DB">
        <w:rPr>
          <w:rFonts w:ascii="Arial" w:hAnsi="Arial" w:cs="Arial"/>
          <w:lang w:val="es-ES"/>
        </w:rPr>
        <w:t xml:space="preserve">. </w:t>
      </w:r>
      <w:r w:rsidR="004777D8" w:rsidRPr="003A05DB">
        <w:rPr>
          <w:rFonts w:ascii="Arial" w:hAnsi="Arial" w:cs="Arial"/>
          <w:lang w:val="es-ES"/>
        </w:rPr>
        <w:t xml:space="preserve">Las más visibilizadas han sido la violencia intrafamiliar y algunas formas de violencia sexual como el abuso infantil, el incesto, el acoso sexual en centros de trabajo, o la explotación sexual comercial de niñas y mujeres adolescentes entre otras </w:t>
      </w:r>
      <w:r w:rsidR="004A3F13" w:rsidRPr="003A05DB">
        <w:rPr>
          <w:rFonts w:ascii="Arial" w:hAnsi="Arial" w:cs="Arial"/>
          <w:lang w:val="es-ES"/>
        </w:rPr>
        <w:t>formas.</w:t>
      </w:r>
    </w:p>
    <w:p w:rsidR="00C802FF" w:rsidRPr="003A05DB" w:rsidRDefault="004A3F13" w:rsidP="004777D8">
      <w:pPr>
        <w:spacing w:line="276" w:lineRule="auto"/>
        <w:jc w:val="both"/>
        <w:rPr>
          <w:rFonts w:ascii="Arial" w:hAnsi="Arial" w:cs="Arial"/>
          <w:lang w:val="es-ES"/>
        </w:rPr>
      </w:pPr>
      <w:r w:rsidRPr="003A05DB">
        <w:rPr>
          <w:rFonts w:ascii="Arial" w:hAnsi="Arial" w:cs="Arial"/>
          <w:lang w:val="es-ES"/>
        </w:rPr>
        <w:t xml:space="preserve">En el gráfico 12 se presenta la incidencia de VIF en el período 2014-2018. En el </w:t>
      </w:r>
      <w:r w:rsidR="004777D8" w:rsidRPr="003A05DB">
        <w:rPr>
          <w:rFonts w:ascii="Arial" w:hAnsi="Arial" w:cs="Arial"/>
          <w:lang w:val="es-ES"/>
        </w:rPr>
        <w:t xml:space="preserve">2016 </w:t>
      </w:r>
      <w:r w:rsidRPr="003A05DB">
        <w:rPr>
          <w:rFonts w:ascii="Arial" w:hAnsi="Arial" w:cs="Arial"/>
          <w:lang w:val="es-ES"/>
        </w:rPr>
        <w:t>se</w:t>
      </w:r>
      <w:r w:rsidR="004777D8" w:rsidRPr="003A05DB">
        <w:rPr>
          <w:rFonts w:ascii="Arial" w:hAnsi="Arial" w:cs="Arial"/>
          <w:lang w:val="es-ES"/>
        </w:rPr>
        <w:t xml:space="preserve"> </w:t>
      </w:r>
      <w:r w:rsidRPr="003A05DB">
        <w:rPr>
          <w:rFonts w:ascii="Arial" w:hAnsi="Arial" w:cs="Arial"/>
          <w:lang w:val="es-ES"/>
        </w:rPr>
        <w:t xml:space="preserve">presentó </w:t>
      </w:r>
      <w:r w:rsidR="004777D8" w:rsidRPr="003A05DB">
        <w:rPr>
          <w:rFonts w:ascii="Arial" w:hAnsi="Arial" w:cs="Arial"/>
          <w:lang w:val="es-ES"/>
        </w:rPr>
        <w:t>la incidencia más alta</w:t>
      </w:r>
      <w:r w:rsidRPr="003A05DB">
        <w:rPr>
          <w:rFonts w:ascii="Arial" w:hAnsi="Arial" w:cs="Arial"/>
          <w:lang w:val="es-ES"/>
        </w:rPr>
        <w:t xml:space="preserve"> de VIF</w:t>
      </w:r>
      <w:r w:rsidR="004777D8" w:rsidRPr="003A05DB">
        <w:rPr>
          <w:rFonts w:ascii="Arial" w:hAnsi="Arial" w:cs="Arial"/>
          <w:lang w:val="es-ES"/>
        </w:rPr>
        <w:t>, con una tasa de 266</w:t>
      </w:r>
      <w:r w:rsidRPr="003A05DB">
        <w:rPr>
          <w:rFonts w:ascii="Arial" w:hAnsi="Arial" w:cs="Arial"/>
          <w:lang w:val="es-ES"/>
        </w:rPr>
        <w:t>,6</w:t>
      </w:r>
      <w:r w:rsidR="004777D8" w:rsidRPr="003A05DB">
        <w:rPr>
          <w:rFonts w:ascii="Arial" w:hAnsi="Arial" w:cs="Arial"/>
          <w:lang w:val="es-ES"/>
        </w:rPr>
        <w:t xml:space="preserve"> de casos notificados por 100.000 habitantes</w:t>
      </w:r>
      <w:r w:rsidRPr="003A05DB">
        <w:rPr>
          <w:rFonts w:ascii="Arial" w:hAnsi="Arial" w:cs="Arial"/>
          <w:lang w:val="es-ES"/>
        </w:rPr>
        <w:t xml:space="preserve">. Para el año 2017 se observó </w:t>
      </w:r>
      <w:r w:rsidR="004777D8" w:rsidRPr="003A05DB">
        <w:rPr>
          <w:rFonts w:ascii="Arial" w:hAnsi="Arial" w:cs="Arial"/>
          <w:lang w:val="es-ES"/>
        </w:rPr>
        <w:t xml:space="preserve">una leve disminución y </w:t>
      </w:r>
      <w:r w:rsidRPr="003A05DB">
        <w:rPr>
          <w:rFonts w:ascii="Arial" w:hAnsi="Arial" w:cs="Arial"/>
          <w:lang w:val="es-ES"/>
        </w:rPr>
        <w:t>los datos preliminaries del 2018 muestran un aumento, con una tasa proyectada de</w:t>
      </w:r>
      <w:r w:rsidR="004777D8" w:rsidRPr="003A05DB">
        <w:rPr>
          <w:rFonts w:ascii="Arial" w:hAnsi="Arial" w:cs="Arial"/>
          <w:lang w:val="es-ES"/>
        </w:rPr>
        <w:t xml:space="preserve"> 232,2 </w:t>
      </w:r>
      <w:r w:rsidRPr="003A05DB">
        <w:rPr>
          <w:rFonts w:ascii="Arial" w:hAnsi="Arial" w:cs="Arial"/>
          <w:lang w:val="es-ES"/>
        </w:rPr>
        <w:t xml:space="preserve">por cien mil habitants a la </w:t>
      </w:r>
      <w:r w:rsidR="004777D8" w:rsidRPr="003A05DB">
        <w:rPr>
          <w:rFonts w:ascii="Arial" w:hAnsi="Arial" w:cs="Arial"/>
          <w:lang w:val="es-ES"/>
        </w:rPr>
        <w:t>semana 52</w:t>
      </w:r>
      <w:r w:rsidRPr="003A05DB">
        <w:rPr>
          <w:rFonts w:ascii="Arial" w:hAnsi="Arial" w:cs="Arial"/>
          <w:lang w:val="es-ES"/>
        </w:rPr>
        <w:t xml:space="preserve">. </w:t>
      </w:r>
    </w:p>
    <w:p w:rsidR="00C802FF" w:rsidRPr="003A05DB" w:rsidRDefault="00C802FF" w:rsidP="004777D8">
      <w:pPr>
        <w:spacing w:line="276" w:lineRule="auto"/>
        <w:jc w:val="both"/>
        <w:rPr>
          <w:rFonts w:ascii="Arial" w:hAnsi="Arial" w:cs="Arial"/>
          <w:lang w:val="es-ES"/>
        </w:rPr>
      </w:pPr>
    </w:p>
    <w:p w:rsidR="004777D8" w:rsidRPr="00C802FF" w:rsidRDefault="004777D8" w:rsidP="00CE4114">
      <w:pPr>
        <w:jc w:val="center"/>
        <w:rPr>
          <w:rFonts w:ascii="Arial" w:hAnsi="Arial" w:cs="Arial"/>
          <w:b/>
        </w:rPr>
      </w:pPr>
      <w:r w:rsidRPr="00C802FF">
        <w:rPr>
          <w:rFonts w:ascii="Arial" w:hAnsi="Arial" w:cs="Arial"/>
          <w:b/>
        </w:rPr>
        <w:t xml:space="preserve">Gráfico </w:t>
      </w:r>
      <w:r w:rsidR="00C802FF" w:rsidRPr="00C802FF">
        <w:rPr>
          <w:rFonts w:ascii="Arial" w:hAnsi="Arial" w:cs="Arial"/>
          <w:b/>
        </w:rPr>
        <w:t>1</w:t>
      </w:r>
      <w:r w:rsidR="005C5A74">
        <w:rPr>
          <w:rFonts w:ascii="Arial" w:hAnsi="Arial" w:cs="Arial"/>
          <w:b/>
        </w:rPr>
        <w:t>4</w:t>
      </w:r>
    </w:p>
    <w:p w:rsidR="00CE4114" w:rsidRDefault="004777D8" w:rsidP="00CE4114">
      <w:pPr>
        <w:jc w:val="center"/>
        <w:rPr>
          <w:rFonts w:ascii="Arial" w:hAnsi="Arial" w:cs="Arial"/>
          <w:b/>
        </w:rPr>
      </w:pPr>
      <w:r w:rsidRPr="00C802FF">
        <w:rPr>
          <w:rFonts w:ascii="Arial" w:hAnsi="Arial" w:cs="Arial"/>
          <w:b/>
        </w:rPr>
        <w:t xml:space="preserve">Costa Rica: </w:t>
      </w:r>
      <w:r w:rsidRPr="00C802FF">
        <w:rPr>
          <w:rFonts w:ascii="Arial" w:hAnsi="Arial" w:cs="Arial"/>
          <w:b/>
          <w:lang w:val="es-CR"/>
        </w:rPr>
        <w:t>Incidencia</w:t>
      </w:r>
      <w:r w:rsidRPr="00C802FF">
        <w:rPr>
          <w:rFonts w:ascii="Arial" w:hAnsi="Arial" w:cs="Arial"/>
          <w:b/>
        </w:rPr>
        <w:t xml:space="preserve"> de casos de VIF</w:t>
      </w:r>
    </w:p>
    <w:p w:rsidR="00C802FF" w:rsidRPr="003A05DB" w:rsidRDefault="00CE4114" w:rsidP="00CE4114">
      <w:pPr>
        <w:jc w:val="center"/>
        <w:rPr>
          <w:rFonts w:ascii="Arial" w:hAnsi="Arial" w:cs="Arial"/>
          <w:b/>
          <w:lang w:val="es-ES"/>
        </w:rPr>
      </w:pPr>
      <w:r>
        <w:rPr>
          <w:rFonts w:ascii="Arial" w:hAnsi="Arial" w:cs="Arial"/>
          <w:b/>
        </w:rPr>
        <w:t xml:space="preserve"> </w:t>
      </w:r>
      <w:r w:rsidRPr="003A05DB">
        <w:rPr>
          <w:rFonts w:ascii="Arial" w:hAnsi="Arial" w:cs="Arial"/>
          <w:b/>
          <w:lang w:val="es-ES"/>
        </w:rPr>
        <w:t xml:space="preserve">notificados, </w:t>
      </w:r>
      <w:r w:rsidR="004777D8" w:rsidRPr="003A05DB">
        <w:rPr>
          <w:rFonts w:ascii="Arial" w:hAnsi="Arial" w:cs="Arial"/>
          <w:b/>
          <w:lang w:val="es-ES"/>
        </w:rPr>
        <w:t>p</w:t>
      </w:r>
      <w:r w:rsidR="00C802FF" w:rsidRPr="003A05DB">
        <w:rPr>
          <w:rFonts w:ascii="Arial" w:hAnsi="Arial" w:cs="Arial"/>
          <w:b/>
          <w:lang w:val="es-ES"/>
        </w:rPr>
        <w:t>eríodo</w:t>
      </w:r>
      <w:r w:rsidR="004777D8" w:rsidRPr="003A05DB">
        <w:rPr>
          <w:rFonts w:ascii="Arial" w:hAnsi="Arial" w:cs="Arial"/>
          <w:b/>
          <w:lang w:val="es-ES"/>
        </w:rPr>
        <w:t xml:space="preserve"> 2014-2018*</w:t>
      </w:r>
    </w:p>
    <w:p w:rsidR="004777D8" w:rsidRPr="003A05DB" w:rsidRDefault="004777D8" w:rsidP="00CE4114">
      <w:pPr>
        <w:spacing w:after="240"/>
        <w:jc w:val="center"/>
        <w:rPr>
          <w:rFonts w:ascii="Arial" w:hAnsi="Arial" w:cs="Arial"/>
          <w:sz w:val="20"/>
          <w:szCs w:val="20"/>
          <w:lang w:val="es-ES"/>
        </w:rPr>
      </w:pPr>
      <w:r w:rsidRPr="003A05DB">
        <w:rPr>
          <w:rFonts w:ascii="Arial" w:hAnsi="Arial" w:cs="Arial"/>
          <w:b/>
          <w:lang w:val="es-ES"/>
        </w:rPr>
        <w:t xml:space="preserve"> </w:t>
      </w:r>
      <w:r w:rsidRPr="003A05DB">
        <w:rPr>
          <w:rFonts w:ascii="Arial" w:hAnsi="Arial" w:cs="Arial"/>
          <w:sz w:val="20"/>
          <w:szCs w:val="20"/>
          <w:lang w:val="es-ES"/>
        </w:rPr>
        <w:t xml:space="preserve">(tasa por 100.000 habitantes) </w:t>
      </w:r>
    </w:p>
    <w:p w:rsidR="004777D8" w:rsidRDefault="004777D8" w:rsidP="004777D8">
      <w:pPr>
        <w:spacing w:line="360" w:lineRule="auto"/>
        <w:jc w:val="center"/>
        <w:rPr>
          <w:rFonts w:ascii="Arial" w:hAnsi="Arial" w:cs="Arial"/>
        </w:rPr>
      </w:pPr>
      <w:r>
        <w:rPr>
          <w:noProof/>
          <w:lang w:val="es-CR" w:eastAsia="es-CR"/>
        </w:rPr>
        <w:drawing>
          <wp:inline distT="0" distB="0" distL="0" distR="0" wp14:anchorId="403EDF3D" wp14:editId="4706F144">
            <wp:extent cx="4414926" cy="2159779"/>
            <wp:effectExtent l="0" t="0" r="5080" b="0"/>
            <wp:docPr id="58" name="Gráfico 58">
              <a:extLst xmlns:a="http://schemas.openxmlformats.org/drawingml/2006/main">
                <a:ext uri="{FF2B5EF4-FFF2-40B4-BE49-F238E27FC236}">
                  <a16:creationId xmlns:a16="http://schemas.microsoft.com/office/drawing/2014/main" id="{21424B89-96CF-41C5-AD4F-DB7A56EFB3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777D8" w:rsidRDefault="004777D8" w:rsidP="00C802FF">
      <w:pPr>
        <w:spacing w:after="240" w:line="360" w:lineRule="auto"/>
        <w:jc w:val="center"/>
        <w:rPr>
          <w:rFonts w:ascii="Arial" w:hAnsi="Arial" w:cs="Arial"/>
        </w:rPr>
      </w:pPr>
      <w:r w:rsidRPr="00C802FF">
        <w:rPr>
          <w:rFonts w:ascii="Arial" w:eastAsia="Times New Roman" w:hAnsi="Arial" w:cs="Arial"/>
          <w:b/>
          <w:color w:val="000000"/>
          <w:sz w:val="16"/>
          <w:szCs w:val="16"/>
          <w:lang w:val="es-CR" w:eastAsia="es-CR"/>
        </w:rPr>
        <w:t>Fuente:</w:t>
      </w:r>
      <w:r w:rsidRPr="00C36458">
        <w:rPr>
          <w:rFonts w:ascii="Arial" w:eastAsia="Times New Roman" w:hAnsi="Arial" w:cs="Arial"/>
          <w:color w:val="000000"/>
          <w:sz w:val="16"/>
          <w:szCs w:val="16"/>
          <w:lang w:val="es-CR" w:eastAsia="es-CR"/>
        </w:rPr>
        <w:t xml:space="preserve"> Dirección de Vigilancia</w:t>
      </w:r>
      <w:r>
        <w:rPr>
          <w:rFonts w:ascii="Arial" w:eastAsia="Times New Roman" w:hAnsi="Arial" w:cs="Arial"/>
          <w:color w:val="000000"/>
          <w:sz w:val="16"/>
          <w:szCs w:val="16"/>
          <w:lang w:val="es-CR" w:eastAsia="es-CR"/>
        </w:rPr>
        <w:t xml:space="preserve"> de la Salud, Ministerio de Salud</w:t>
      </w:r>
      <w:r w:rsidR="00C802FF">
        <w:rPr>
          <w:rFonts w:ascii="Arial" w:eastAsia="Times New Roman" w:hAnsi="Arial" w:cs="Arial"/>
          <w:color w:val="000000"/>
          <w:sz w:val="16"/>
          <w:szCs w:val="16"/>
          <w:lang w:val="es-CR" w:eastAsia="es-CR"/>
        </w:rPr>
        <w:t>, 2019.</w:t>
      </w:r>
    </w:p>
    <w:p w:rsidR="005C5A74" w:rsidRDefault="005C5A74" w:rsidP="006A60CF">
      <w:pPr>
        <w:spacing w:after="240" w:line="276" w:lineRule="auto"/>
        <w:jc w:val="both"/>
        <w:rPr>
          <w:rFonts w:ascii="Arial" w:hAnsi="Arial" w:cs="Arial"/>
        </w:rPr>
      </w:pPr>
    </w:p>
    <w:p w:rsidR="004777D8" w:rsidRPr="003A05DB" w:rsidRDefault="00CE4114" w:rsidP="006A60CF">
      <w:pPr>
        <w:spacing w:after="240" w:line="276" w:lineRule="auto"/>
        <w:jc w:val="both"/>
        <w:rPr>
          <w:rFonts w:ascii="Arial" w:hAnsi="Arial" w:cs="Arial"/>
          <w:lang w:val="es-ES"/>
        </w:rPr>
      </w:pPr>
      <w:r w:rsidRPr="003A05DB">
        <w:rPr>
          <w:rFonts w:ascii="Arial" w:hAnsi="Arial" w:cs="Arial"/>
          <w:lang w:val="es-ES"/>
        </w:rPr>
        <w:lastRenderedPageBreak/>
        <w:t>En el gráfico 1</w:t>
      </w:r>
      <w:r w:rsidR="005C5A74" w:rsidRPr="003A05DB">
        <w:rPr>
          <w:rFonts w:ascii="Arial" w:hAnsi="Arial" w:cs="Arial"/>
          <w:lang w:val="es-ES"/>
        </w:rPr>
        <w:t>4</w:t>
      </w:r>
      <w:r w:rsidRPr="003A05DB">
        <w:rPr>
          <w:rFonts w:ascii="Arial" w:hAnsi="Arial" w:cs="Arial"/>
          <w:lang w:val="es-ES"/>
        </w:rPr>
        <w:t xml:space="preserve"> se presenta la incidencia de VIF s</w:t>
      </w:r>
      <w:r w:rsidR="004777D8" w:rsidRPr="003A05DB">
        <w:rPr>
          <w:rFonts w:ascii="Arial" w:hAnsi="Arial" w:cs="Arial"/>
          <w:lang w:val="es-ES"/>
        </w:rPr>
        <w:t xml:space="preserve">egún </w:t>
      </w:r>
      <w:r w:rsidRPr="003A05DB">
        <w:rPr>
          <w:rFonts w:ascii="Arial" w:hAnsi="Arial" w:cs="Arial"/>
          <w:lang w:val="es-ES"/>
        </w:rPr>
        <w:t xml:space="preserve">provincia. </w:t>
      </w:r>
      <w:r w:rsidR="006A60CF" w:rsidRPr="003A05DB">
        <w:rPr>
          <w:rFonts w:ascii="Arial" w:hAnsi="Arial" w:cs="Arial"/>
          <w:lang w:val="es-ES"/>
        </w:rPr>
        <w:t xml:space="preserve">Se observa que la </w:t>
      </w:r>
      <w:r w:rsidR="004777D8" w:rsidRPr="003A05DB">
        <w:rPr>
          <w:rFonts w:ascii="Arial" w:hAnsi="Arial" w:cs="Arial"/>
          <w:lang w:val="es-ES"/>
        </w:rPr>
        <w:t>provincia de Puntarenas, “lider</w:t>
      </w:r>
      <w:r w:rsidR="006A60CF" w:rsidRPr="003A05DB">
        <w:rPr>
          <w:rFonts w:ascii="Arial" w:hAnsi="Arial" w:cs="Arial"/>
          <w:lang w:val="es-ES"/>
        </w:rPr>
        <w:t>ó</w:t>
      </w:r>
      <w:r w:rsidR="004777D8" w:rsidRPr="003A05DB">
        <w:rPr>
          <w:rFonts w:ascii="Arial" w:hAnsi="Arial" w:cs="Arial"/>
          <w:lang w:val="es-ES"/>
        </w:rPr>
        <w:t xml:space="preserve">” en cuatro de los cinco años </w:t>
      </w:r>
      <w:r w:rsidR="006A60CF" w:rsidRPr="003A05DB">
        <w:rPr>
          <w:rFonts w:ascii="Arial" w:hAnsi="Arial" w:cs="Arial"/>
          <w:lang w:val="es-ES"/>
        </w:rPr>
        <w:t xml:space="preserve">analizados; </w:t>
      </w:r>
      <w:r w:rsidR="004777D8" w:rsidRPr="003A05DB">
        <w:rPr>
          <w:rFonts w:ascii="Arial" w:hAnsi="Arial" w:cs="Arial"/>
          <w:lang w:val="es-ES"/>
        </w:rPr>
        <w:t>solamente en el año 2014 fue superad</w:t>
      </w:r>
      <w:r w:rsidR="006A60CF" w:rsidRPr="003A05DB">
        <w:rPr>
          <w:rFonts w:ascii="Arial" w:hAnsi="Arial" w:cs="Arial"/>
          <w:lang w:val="es-ES"/>
        </w:rPr>
        <w:t>a</w:t>
      </w:r>
      <w:r w:rsidR="004777D8" w:rsidRPr="003A05DB">
        <w:rPr>
          <w:rFonts w:ascii="Arial" w:hAnsi="Arial" w:cs="Arial"/>
          <w:lang w:val="es-ES"/>
        </w:rPr>
        <w:t xml:space="preserve"> por San José</w:t>
      </w:r>
      <w:r w:rsidR="006A60CF" w:rsidRPr="003A05DB">
        <w:rPr>
          <w:rFonts w:ascii="Arial" w:hAnsi="Arial" w:cs="Arial"/>
          <w:lang w:val="es-ES"/>
        </w:rPr>
        <w:t>.</w:t>
      </w:r>
      <w:r w:rsidR="004777D8" w:rsidRPr="003A05DB">
        <w:rPr>
          <w:rFonts w:ascii="Arial" w:hAnsi="Arial" w:cs="Arial"/>
          <w:lang w:val="es-ES"/>
        </w:rPr>
        <w:t xml:space="preserve"> </w:t>
      </w:r>
      <w:r w:rsidR="006A60CF" w:rsidRPr="003A05DB">
        <w:rPr>
          <w:rFonts w:ascii="Arial" w:hAnsi="Arial" w:cs="Arial"/>
          <w:lang w:val="es-ES"/>
        </w:rPr>
        <w:t>L</w:t>
      </w:r>
      <w:r w:rsidR="004777D8" w:rsidRPr="003A05DB">
        <w:rPr>
          <w:rFonts w:ascii="Arial" w:hAnsi="Arial" w:cs="Arial"/>
          <w:lang w:val="es-ES"/>
        </w:rPr>
        <w:t xml:space="preserve">as tasas alcanzadas por </w:t>
      </w:r>
      <w:r w:rsidR="006A60CF" w:rsidRPr="003A05DB">
        <w:rPr>
          <w:rFonts w:ascii="Arial" w:hAnsi="Arial" w:cs="Arial"/>
          <w:lang w:val="es-ES"/>
        </w:rPr>
        <w:t xml:space="preserve">la </w:t>
      </w:r>
      <w:r w:rsidR="004777D8" w:rsidRPr="003A05DB">
        <w:rPr>
          <w:rFonts w:ascii="Arial" w:hAnsi="Arial" w:cs="Arial"/>
          <w:lang w:val="es-ES"/>
        </w:rPr>
        <w:t xml:space="preserve">provincia </w:t>
      </w:r>
      <w:r w:rsidR="006A60CF" w:rsidRPr="003A05DB">
        <w:rPr>
          <w:rFonts w:ascii="Arial" w:hAnsi="Arial" w:cs="Arial"/>
          <w:lang w:val="es-ES"/>
        </w:rPr>
        <w:t xml:space="preserve">de Puntarenas </w:t>
      </w:r>
      <w:r w:rsidR="004777D8" w:rsidRPr="003A05DB">
        <w:rPr>
          <w:rFonts w:ascii="Arial" w:hAnsi="Arial" w:cs="Arial"/>
          <w:lang w:val="es-ES"/>
        </w:rPr>
        <w:t xml:space="preserve">superan </w:t>
      </w:r>
      <w:r w:rsidR="006A60CF" w:rsidRPr="003A05DB">
        <w:rPr>
          <w:rFonts w:ascii="Arial" w:hAnsi="Arial" w:cs="Arial"/>
          <w:lang w:val="es-ES"/>
        </w:rPr>
        <w:t>las del</w:t>
      </w:r>
      <w:r w:rsidR="004777D8" w:rsidRPr="003A05DB">
        <w:rPr>
          <w:rFonts w:ascii="Arial" w:hAnsi="Arial" w:cs="Arial"/>
          <w:lang w:val="es-ES"/>
        </w:rPr>
        <w:t xml:space="preserve"> resto de las provincias</w:t>
      </w:r>
      <w:r w:rsidR="0065315E" w:rsidRPr="003A05DB">
        <w:rPr>
          <w:rFonts w:ascii="Arial" w:hAnsi="Arial" w:cs="Arial"/>
          <w:lang w:val="es-ES"/>
        </w:rPr>
        <w:t>, lo cual podría estar relacionado con el acceso a educación, empleo, adquisición de bienes,</w:t>
      </w:r>
      <w:r w:rsidR="005C5A74" w:rsidRPr="003A05DB">
        <w:rPr>
          <w:rFonts w:ascii="Arial" w:hAnsi="Arial" w:cs="Arial"/>
          <w:lang w:val="es-ES"/>
        </w:rPr>
        <w:t xml:space="preserve"> </w:t>
      </w:r>
      <w:r w:rsidR="0065315E" w:rsidRPr="003A05DB">
        <w:rPr>
          <w:rFonts w:ascii="Arial" w:hAnsi="Arial" w:cs="Arial"/>
          <w:lang w:val="es-ES"/>
        </w:rPr>
        <w:t>entre otros.</w:t>
      </w:r>
    </w:p>
    <w:p w:rsidR="0065315E" w:rsidRPr="003A05DB" w:rsidRDefault="0065315E" w:rsidP="0065315E">
      <w:pPr>
        <w:spacing w:after="240" w:line="276" w:lineRule="auto"/>
        <w:jc w:val="both"/>
        <w:rPr>
          <w:rFonts w:ascii="Arial" w:hAnsi="Arial" w:cs="Arial"/>
          <w:lang w:val="es-ES"/>
        </w:rPr>
      </w:pPr>
      <w:r w:rsidRPr="003A05DB">
        <w:rPr>
          <w:rFonts w:ascii="Arial" w:hAnsi="Arial" w:cs="Arial"/>
          <w:lang w:val="es-ES"/>
        </w:rPr>
        <w:t xml:space="preserve">Analizando las tasas de incidencia de VIF </w:t>
      </w:r>
      <w:r w:rsidR="004777D8" w:rsidRPr="003A05DB">
        <w:rPr>
          <w:rFonts w:ascii="Arial" w:hAnsi="Arial" w:cs="Arial"/>
          <w:lang w:val="es-ES"/>
        </w:rPr>
        <w:t xml:space="preserve">de </w:t>
      </w:r>
      <w:r w:rsidRPr="003A05DB">
        <w:rPr>
          <w:rFonts w:ascii="Arial" w:hAnsi="Arial" w:cs="Arial"/>
          <w:lang w:val="es-ES"/>
        </w:rPr>
        <w:t xml:space="preserve">la </w:t>
      </w:r>
      <w:r w:rsidR="004777D8" w:rsidRPr="003A05DB">
        <w:rPr>
          <w:rFonts w:ascii="Arial" w:hAnsi="Arial" w:cs="Arial"/>
          <w:lang w:val="es-ES"/>
        </w:rPr>
        <w:t xml:space="preserve">Región la Pacífico Central </w:t>
      </w:r>
      <w:r w:rsidRPr="003A05DB">
        <w:rPr>
          <w:rFonts w:ascii="Arial" w:hAnsi="Arial" w:cs="Arial"/>
          <w:lang w:val="es-ES"/>
        </w:rPr>
        <w:t xml:space="preserve">en comparación con el IDS, éste </w:t>
      </w:r>
      <w:r w:rsidR="004777D8" w:rsidRPr="003A05DB">
        <w:rPr>
          <w:rFonts w:ascii="Arial" w:hAnsi="Arial" w:cs="Arial"/>
          <w:lang w:val="es-ES"/>
        </w:rPr>
        <w:t xml:space="preserve">muestra una menor variación </w:t>
      </w:r>
      <w:r w:rsidRPr="003A05DB">
        <w:rPr>
          <w:rFonts w:ascii="Arial" w:hAnsi="Arial" w:cs="Arial"/>
          <w:lang w:val="es-ES"/>
        </w:rPr>
        <w:t>en los distritos y posee un valor p</w:t>
      </w:r>
      <w:r w:rsidR="004777D8" w:rsidRPr="003A05DB">
        <w:rPr>
          <w:rFonts w:ascii="Arial" w:hAnsi="Arial" w:cs="Arial"/>
          <w:lang w:val="es-ES"/>
        </w:rPr>
        <w:t xml:space="preserve">romedio de </w:t>
      </w:r>
      <w:r w:rsidRPr="003A05DB">
        <w:rPr>
          <w:rFonts w:ascii="Arial" w:hAnsi="Arial" w:cs="Arial"/>
          <w:lang w:val="es-ES"/>
        </w:rPr>
        <w:t xml:space="preserve">IDS de </w:t>
      </w:r>
      <w:r w:rsidR="004777D8" w:rsidRPr="003A05DB">
        <w:rPr>
          <w:rFonts w:ascii="Arial" w:hAnsi="Arial" w:cs="Arial"/>
          <w:lang w:val="es-ES"/>
        </w:rPr>
        <w:t xml:space="preserve">61,0. </w:t>
      </w:r>
    </w:p>
    <w:p w:rsidR="004777D8" w:rsidRPr="003A05DB" w:rsidRDefault="004777D8" w:rsidP="0065315E">
      <w:pPr>
        <w:spacing w:after="240" w:line="276" w:lineRule="auto"/>
        <w:jc w:val="both"/>
        <w:rPr>
          <w:rFonts w:ascii="Arial" w:hAnsi="Arial" w:cs="Arial"/>
          <w:lang w:val="es-ES"/>
        </w:rPr>
      </w:pPr>
      <w:r w:rsidRPr="003A05DB">
        <w:rPr>
          <w:rFonts w:ascii="Arial" w:hAnsi="Arial" w:cs="Arial"/>
          <w:lang w:val="es-ES"/>
        </w:rPr>
        <w:t xml:space="preserve">En el caso del nivel bajo, luego de la provincia de San José, las provincias de Guanacaste, Alajuela y Puntarenas son </w:t>
      </w:r>
      <w:r w:rsidR="0065315E" w:rsidRPr="003A05DB">
        <w:rPr>
          <w:rFonts w:ascii="Arial" w:hAnsi="Arial" w:cs="Arial"/>
          <w:lang w:val="es-ES"/>
        </w:rPr>
        <w:t xml:space="preserve">las que presentan mayor cantidad </w:t>
      </w:r>
      <w:r w:rsidRPr="003A05DB">
        <w:rPr>
          <w:rFonts w:ascii="Arial" w:hAnsi="Arial" w:cs="Arial"/>
          <w:lang w:val="es-ES"/>
        </w:rPr>
        <w:t>de distritos</w:t>
      </w:r>
      <w:r w:rsidR="0065315E" w:rsidRPr="003A05DB">
        <w:rPr>
          <w:rFonts w:ascii="Arial" w:hAnsi="Arial" w:cs="Arial"/>
          <w:lang w:val="es-ES"/>
        </w:rPr>
        <w:t xml:space="preserve"> en este nivel</w:t>
      </w:r>
      <w:r w:rsidRPr="003A05DB">
        <w:rPr>
          <w:rFonts w:ascii="Arial" w:hAnsi="Arial" w:cs="Arial"/>
          <w:lang w:val="es-ES"/>
        </w:rPr>
        <w:t xml:space="preserve">, cuatro de cada cinco unidades administrativas se </w:t>
      </w:r>
      <w:r w:rsidR="0065315E" w:rsidRPr="003A05DB">
        <w:rPr>
          <w:rFonts w:ascii="Arial" w:hAnsi="Arial" w:cs="Arial"/>
          <w:lang w:val="es-ES"/>
        </w:rPr>
        <w:t xml:space="preserve">encuentran </w:t>
      </w:r>
      <w:r w:rsidRPr="003A05DB">
        <w:rPr>
          <w:rFonts w:ascii="Arial" w:hAnsi="Arial" w:cs="Arial"/>
          <w:lang w:val="es-ES"/>
        </w:rPr>
        <w:t xml:space="preserve">en estas provincias (35, 32, 27 y 25, respectivamente). Finalmente, en el caso del nivel </w:t>
      </w:r>
      <w:r w:rsidR="0065315E" w:rsidRPr="003A05DB">
        <w:rPr>
          <w:rFonts w:ascii="Arial" w:hAnsi="Arial" w:cs="Arial"/>
          <w:lang w:val="es-ES"/>
        </w:rPr>
        <w:t>m</w:t>
      </w:r>
      <w:r w:rsidRPr="003A05DB">
        <w:rPr>
          <w:rFonts w:ascii="Arial" w:hAnsi="Arial" w:cs="Arial"/>
          <w:lang w:val="es-ES"/>
        </w:rPr>
        <w:t xml:space="preserve">uy </w:t>
      </w:r>
      <w:r w:rsidR="0065315E" w:rsidRPr="003A05DB">
        <w:rPr>
          <w:rFonts w:ascii="Arial" w:hAnsi="Arial" w:cs="Arial"/>
          <w:lang w:val="es-ES"/>
        </w:rPr>
        <w:t>b</w:t>
      </w:r>
      <w:r w:rsidRPr="003A05DB">
        <w:rPr>
          <w:rFonts w:ascii="Arial" w:hAnsi="Arial" w:cs="Arial"/>
          <w:lang w:val="es-ES"/>
        </w:rPr>
        <w:t xml:space="preserve">ajo, la provincia de Puntarenas </w:t>
      </w:r>
      <w:r w:rsidR="0065315E" w:rsidRPr="003A05DB">
        <w:rPr>
          <w:rFonts w:ascii="Arial" w:hAnsi="Arial" w:cs="Arial"/>
          <w:lang w:val="es-ES"/>
        </w:rPr>
        <w:t xml:space="preserve">es la que cuenta con mayor número de distritos en este nivel, seguida de </w:t>
      </w:r>
      <w:r w:rsidRPr="003A05DB">
        <w:rPr>
          <w:rFonts w:ascii="Arial" w:hAnsi="Arial" w:cs="Arial"/>
          <w:lang w:val="es-ES"/>
        </w:rPr>
        <w:t>Limón y Alajuela</w:t>
      </w:r>
      <w:r w:rsidR="0065315E" w:rsidRPr="003A05DB">
        <w:rPr>
          <w:rFonts w:ascii="Arial" w:hAnsi="Arial" w:cs="Arial"/>
          <w:lang w:val="es-ES"/>
        </w:rPr>
        <w:t xml:space="preserve">.  En </w:t>
      </w:r>
      <w:r w:rsidRPr="003A05DB">
        <w:rPr>
          <w:rFonts w:ascii="Arial" w:hAnsi="Arial" w:cs="Arial"/>
          <w:lang w:val="es-ES"/>
        </w:rPr>
        <w:t xml:space="preserve">estas tres </w:t>
      </w:r>
      <w:r w:rsidR="0065315E" w:rsidRPr="003A05DB">
        <w:rPr>
          <w:rFonts w:ascii="Arial" w:hAnsi="Arial" w:cs="Arial"/>
          <w:lang w:val="es-ES"/>
        </w:rPr>
        <w:t xml:space="preserve">provincias se encuentra el </w:t>
      </w:r>
      <w:r w:rsidRPr="003A05DB">
        <w:rPr>
          <w:rFonts w:ascii="Arial" w:hAnsi="Arial" w:cs="Arial"/>
          <w:lang w:val="es-ES"/>
        </w:rPr>
        <w:t>70% de los distritos que pertenecen a esta categoría</w:t>
      </w:r>
      <w:r w:rsidR="001F6F9F">
        <w:rPr>
          <w:rStyle w:val="Refdenotaalpie"/>
          <w:rFonts w:ascii="Arial" w:hAnsi="Arial" w:cs="Arial"/>
        </w:rPr>
        <w:footnoteReference w:id="11"/>
      </w:r>
      <w:r w:rsidR="001F6F9F" w:rsidRPr="003A05DB">
        <w:rPr>
          <w:rFonts w:ascii="Arial" w:hAnsi="Arial" w:cs="Arial"/>
          <w:lang w:val="es-ES"/>
        </w:rPr>
        <w:t>.</w:t>
      </w:r>
    </w:p>
    <w:p w:rsidR="00CE4114" w:rsidRPr="003A05DB" w:rsidRDefault="00CE4114" w:rsidP="00C802FF">
      <w:pPr>
        <w:jc w:val="center"/>
        <w:rPr>
          <w:rFonts w:ascii="Arial" w:hAnsi="Arial" w:cs="Arial"/>
          <w:b/>
          <w:lang w:val="es-ES"/>
        </w:rPr>
      </w:pPr>
    </w:p>
    <w:p w:rsidR="004777D8" w:rsidRPr="00C802FF" w:rsidRDefault="004777D8" w:rsidP="00C802FF">
      <w:pPr>
        <w:jc w:val="center"/>
        <w:rPr>
          <w:rFonts w:ascii="Arial" w:hAnsi="Arial" w:cs="Arial"/>
          <w:b/>
        </w:rPr>
      </w:pPr>
      <w:r w:rsidRPr="00C802FF">
        <w:rPr>
          <w:rFonts w:ascii="Arial" w:hAnsi="Arial" w:cs="Arial"/>
          <w:b/>
        </w:rPr>
        <w:t xml:space="preserve">Gráfico </w:t>
      </w:r>
      <w:r w:rsidR="00C802FF" w:rsidRPr="00C802FF">
        <w:rPr>
          <w:rFonts w:ascii="Arial" w:hAnsi="Arial" w:cs="Arial"/>
          <w:b/>
        </w:rPr>
        <w:t>1</w:t>
      </w:r>
      <w:r w:rsidR="005C5A74">
        <w:rPr>
          <w:rFonts w:ascii="Arial" w:hAnsi="Arial" w:cs="Arial"/>
          <w:b/>
        </w:rPr>
        <w:t>5</w:t>
      </w:r>
    </w:p>
    <w:p w:rsidR="00C802FF" w:rsidRPr="00C802FF" w:rsidRDefault="004777D8" w:rsidP="00C802FF">
      <w:pPr>
        <w:jc w:val="center"/>
        <w:rPr>
          <w:rFonts w:ascii="Arial" w:hAnsi="Arial" w:cs="Arial"/>
          <w:b/>
        </w:rPr>
      </w:pPr>
      <w:r w:rsidRPr="00C802FF">
        <w:rPr>
          <w:rFonts w:ascii="Arial" w:hAnsi="Arial" w:cs="Arial"/>
          <w:b/>
        </w:rPr>
        <w:t>Costa Rica: Incidencia de VIF</w:t>
      </w:r>
      <w:r w:rsidR="0079469A">
        <w:rPr>
          <w:rFonts w:ascii="Arial" w:hAnsi="Arial" w:cs="Arial"/>
          <w:b/>
        </w:rPr>
        <w:t xml:space="preserve"> por notificación,</w:t>
      </w:r>
      <w:r w:rsidRPr="00C802FF">
        <w:rPr>
          <w:rFonts w:ascii="Arial" w:hAnsi="Arial" w:cs="Arial"/>
          <w:b/>
        </w:rPr>
        <w:t xml:space="preserve"> </w:t>
      </w:r>
    </w:p>
    <w:p w:rsidR="00C802FF" w:rsidRPr="003A05DB" w:rsidRDefault="004777D8" w:rsidP="00C802FF">
      <w:pPr>
        <w:jc w:val="center"/>
        <w:rPr>
          <w:rFonts w:ascii="Arial" w:hAnsi="Arial" w:cs="Arial"/>
          <w:lang w:val="es-ES"/>
        </w:rPr>
      </w:pPr>
      <w:r w:rsidRPr="003A05DB">
        <w:rPr>
          <w:rFonts w:ascii="Arial" w:hAnsi="Arial" w:cs="Arial"/>
          <w:b/>
          <w:lang w:val="es-ES"/>
        </w:rPr>
        <w:t xml:space="preserve">según </w:t>
      </w:r>
      <w:r w:rsidR="0079469A" w:rsidRPr="003A05DB">
        <w:rPr>
          <w:rFonts w:ascii="Arial" w:hAnsi="Arial" w:cs="Arial"/>
          <w:b/>
          <w:lang w:val="es-ES"/>
        </w:rPr>
        <w:t xml:space="preserve">provincial, </w:t>
      </w:r>
      <w:r w:rsidRPr="003A05DB">
        <w:rPr>
          <w:rFonts w:ascii="Arial" w:hAnsi="Arial" w:cs="Arial"/>
          <w:b/>
          <w:lang w:val="es-ES"/>
        </w:rPr>
        <w:t xml:space="preserve"> 2014-2018* </w:t>
      </w:r>
    </w:p>
    <w:p w:rsidR="004777D8" w:rsidRPr="003A05DB" w:rsidRDefault="004777D8" w:rsidP="00C802FF">
      <w:pPr>
        <w:spacing w:after="240" w:line="276" w:lineRule="auto"/>
        <w:jc w:val="center"/>
        <w:rPr>
          <w:rFonts w:ascii="Arial" w:hAnsi="Arial" w:cs="Arial"/>
          <w:sz w:val="20"/>
          <w:szCs w:val="20"/>
          <w:lang w:val="es-ES"/>
        </w:rPr>
      </w:pPr>
      <w:r w:rsidRPr="003A05DB">
        <w:rPr>
          <w:rFonts w:ascii="Arial" w:hAnsi="Arial" w:cs="Arial"/>
          <w:sz w:val="20"/>
          <w:szCs w:val="20"/>
          <w:lang w:val="es-ES"/>
        </w:rPr>
        <w:t>(tasa por 100 000 habitantes)</w:t>
      </w:r>
    </w:p>
    <w:p w:rsidR="004777D8" w:rsidRDefault="004777D8" w:rsidP="004777D8">
      <w:pPr>
        <w:spacing w:line="360" w:lineRule="auto"/>
        <w:jc w:val="center"/>
        <w:rPr>
          <w:rFonts w:ascii="Arial" w:hAnsi="Arial" w:cs="Arial"/>
        </w:rPr>
      </w:pPr>
      <w:r>
        <w:rPr>
          <w:noProof/>
          <w:lang w:val="es-CR" w:eastAsia="es-CR"/>
        </w:rPr>
        <w:drawing>
          <wp:inline distT="0" distB="0" distL="0" distR="0" wp14:anchorId="706289D4" wp14:editId="0F4E78D6">
            <wp:extent cx="4549140" cy="2260756"/>
            <wp:effectExtent l="0" t="0" r="3810" b="6350"/>
            <wp:docPr id="59" name="Gráfico 59">
              <a:extLst xmlns:a="http://schemas.openxmlformats.org/drawingml/2006/main">
                <a:ext uri="{FF2B5EF4-FFF2-40B4-BE49-F238E27FC236}">
                  <a16:creationId xmlns:a16="http://schemas.microsoft.com/office/drawing/2014/main" id="{FD73E708-B87A-46FE-A3F5-DE2153B4AA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777D8" w:rsidRPr="00C802FF" w:rsidRDefault="004777D8" w:rsidP="00C802FF">
      <w:pPr>
        <w:spacing w:after="240" w:line="360" w:lineRule="auto"/>
        <w:jc w:val="center"/>
        <w:rPr>
          <w:rFonts w:ascii="Arial" w:hAnsi="Arial" w:cs="Arial"/>
        </w:rPr>
      </w:pPr>
      <w:r w:rsidRPr="00C802FF">
        <w:rPr>
          <w:rFonts w:ascii="Arial" w:eastAsia="Times New Roman" w:hAnsi="Arial" w:cs="Arial"/>
          <w:b/>
          <w:color w:val="000000"/>
          <w:sz w:val="16"/>
          <w:szCs w:val="16"/>
          <w:lang w:val="es-CR" w:eastAsia="es-CR"/>
        </w:rPr>
        <w:t>Fuente:</w:t>
      </w:r>
      <w:r w:rsidRPr="00C36458">
        <w:rPr>
          <w:rFonts w:ascii="Arial" w:eastAsia="Times New Roman" w:hAnsi="Arial" w:cs="Arial"/>
          <w:color w:val="000000"/>
          <w:sz w:val="16"/>
          <w:szCs w:val="16"/>
          <w:lang w:val="es-CR" w:eastAsia="es-CR"/>
        </w:rPr>
        <w:t xml:space="preserve"> </w:t>
      </w:r>
      <w:r w:rsidRPr="00C802FF">
        <w:rPr>
          <w:rFonts w:ascii="Arial" w:eastAsia="Times New Roman" w:hAnsi="Arial" w:cs="Arial"/>
          <w:color w:val="000000"/>
          <w:sz w:val="16"/>
          <w:szCs w:val="16"/>
          <w:lang w:val="es-CR" w:eastAsia="es-CR"/>
        </w:rPr>
        <w:t>Dirección de Vigilancia de la Salud, Ministerio de Salud</w:t>
      </w:r>
      <w:r w:rsidR="006A60CF">
        <w:rPr>
          <w:rFonts w:ascii="Arial" w:eastAsia="Times New Roman" w:hAnsi="Arial" w:cs="Arial"/>
          <w:color w:val="000000"/>
          <w:sz w:val="16"/>
          <w:szCs w:val="16"/>
          <w:lang w:val="es-CR" w:eastAsia="es-CR"/>
        </w:rPr>
        <w:t>, 2019.</w:t>
      </w:r>
    </w:p>
    <w:p w:rsidR="005C5A74" w:rsidRDefault="005C5A74" w:rsidP="004777D8">
      <w:pPr>
        <w:spacing w:line="276" w:lineRule="auto"/>
        <w:jc w:val="both"/>
        <w:rPr>
          <w:rFonts w:ascii="Arial" w:hAnsi="Arial" w:cs="Arial"/>
        </w:rPr>
      </w:pPr>
    </w:p>
    <w:p w:rsidR="004777D8" w:rsidRPr="003A05DB" w:rsidRDefault="008210BB" w:rsidP="004777D8">
      <w:pPr>
        <w:spacing w:line="276" w:lineRule="auto"/>
        <w:jc w:val="both"/>
        <w:rPr>
          <w:rFonts w:ascii="Arial" w:hAnsi="Arial" w:cs="Arial"/>
          <w:lang w:val="es-ES"/>
        </w:rPr>
      </w:pPr>
      <w:r w:rsidRPr="003A05DB">
        <w:rPr>
          <w:rFonts w:ascii="Arial" w:hAnsi="Arial" w:cs="Arial"/>
          <w:lang w:val="es-ES"/>
        </w:rPr>
        <w:t>Como se muestra en el gráfico 1</w:t>
      </w:r>
      <w:r w:rsidR="005C5A74" w:rsidRPr="003A05DB">
        <w:rPr>
          <w:rFonts w:ascii="Arial" w:hAnsi="Arial" w:cs="Arial"/>
          <w:lang w:val="es-ES"/>
        </w:rPr>
        <w:t>5</w:t>
      </w:r>
      <w:r w:rsidR="004777D8" w:rsidRPr="003A05DB">
        <w:rPr>
          <w:rFonts w:ascii="Arial" w:hAnsi="Arial" w:cs="Arial"/>
          <w:lang w:val="es-ES"/>
        </w:rPr>
        <w:t xml:space="preserve">, </w:t>
      </w:r>
      <w:r w:rsidR="0079469A" w:rsidRPr="003A05DB">
        <w:rPr>
          <w:rFonts w:ascii="Arial" w:hAnsi="Arial" w:cs="Arial"/>
          <w:lang w:val="es-ES"/>
        </w:rPr>
        <w:t xml:space="preserve">en los últimos cuatro años, </w:t>
      </w:r>
      <w:r w:rsidR="00C857F1" w:rsidRPr="003A05DB">
        <w:rPr>
          <w:rFonts w:ascii="Arial" w:hAnsi="Arial" w:cs="Arial"/>
          <w:lang w:val="es-ES"/>
        </w:rPr>
        <w:t xml:space="preserve">el cantón de </w:t>
      </w:r>
      <w:r w:rsidR="004777D8" w:rsidRPr="003A05DB">
        <w:rPr>
          <w:rFonts w:ascii="Arial" w:hAnsi="Arial" w:cs="Arial"/>
          <w:lang w:val="es-ES"/>
        </w:rPr>
        <w:t xml:space="preserve">Coto Brus </w:t>
      </w:r>
      <w:r w:rsidR="0079469A" w:rsidRPr="003A05DB">
        <w:rPr>
          <w:rFonts w:ascii="Arial" w:hAnsi="Arial" w:cs="Arial"/>
          <w:lang w:val="es-ES"/>
        </w:rPr>
        <w:t>ha</w:t>
      </w:r>
      <w:r w:rsidR="004777D8" w:rsidRPr="003A05DB">
        <w:rPr>
          <w:rFonts w:ascii="Arial" w:hAnsi="Arial" w:cs="Arial"/>
          <w:lang w:val="es-ES"/>
        </w:rPr>
        <w:t xml:space="preserve"> </w:t>
      </w:r>
      <w:r w:rsidRPr="003A05DB">
        <w:rPr>
          <w:rFonts w:ascii="Arial" w:hAnsi="Arial" w:cs="Arial"/>
          <w:lang w:val="es-ES"/>
        </w:rPr>
        <w:t xml:space="preserve">presentado </w:t>
      </w:r>
      <w:r w:rsidR="004777D8" w:rsidRPr="003A05DB">
        <w:rPr>
          <w:rFonts w:ascii="Arial" w:hAnsi="Arial" w:cs="Arial"/>
          <w:lang w:val="es-ES"/>
        </w:rPr>
        <w:t xml:space="preserve">las tasas </w:t>
      </w:r>
      <w:r w:rsidRPr="003A05DB">
        <w:rPr>
          <w:rFonts w:ascii="Arial" w:hAnsi="Arial" w:cs="Arial"/>
          <w:lang w:val="es-ES"/>
        </w:rPr>
        <w:t xml:space="preserve">de incidencia </w:t>
      </w:r>
      <w:r w:rsidR="004777D8" w:rsidRPr="003A05DB">
        <w:rPr>
          <w:rFonts w:ascii="Arial" w:hAnsi="Arial" w:cs="Arial"/>
          <w:lang w:val="es-ES"/>
        </w:rPr>
        <w:t>más altas</w:t>
      </w:r>
      <w:r w:rsidRPr="003A05DB">
        <w:rPr>
          <w:rFonts w:ascii="Arial" w:hAnsi="Arial" w:cs="Arial"/>
          <w:lang w:val="es-ES"/>
        </w:rPr>
        <w:t xml:space="preserve"> de VIF</w:t>
      </w:r>
      <w:r w:rsidR="00C857F1" w:rsidRPr="003A05DB">
        <w:rPr>
          <w:rFonts w:ascii="Arial" w:hAnsi="Arial" w:cs="Arial"/>
          <w:lang w:val="es-ES"/>
        </w:rPr>
        <w:t xml:space="preserve">. </w:t>
      </w:r>
      <w:r w:rsidR="004777D8" w:rsidRPr="003A05DB">
        <w:rPr>
          <w:rFonts w:ascii="Arial" w:hAnsi="Arial" w:cs="Arial"/>
          <w:lang w:val="es-ES"/>
        </w:rPr>
        <w:t xml:space="preserve"> </w:t>
      </w:r>
    </w:p>
    <w:p w:rsidR="00C857F1" w:rsidRPr="003A05DB" w:rsidRDefault="00C857F1" w:rsidP="004777D8">
      <w:pPr>
        <w:spacing w:line="276" w:lineRule="auto"/>
        <w:jc w:val="both"/>
        <w:rPr>
          <w:rFonts w:ascii="Arial" w:hAnsi="Arial" w:cs="Arial"/>
          <w:lang w:val="es-ES"/>
        </w:rPr>
      </w:pPr>
    </w:p>
    <w:p w:rsidR="004777D8" w:rsidRDefault="004777D8" w:rsidP="00C857F1">
      <w:pPr>
        <w:spacing w:after="240" w:line="276" w:lineRule="auto"/>
        <w:jc w:val="both"/>
        <w:rPr>
          <w:rFonts w:ascii="Arial" w:hAnsi="Arial" w:cs="Arial"/>
        </w:rPr>
      </w:pPr>
      <w:r w:rsidRPr="003A05DB">
        <w:rPr>
          <w:rFonts w:ascii="Arial" w:hAnsi="Arial" w:cs="Arial"/>
          <w:lang w:val="es-ES"/>
        </w:rPr>
        <w:t xml:space="preserve">Según el </w:t>
      </w:r>
      <w:r w:rsidR="00C857F1" w:rsidRPr="003A05DB">
        <w:rPr>
          <w:rFonts w:ascii="Arial" w:hAnsi="Arial" w:cs="Arial"/>
          <w:lang w:val="es-ES"/>
        </w:rPr>
        <w:t>Í</w:t>
      </w:r>
      <w:r w:rsidRPr="003A05DB">
        <w:rPr>
          <w:rFonts w:ascii="Arial" w:hAnsi="Arial" w:cs="Arial"/>
          <w:lang w:val="es-ES"/>
        </w:rPr>
        <w:t xml:space="preserve">ndice </w:t>
      </w:r>
      <w:r w:rsidR="00C857F1" w:rsidRPr="003A05DB">
        <w:rPr>
          <w:rFonts w:ascii="Arial" w:hAnsi="Arial" w:cs="Arial"/>
          <w:lang w:val="es-ES"/>
        </w:rPr>
        <w:t>C</w:t>
      </w:r>
      <w:r w:rsidRPr="003A05DB">
        <w:rPr>
          <w:rFonts w:ascii="Arial" w:hAnsi="Arial" w:cs="Arial"/>
          <w:lang w:val="es-ES"/>
        </w:rPr>
        <w:t>antonal</w:t>
      </w:r>
      <w:r w:rsidR="00C857F1" w:rsidRPr="003A05DB">
        <w:rPr>
          <w:rFonts w:ascii="Arial" w:hAnsi="Arial" w:cs="Arial"/>
          <w:lang w:val="es-ES"/>
        </w:rPr>
        <w:t>-</w:t>
      </w:r>
      <w:r w:rsidRPr="003A05DB">
        <w:rPr>
          <w:rFonts w:ascii="Arial" w:hAnsi="Arial" w:cs="Arial"/>
          <w:lang w:val="es-ES"/>
        </w:rPr>
        <w:t>2017</w:t>
      </w:r>
      <w:r w:rsidR="00C857F1" w:rsidRPr="003A05DB">
        <w:rPr>
          <w:rFonts w:ascii="Arial" w:hAnsi="Arial" w:cs="Arial"/>
          <w:lang w:val="es-ES"/>
        </w:rPr>
        <w:t>,</w:t>
      </w:r>
      <w:r w:rsidRPr="003A05DB">
        <w:rPr>
          <w:rFonts w:ascii="Arial" w:hAnsi="Arial" w:cs="Arial"/>
          <w:lang w:val="es-ES"/>
        </w:rPr>
        <w:t xml:space="preserve"> este cantón </w:t>
      </w:r>
      <w:r w:rsidR="00C857F1" w:rsidRPr="003A05DB">
        <w:rPr>
          <w:rFonts w:ascii="Arial" w:hAnsi="Arial" w:cs="Arial"/>
          <w:lang w:val="es-ES"/>
        </w:rPr>
        <w:t>posee</w:t>
      </w:r>
      <w:r w:rsidRPr="003A05DB">
        <w:rPr>
          <w:rFonts w:ascii="Arial" w:hAnsi="Arial" w:cs="Arial"/>
          <w:lang w:val="es-ES"/>
        </w:rPr>
        <w:t xml:space="preserve"> un índice de desarrollo social bajo</w:t>
      </w:r>
      <w:r w:rsidR="00C857F1" w:rsidRPr="003A05DB">
        <w:rPr>
          <w:rFonts w:ascii="Arial" w:hAnsi="Arial" w:cs="Arial"/>
          <w:lang w:val="es-ES"/>
        </w:rPr>
        <w:t>.</w:t>
      </w:r>
      <w:r w:rsidRPr="003A05DB">
        <w:rPr>
          <w:rFonts w:ascii="Arial" w:hAnsi="Arial" w:cs="Arial"/>
          <w:lang w:val="es-ES"/>
        </w:rPr>
        <w:t xml:space="preserve"> </w:t>
      </w:r>
      <w:r w:rsidR="00C857F1">
        <w:rPr>
          <w:rFonts w:ascii="Arial" w:hAnsi="Arial" w:cs="Arial"/>
        </w:rPr>
        <w:t>L</w:t>
      </w:r>
      <w:r>
        <w:rPr>
          <w:rFonts w:ascii="Arial" w:hAnsi="Arial" w:cs="Arial"/>
        </w:rPr>
        <w:t>a Región Brunca se caracteriza por ser una zona agrícola (café, frijoles, plátanos</w:t>
      </w:r>
      <w:r w:rsidR="00C857F1">
        <w:rPr>
          <w:rFonts w:ascii="Arial" w:hAnsi="Arial" w:cs="Arial"/>
        </w:rPr>
        <w:t>, entre otros)</w:t>
      </w:r>
      <w:r>
        <w:rPr>
          <w:rFonts w:ascii="Arial" w:hAnsi="Arial" w:cs="Arial"/>
        </w:rPr>
        <w:t xml:space="preserve">, con </w:t>
      </w:r>
      <w:r w:rsidR="00C857F1">
        <w:rPr>
          <w:rFonts w:ascii="Arial" w:hAnsi="Arial" w:cs="Arial"/>
        </w:rPr>
        <w:t xml:space="preserve">una </w:t>
      </w:r>
      <w:r>
        <w:rPr>
          <w:rFonts w:ascii="Arial" w:hAnsi="Arial" w:cs="Arial"/>
        </w:rPr>
        <w:t>población blanca</w:t>
      </w:r>
      <w:r w:rsidR="00C857F1">
        <w:rPr>
          <w:rFonts w:ascii="Arial" w:hAnsi="Arial" w:cs="Arial"/>
        </w:rPr>
        <w:t xml:space="preserve"> e</w:t>
      </w:r>
      <w:r>
        <w:rPr>
          <w:rFonts w:ascii="Arial" w:hAnsi="Arial" w:cs="Arial"/>
        </w:rPr>
        <w:t xml:space="preserve"> indígena (8,8%)</w:t>
      </w:r>
      <w:r w:rsidR="00C857F1">
        <w:rPr>
          <w:rFonts w:ascii="Arial" w:hAnsi="Arial" w:cs="Arial"/>
        </w:rPr>
        <w:t>,</w:t>
      </w:r>
      <w:r>
        <w:rPr>
          <w:rFonts w:ascii="Arial" w:hAnsi="Arial" w:cs="Arial"/>
        </w:rPr>
        <w:t xml:space="preserve"> el 49% </w:t>
      </w:r>
      <w:r w:rsidR="00C857F1">
        <w:rPr>
          <w:rFonts w:ascii="Arial" w:hAnsi="Arial" w:cs="Arial"/>
        </w:rPr>
        <w:t>es</w:t>
      </w:r>
      <w:r>
        <w:rPr>
          <w:rFonts w:ascii="Arial" w:hAnsi="Arial" w:cs="Arial"/>
        </w:rPr>
        <w:t xml:space="preserve"> </w:t>
      </w:r>
      <w:r w:rsidR="00C857F1">
        <w:rPr>
          <w:rFonts w:ascii="Arial" w:hAnsi="Arial" w:cs="Arial"/>
        </w:rPr>
        <w:t>femenina</w:t>
      </w:r>
      <w:r>
        <w:rPr>
          <w:rFonts w:ascii="Arial" w:hAnsi="Arial" w:cs="Arial"/>
        </w:rPr>
        <w:t xml:space="preserve">, </w:t>
      </w:r>
      <w:r w:rsidR="00C857F1">
        <w:rPr>
          <w:rFonts w:ascii="Arial" w:hAnsi="Arial" w:cs="Arial"/>
        </w:rPr>
        <w:t xml:space="preserve">y el </w:t>
      </w:r>
      <w:r>
        <w:rPr>
          <w:rFonts w:ascii="Arial" w:hAnsi="Arial" w:cs="Arial"/>
        </w:rPr>
        <w:t>54,51% de las personas jóvenes que iniciaron la formac</w:t>
      </w:r>
      <w:r w:rsidR="00C857F1">
        <w:rPr>
          <w:rFonts w:ascii="Arial" w:hAnsi="Arial" w:cs="Arial"/>
        </w:rPr>
        <w:t>ión académica no la concluyeron</w:t>
      </w:r>
      <w:r>
        <w:rPr>
          <w:rFonts w:ascii="Arial" w:hAnsi="Arial" w:cs="Arial"/>
        </w:rPr>
        <w:t xml:space="preserve">. </w:t>
      </w:r>
    </w:p>
    <w:p w:rsidR="004777D8" w:rsidRPr="004A0955" w:rsidRDefault="004777D8" w:rsidP="00C857F1">
      <w:pPr>
        <w:spacing w:after="240" w:line="276" w:lineRule="auto"/>
        <w:jc w:val="both"/>
        <w:rPr>
          <w:rFonts w:ascii="Arial" w:hAnsi="Arial" w:cs="Arial"/>
          <w:i/>
        </w:rPr>
      </w:pPr>
      <w:r>
        <w:rPr>
          <w:rFonts w:ascii="Arial" w:hAnsi="Arial" w:cs="Arial"/>
        </w:rPr>
        <w:t xml:space="preserve">El porcentaje de analfabetismo es del 5,3% muy por encima del promedio nacional (2,4%) y en el caso de Coto Brus, las mujeres </w:t>
      </w:r>
      <w:r w:rsidR="00C857F1">
        <w:rPr>
          <w:rFonts w:ascii="Arial" w:hAnsi="Arial" w:cs="Arial"/>
        </w:rPr>
        <w:t>constituyen el</w:t>
      </w:r>
      <w:r>
        <w:rPr>
          <w:rFonts w:ascii="Arial" w:hAnsi="Arial" w:cs="Arial"/>
        </w:rPr>
        <w:t xml:space="preserve"> </w:t>
      </w:r>
      <w:r w:rsidR="00C857F1">
        <w:rPr>
          <w:rFonts w:ascii="Arial" w:hAnsi="Arial" w:cs="Arial"/>
        </w:rPr>
        <w:t xml:space="preserve">52% </w:t>
      </w:r>
      <w:r>
        <w:rPr>
          <w:rFonts w:ascii="Arial" w:hAnsi="Arial" w:cs="Arial"/>
        </w:rPr>
        <w:t xml:space="preserve">de </w:t>
      </w:r>
      <w:r w:rsidR="00C857F1">
        <w:rPr>
          <w:rFonts w:ascii="Arial" w:hAnsi="Arial" w:cs="Arial"/>
        </w:rPr>
        <w:t xml:space="preserve">la población con </w:t>
      </w:r>
      <w:r>
        <w:rPr>
          <w:rFonts w:ascii="Arial" w:hAnsi="Arial" w:cs="Arial"/>
        </w:rPr>
        <w:t xml:space="preserve">analfabetismo, situación que </w:t>
      </w:r>
      <w:r w:rsidR="00C857F1">
        <w:rPr>
          <w:rFonts w:ascii="Arial" w:hAnsi="Arial" w:cs="Arial"/>
        </w:rPr>
        <w:t xml:space="preserve">podría </w:t>
      </w:r>
      <w:r>
        <w:rPr>
          <w:rFonts w:ascii="Arial" w:hAnsi="Arial" w:cs="Arial"/>
        </w:rPr>
        <w:t>incid</w:t>
      </w:r>
      <w:r w:rsidR="00C857F1">
        <w:rPr>
          <w:rFonts w:ascii="Arial" w:hAnsi="Arial" w:cs="Arial"/>
        </w:rPr>
        <w:t>ir</w:t>
      </w:r>
      <w:r>
        <w:rPr>
          <w:rFonts w:ascii="Arial" w:hAnsi="Arial" w:cs="Arial"/>
        </w:rPr>
        <w:t xml:space="preserve"> </w:t>
      </w:r>
      <w:r w:rsidR="00C857F1">
        <w:rPr>
          <w:rFonts w:ascii="Arial" w:hAnsi="Arial" w:cs="Arial"/>
        </w:rPr>
        <w:t xml:space="preserve">en </w:t>
      </w:r>
      <w:r>
        <w:rPr>
          <w:rFonts w:ascii="Arial" w:hAnsi="Arial" w:cs="Arial"/>
        </w:rPr>
        <w:t>su vulnerabilidad</w:t>
      </w:r>
      <w:r w:rsidR="00C857F1">
        <w:rPr>
          <w:rFonts w:ascii="Arial" w:hAnsi="Arial" w:cs="Arial"/>
        </w:rPr>
        <w:t xml:space="preserve"> a sufrir</w:t>
      </w:r>
      <w:r>
        <w:rPr>
          <w:rFonts w:ascii="Arial" w:hAnsi="Arial" w:cs="Arial"/>
        </w:rPr>
        <w:t xml:space="preserve"> </w:t>
      </w:r>
      <w:r w:rsidR="00C857F1">
        <w:rPr>
          <w:rFonts w:ascii="Arial" w:hAnsi="Arial" w:cs="Arial"/>
        </w:rPr>
        <w:t xml:space="preserve">situaciones de violencia y </w:t>
      </w:r>
      <w:r>
        <w:rPr>
          <w:rFonts w:ascii="Arial" w:hAnsi="Arial" w:cs="Arial"/>
        </w:rPr>
        <w:t>dependencia</w:t>
      </w:r>
      <w:r w:rsidR="00C857F1">
        <w:rPr>
          <w:rStyle w:val="Refdenotaalpie"/>
          <w:rFonts w:ascii="Arial" w:hAnsi="Arial" w:cs="Arial"/>
        </w:rPr>
        <w:footnoteReference w:id="12"/>
      </w:r>
      <w:r w:rsidR="00C857F1">
        <w:rPr>
          <w:rFonts w:ascii="Arial" w:hAnsi="Arial" w:cs="Arial"/>
        </w:rPr>
        <w:t>.</w:t>
      </w:r>
    </w:p>
    <w:p w:rsidR="004777D8" w:rsidRDefault="008210BB" w:rsidP="004777D8">
      <w:pPr>
        <w:spacing w:line="276" w:lineRule="auto"/>
        <w:jc w:val="both"/>
        <w:rPr>
          <w:rFonts w:ascii="Arial" w:eastAsiaTheme="minorEastAsia" w:hAnsi="Arial" w:cs="Arial"/>
          <w:color w:val="000000"/>
          <w:kern w:val="24"/>
          <w:lang w:val="es-CR" w:eastAsia="es-PA"/>
        </w:rPr>
      </w:pPr>
      <w:r w:rsidRPr="003A05DB">
        <w:rPr>
          <w:rFonts w:ascii="Arial" w:hAnsi="Arial" w:cs="Arial"/>
          <w:lang w:val="es-ES"/>
        </w:rPr>
        <w:t xml:space="preserve">Los cantones de </w:t>
      </w:r>
      <w:r w:rsidR="004777D8" w:rsidRPr="003A05DB">
        <w:rPr>
          <w:rFonts w:ascii="Arial" w:hAnsi="Arial" w:cs="Arial"/>
          <w:lang w:val="es-ES"/>
        </w:rPr>
        <w:t>Goicoechea y Moravia, presenta</w:t>
      </w:r>
      <w:r w:rsidRPr="003A05DB">
        <w:rPr>
          <w:rFonts w:ascii="Arial" w:hAnsi="Arial" w:cs="Arial"/>
          <w:lang w:val="es-ES"/>
        </w:rPr>
        <w:t xml:space="preserve">ron </w:t>
      </w:r>
      <w:r w:rsidR="004777D8" w:rsidRPr="003A05DB">
        <w:rPr>
          <w:rFonts w:ascii="Arial" w:hAnsi="Arial" w:cs="Arial"/>
          <w:lang w:val="es-ES"/>
        </w:rPr>
        <w:t xml:space="preserve">las tasas </w:t>
      </w:r>
      <w:r w:rsidRPr="003A05DB">
        <w:rPr>
          <w:rFonts w:ascii="Arial" w:hAnsi="Arial" w:cs="Arial"/>
          <w:lang w:val="es-ES"/>
        </w:rPr>
        <w:t xml:space="preserve">de incidencia </w:t>
      </w:r>
      <w:r w:rsidR="004777D8" w:rsidRPr="003A05DB">
        <w:rPr>
          <w:rFonts w:ascii="Arial" w:hAnsi="Arial" w:cs="Arial"/>
          <w:lang w:val="es-ES"/>
        </w:rPr>
        <w:t xml:space="preserve">más altas </w:t>
      </w:r>
      <w:r w:rsidRPr="003A05DB">
        <w:rPr>
          <w:rFonts w:ascii="Arial" w:hAnsi="Arial" w:cs="Arial"/>
          <w:lang w:val="es-ES"/>
        </w:rPr>
        <w:t>de la provincia de San José, durante el período en studio.  E</w:t>
      </w:r>
      <w:r w:rsidR="004777D8" w:rsidRPr="003A05DB">
        <w:rPr>
          <w:rFonts w:ascii="Arial" w:hAnsi="Arial" w:cs="Arial"/>
          <w:lang w:val="es-ES"/>
        </w:rPr>
        <w:t xml:space="preserve">stos cantones se ubican muy cerca </w:t>
      </w:r>
      <w:r w:rsidRPr="003A05DB">
        <w:rPr>
          <w:rFonts w:ascii="Arial" w:hAnsi="Arial" w:cs="Arial"/>
          <w:lang w:val="es-ES"/>
        </w:rPr>
        <w:t>geográficamente</w:t>
      </w:r>
      <w:r w:rsidR="004777D8" w:rsidRPr="003A05DB">
        <w:rPr>
          <w:rFonts w:ascii="Arial" w:hAnsi="Arial" w:cs="Arial"/>
          <w:lang w:val="es-ES"/>
        </w:rPr>
        <w:t xml:space="preserve">, comparten grupos poblacionales de riesgo, algunos en condiciones socioeconómicas difíciles, con problemas </w:t>
      </w:r>
      <w:r w:rsidRPr="003A05DB">
        <w:rPr>
          <w:rFonts w:ascii="Arial" w:hAnsi="Arial" w:cs="Arial"/>
          <w:lang w:val="es-ES"/>
        </w:rPr>
        <w:t>de</w:t>
      </w:r>
      <w:r w:rsidR="004777D8" w:rsidRPr="003A05DB">
        <w:rPr>
          <w:rFonts w:ascii="Arial" w:hAnsi="Arial" w:cs="Arial"/>
          <w:lang w:val="es-ES"/>
        </w:rPr>
        <w:t xml:space="preserve"> acce</w:t>
      </w:r>
      <w:r w:rsidRPr="003A05DB">
        <w:rPr>
          <w:rFonts w:ascii="Arial" w:hAnsi="Arial" w:cs="Arial"/>
          <w:lang w:val="es-ES"/>
        </w:rPr>
        <w:t>so</w:t>
      </w:r>
      <w:r w:rsidR="004777D8" w:rsidRPr="003A05DB">
        <w:rPr>
          <w:rFonts w:ascii="Arial" w:hAnsi="Arial" w:cs="Arial"/>
          <w:lang w:val="es-ES"/>
        </w:rPr>
        <w:t xml:space="preserve"> a puestos de trabajo permanentes, así como a la continuidad de estudios superiores o al término de la formación académica.</w:t>
      </w:r>
      <w:r w:rsidR="004777D8" w:rsidRPr="00213B18">
        <w:rPr>
          <w:rFonts w:ascii="Arial" w:eastAsiaTheme="minorEastAsia" w:hAnsi="Arial" w:cs="Arial"/>
          <w:color w:val="000000"/>
          <w:kern w:val="24"/>
          <w:lang w:val="es-CR" w:eastAsia="es-PA"/>
        </w:rPr>
        <w:t xml:space="preserve"> </w:t>
      </w:r>
    </w:p>
    <w:p w:rsidR="004777D8" w:rsidRDefault="004777D8" w:rsidP="004777D8">
      <w:pPr>
        <w:spacing w:line="276" w:lineRule="auto"/>
        <w:jc w:val="both"/>
        <w:rPr>
          <w:rFonts w:ascii="Arial" w:eastAsiaTheme="minorEastAsia" w:hAnsi="Arial" w:cs="Arial"/>
          <w:color w:val="000000"/>
          <w:kern w:val="24"/>
          <w:lang w:val="es-CR" w:eastAsia="es-PA"/>
        </w:rPr>
      </w:pPr>
    </w:p>
    <w:p w:rsidR="004777D8" w:rsidRPr="00A52041" w:rsidRDefault="004777D8" w:rsidP="004777D8">
      <w:pPr>
        <w:spacing w:line="276" w:lineRule="auto"/>
        <w:jc w:val="center"/>
        <w:rPr>
          <w:rFonts w:ascii="Arial" w:eastAsiaTheme="minorEastAsia" w:hAnsi="Arial" w:cs="Arial"/>
          <w:b/>
          <w:color w:val="000000"/>
          <w:kern w:val="24"/>
          <w:lang w:val="es-CR" w:eastAsia="es-PA"/>
        </w:rPr>
      </w:pPr>
      <w:r w:rsidRPr="00A52041">
        <w:rPr>
          <w:rFonts w:ascii="Arial" w:eastAsiaTheme="minorEastAsia" w:hAnsi="Arial" w:cs="Arial"/>
          <w:b/>
          <w:color w:val="000000"/>
          <w:kern w:val="24"/>
          <w:lang w:val="es-CR" w:eastAsia="es-PA"/>
        </w:rPr>
        <w:t xml:space="preserve">Gráfico </w:t>
      </w:r>
      <w:r w:rsidR="00C857F1">
        <w:rPr>
          <w:rFonts w:ascii="Arial" w:eastAsiaTheme="minorEastAsia" w:hAnsi="Arial" w:cs="Arial"/>
          <w:b/>
          <w:color w:val="000000"/>
          <w:kern w:val="24"/>
          <w:lang w:val="es-CR" w:eastAsia="es-PA"/>
        </w:rPr>
        <w:t>1</w:t>
      </w:r>
      <w:r w:rsidR="002313C3">
        <w:rPr>
          <w:rFonts w:ascii="Arial" w:eastAsiaTheme="minorEastAsia" w:hAnsi="Arial" w:cs="Arial"/>
          <w:b/>
          <w:color w:val="000000"/>
          <w:kern w:val="24"/>
          <w:lang w:val="es-CR" w:eastAsia="es-PA"/>
        </w:rPr>
        <w:t>6</w:t>
      </w:r>
    </w:p>
    <w:p w:rsidR="008210BB" w:rsidRPr="008210BB" w:rsidRDefault="004777D8" w:rsidP="004777D8">
      <w:pPr>
        <w:spacing w:line="276" w:lineRule="auto"/>
        <w:jc w:val="center"/>
        <w:rPr>
          <w:rFonts w:ascii="Arial" w:hAnsi="Arial" w:cs="Arial"/>
          <w:b/>
          <w:lang w:val="es-CR"/>
        </w:rPr>
      </w:pPr>
      <w:r w:rsidRPr="008210BB">
        <w:rPr>
          <w:rFonts w:ascii="Arial" w:hAnsi="Arial" w:cs="Arial"/>
          <w:b/>
          <w:lang w:val="es-CR"/>
        </w:rPr>
        <w:t>Costa Rica</w:t>
      </w:r>
      <w:r w:rsidR="002313C3">
        <w:rPr>
          <w:rFonts w:ascii="Arial" w:hAnsi="Arial" w:cs="Arial"/>
          <w:b/>
          <w:lang w:val="es-CR"/>
        </w:rPr>
        <w:t>:</w:t>
      </w:r>
      <w:r w:rsidRPr="008210BB">
        <w:rPr>
          <w:rFonts w:ascii="Arial" w:hAnsi="Arial" w:cs="Arial"/>
          <w:b/>
          <w:lang w:val="es-CR"/>
        </w:rPr>
        <w:t xml:space="preserve"> </w:t>
      </w:r>
      <w:r w:rsidR="002313C3">
        <w:rPr>
          <w:rFonts w:ascii="Arial" w:hAnsi="Arial" w:cs="Arial"/>
          <w:b/>
          <w:lang w:val="es-CR"/>
        </w:rPr>
        <w:t>I</w:t>
      </w:r>
      <w:r w:rsidRPr="008210BB">
        <w:rPr>
          <w:rFonts w:ascii="Arial" w:hAnsi="Arial" w:cs="Arial"/>
          <w:b/>
          <w:lang w:val="es-CR"/>
        </w:rPr>
        <w:t xml:space="preserve">ncidencia de VIF según </w:t>
      </w:r>
      <w:r w:rsidR="00C857F1" w:rsidRPr="008210BB">
        <w:rPr>
          <w:rFonts w:ascii="Arial" w:hAnsi="Arial" w:cs="Arial"/>
          <w:b/>
          <w:lang w:val="es-CR"/>
        </w:rPr>
        <w:t xml:space="preserve">los diez </w:t>
      </w:r>
    </w:p>
    <w:p w:rsidR="00C857F1" w:rsidRPr="008210BB" w:rsidRDefault="008210BB" w:rsidP="004777D8">
      <w:pPr>
        <w:spacing w:line="276" w:lineRule="auto"/>
        <w:jc w:val="center"/>
        <w:rPr>
          <w:rFonts w:ascii="Arial" w:hAnsi="Arial" w:cs="Arial"/>
          <w:b/>
          <w:lang w:val="es-CR"/>
        </w:rPr>
      </w:pPr>
      <w:r w:rsidRPr="008210BB">
        <w:rPr>
          <w:rFonts w:ascii="Arial" w:hAnsi="Arial" w:cs="Arial"/>
          <w:b/>
          <w:lang w:val="es-CR"/>
        </w:rPr>
        <w:t xml:space="preserve">primeros cantones, </w:t>
      </w:r>
      <w:r w:rsidR="004777D8" w:rsidRPr="008210BB">
        <w:rPr>
          <w:rFonts w:ascii="Arial" w:hAnsi="Arial" w:cs="Arial"/>
          <w:b/>
          <w:lang w:val="es-CR"/>
        </w:rPr>
        <w:t xml:space="preserve">2014-2018 </w:t>
      </w:r>
    </w:p>
    <w:p w:rsidR="004777D8" w:rsidRPr="00C857F1" w:rsidRDefault="004777D8" w:rsidP="004777D8">
      <w:pPr>
        <w:spacing w:line="276" w:lineRule="auto"/>
        <w:jc w:val="center"/>
        <w:rPr>
          <w:rFonts w:ascii="Arial" w:hAnsi="Arial" w:cs="Arial"/>
          <w:sz w:val="20"/>
          <w:szCs w:val="20"/>
          <w:lang w:val="es-CR"/>
        </w:rPr>
      </w:pPr>
      <w:r w:rsidRPr="00C857F1">
        <w:rPr>
          <w:rFonts w:ascii="Arial" w:hAnsi="Arial" w:cs="Arial"/>
          <w:sz w:val="20"/>
          <w:szCs w:val="20"/>
          <w:lang w:val="es-CR"/>
        </w:rPr>
        <w:t>(tasa por 100</w:t>
      </w:r>
      <w:r w:rsidR="0052274D">
        <w:rPr>
          <w:rFonts w:ascii="Arial" w:hAnsi="Arial" w:cs="Arial"/>
          <w:sz w:val="20"/>
          <w:szCs w:val="20"/>
          <w:lang w:val="es-CR"/>
        </w:rPr>
        <w:t>.</w:t>
      </w:r>
      <w:r w:rsidRPr="00C857F1">
        <w:rPr>
          <w:rFonts w:ascii="Arial" w:hAnsi="Arial" w:cs="Arial"/>
          <w:sz w:val="20"/>
          <w:szCs w:val="20"/>
          <w:lang w:val="es-CR"/>
        </w:rPr>
        <w:t>000 habitantes)</w:t>
      </w:r>
    </w:p>
    <w:p w:rsidR="004777D8" w:rsidRDefault="004777D8" w:rsidP="004777D8">
      <w:pPr>
        <w:spacing w:line="276" w:lineRule="auto"/>
        <w:jc w:val="center"/>
        <w:rPr>
          <w:rFonts w:ascii="Arial" w:hAnsi="Arial" w:cs="Arial"/>
          <w:lang w:val="es-CR"/>
        </w:rPr>
      </w:pPr>
      <w:r>
        <w:rPr>
          <w:noProof/>
          <w:lang w:val="es-CR" w:eastAsia="es-CR"/>
        </w:rPr>
        <w:drawing>
          <wp:inline distT="0" distB="0" distL="0" distR="0" wp14:anchorId="507E7618" wp14:editId="1E855415">
            <wp:extent cx="4974505" cy="1972102"/>
            <wp:effectExtent l="0" t="0" r="0" b="0"/>
            <wp:docPr id="3" name="Gráfico 3">
              <a:extLst xmlns:a="http://schemas.openxmlformats.org/drawingml/2006/main">
                <a:ext uri="{FF2B5EF4-FFF2-40B4-BE49-F238E27FC236}">
                  <a16:creationId xmlns:a16="http://schemas.microsoft.com/office/drawing/2014/main" id="{5C791142-4198-40D3-A047-FD81D47884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777D8" w:rsidRDefault="004777D8" w:rsidP="004777D8">
      <w:pPr>
        <w:spacing w:line="360" w:lineRule="auto"/>
        <w:jc w:val="center"/>
        <w:rPr>
          <w:rFonts w:ascii="Arial" w:hAnsi="Arial" w:cs="Arial"/>
        </w:rPr>
      </w:pPr>
      <w:r w:rsidRPr="0052274D">
        <w:rPr>
          <w:rFonts w:ascii="Arial" w:eastAsia="Times New Roman" w:hAnsi="Arial" w:cs="Arial"/>
          <w:b/>
          <w:color w:val="000000"/>
          <w:sz w:val="16"/>
          <w:szCs w:val="16"/>
          <w:lang w:val="es-CR" w:eastAsia="es-CR"/>
        </w:rPr>
        <w:t>Fuente:</w:t>
      </w:r>
      <w:r w:rsidRPr="00C36458">
        <w:rPr>
          <w:rFonts w:ascii="Arial" w:eastAsia="Times New Roman" w:hAnsi="Arial" w:cs="Arial"/>
          <w:color w:val="000000"/>
          <w:sz w:val="16"/>
          <w:szCs w:val="16"/>
          <w:lang w:val="es-CR" w:eastAsia="es-CR"/>
        </w:rPr>
        <w:t xml:space="preserve"> Dirección de Vigilancia</w:t>
      </w:r>
      <w:r>
        <w:rPr>
          <w:rFonts w:ascii="Arial" w:eastAsia="Times New Roman" w:hAnsi="Arial" w:cs="Arial"/>
          <w:color w:val="000000"/>
          <w:sz w:val="16"/>
          <w:szCs w:val="16"/>
          <w:lang w:val="es-CR" w:eastAsia="es-CR"/>
        </w:rPr>
        <w:t xml:space="preserve"> de la Salud, Ministerio de Salud</w:t>
      </w:r>
      <w:r w:rsidR="008210BB">
        <w:rPr>
          <w:rFonts w:ascii="Arial" w:eastAsia="Times New Roman" w:hAnsi="Arial" w:cs="Arial"/>
          <w:color w:val="000000"/>
          <w:sz w:val="16"/>
          <w:szCs w:val="16"/>
          <w:lang w:val="es-CR" w:eastAsia="es-CR"/>
        </w:rPr>
        <w:t>, 2019.</w:t>
      </w:r>
    </w:p>
    <w:p w:rsidR="004777D8" w:rsidRDefault="004777D8" w:rsidP="004777D8">
      <w:pPr>
        <w:spacing w:line="276" w:lineRule="auto"/>
        <w:jc w:val="both"/>
        <w:rPr>
          <w:rFonts w:ascii="Arial" w:hAnsi="Arial" w:cs="Arial"/>
          <w:lang w:val="es-CR"/>
        </w:rPr>
      </w:pPr>
    </w:p>
    <w:p w:rsidR="004777D8" w:rsidRPr="003A05DB" w:rsidRDefault="00AD53BB" w:rsidP="00AD53BB">
      <w:pPr>
        <w:spacing w:after="240" w:line="276" w:lineRule="auto"/>
        <w:jc w:val="both"/>
        <w:rPr>
          <w:rFonts w:ascii="Arial" w:hAnsi="Arial" w:cs="Arial"/>
          <w:lang w:val="es-ES"/>
        </w:rPr>
      </w:pPr>
      <w:r w:rsidRPr="003A05DB">
        <w:rPr>
          <w:rFonts w:ascii="Arial" w:hAnsi="Arial" w:cs="Arial"/>
          <w:lang w:val="es-ES"/>
        </w:rPr>
        <w:t>Con respecto a la incidencia de VIF según grupo de edad (Gráfico 1</w:t>
      </w:r>
      <w:r w:rsidR="002313C3" w:rsidRPr="003A05DB">
        <w:rPr>
          <w:rFonts w:ascii="Arial" w:hAnsi="Arial" w:cs="Arial"/>
          <w:lang w:val="es-ES"/>
        </w:rPr>
        <w:t>6</w:t>
      </w:r>
      <w:r w:rsidRPr="003A05DB">
        <w:rPr>
          <w:rFonts w:ascii="Arial" w:hAnsi="Arial" w:cs="Arial"/>
          <w:lang w:val="es-ES"/>
        </w:rPr>
        <w:t>)</w:t>
      </w:r>
      <w:r w:rsidR="004777D8" w:rsidRPr="003A05DB">
        <w:rPr>
          <w:rFonts w:ascii="Arial" w:hAnsi="Arial" w:cs="Arial"/>
          <w:lang w:val="es-ES"/>
        </w:rPr>
        <w:t xml:space="preserve">, las tasas más altas de incidencia de casos notificados de violencia intrafamiliar, </w:t>
      </w:r>
      <w:r w:rsidRPr="003A05DB">
        <w:rPr>
          <w:rFonts w:ascii="Arial" w:hAnsi="Arial" w:cs="Arial"/>
          <w:lang w:val="es-ES"/>
        </w:rPr>
        <w:t xml:space="preserve">se presentan </w:t>
      </w:r>
      <w:r w:rsidR="004777D8" w:rsidRPr="003A05DB">
        <w:rPr>
          <w:rFonts w:ascii="Arial" w:hAnsi="Arial" w:cs="Arial"/>
          <w:lang w:val="es-ES"/>
        </w:rPr>
        <w:t>en los grupos de menor</w:t>
      </w:r>
      <w:r w:rsidRPr="003A05DB">
        <w:rPr>
          <w:rFonts w:ascii="Arial" w:hAnsi="Arial" w:cs="Arial"/>
          <w:lang w:val="es-ES"/>
        </w:rPr>
        <w:t>es</w:t>
      </w:r>
      <w:r w:rsidR="004777D8" w:rsidRPr="003A05DB">
        <w:rPr>
          <w:rFonts w:ascii="Arial" w:hAnsi="Arial" w:cs="Arial"/>
          <w:lang w:val="es-ES"/>
        </w:rPr>
        <w:t xml:space="preserve"> de un año, de 10 a 14 años y de 75 años y más. </w:t>
      </w:r>
    </w:p>
    <w:p w:rsidR="004777D8" w:rsidRPr="003A05DB" w:rsidRDefault="004777D8" w:rsidP="00AD53BB">
      <w:pPr>
        <w:spacing w:after="240" w:line="276" w:lineRule="auto"/>
        <w:rPr>
          <w:rFonts w:ascii="Arial" w:hAnsi="Arial" w:cs="Arial"/>
          <w:lang w:val="es-ES"/>
        </w:rPr>
      </w:pPr>
      <w:r w:rsidRPr="003A05DB">
        <w:rPr>
          <w:rFonts w:ascii="Arial" w:hAnsi="Arial" w:cs="Arial"/>
          <w:lang w:val="es-ES"/>
        </w:rPr>
        <w:lastRenderedPageBreak/>
        <w:t xml:space="preserve">Asimismo, </w:t>
      </w:r>
      <w:r w:rsidR="00AD53BB" w:rsidRPr="003A05DB">
        <w:rPr>
          <w:rFonts w:ascii="Arial" w:hAnsi="Arial" w:cs="Arial"/>
          <w:lang w:val="es-ES"/>
        </w:rPr>
        <w:t>el</w:t>
      </w:r>
      <w:r w:rsidRPr="003A05DB">
        <w:rPr>
          <w:rFonts w:ascii="Arial" w:hAnsi="Arial" w:cs="Arial"/>
          <w:lang w:val="es-ES"/>
        </w:rPr>
        <w:t xml:space="preserve"> grupo de 15 a 19 años present</w:t>
      </w:r>
      <w:r w:rsidR="00AD53BB" w:rsidRPr="003A05DB">
        <w:rPr>
          <w:rFonts w:ascii="Arial" w:hAnsi="Arial" w:cs="Arial"/>
          <w:lang w:val="es-ES"/>
        </w:rPr>
        <w:t>ó</w:t>
      </w:r>
      <w:r w:rsidRPr="003A05DB">
        <w:rPr>
          <w:rFonts w:ascii="Arial" w:hAnsi="Arial" w:cs="Arial"/>
          <w:lang w:val="es-ES"/>
        </w:rPr>
        <w:t xml:space="preserve"> </w:t>
      </w:r>
      <w:r w:rsidR="00AD53BB" w:rsidRPr="003A05DB">
        <w:rPr>
          <w:rFonts w:ascii="Arial" w:hAnsi="Arial" w:cs="Arial"/>
          <w:lang w:val="es-ES"/>
        </w:rPr>
        <w:t xml:space="preserve">la </w:t>
      </w:r>
      <w:r w:rsidRPr="003A05DB">
        <w:rPr>
          <w:rFonts w:ascii="Arial" w:hAnsi="Arial" w:cs="Arial"/>
          <w:lang w:val="es-ES"/>
        </w:rPr>
        <w:t xml:space="preserve">tasa de incidencia más alta con relación a los grupos de edad </w:t>
      </w:r>
      <w:r w:rsidR="00AD53BB" w:rsidRPr="003A05DB">
        <w:rPr>
          <w:rFonts w:ascii="Arial" w:hAnsi="Arial" w:cs="Arial"/>
          <w:lang w:val="es-ES"/>
        </w:rPr>
        <w:t>siguientes, las cuales vuelve a aumentar a partir de los 65 años.</w:t>
      </w:r>
      <w:r w:rsidRPr="003A05DB">
        <w:rPr>
          <w:rFonts w:ascii="Arial" w:hAnsi="Arial" w:cs="Arial"/>
          <w:lang w:val="es-ES"/>
        </w:rPr>
        <w:t xml:space="preserve"> </w:t>
      </w:r>
    </w:p>
    <w:p w:rsidR="004777D8" w:rsidRDefault="004777D8" w:rsidP="004777D8">
      <w:pPr>
        <w:spacing w:line="276" w:lineRule="auto"/>
        <w:jc w:val="both"/>
        <w:rPr>
          <w:rFonts w:ascii="Arial" w:hAnsi="Arial" w:cs="Arial"/>
        </w:rPr>
      </w:pPr>
      <w:r>
        <w:rPr>
          <w:rFonts w:ascii="Arial" w:hAnsi="Arial" w:cs="Arial"/>
        </w:rPr>
        <w:t>Las tasas que van en aumento se ubican en los extremos de los grupos poblacionales, es decir menores de edad y adultos mayores, poblaciones que por sus características psicosociales</w:t>
      </w:r>
      <w:r w:rsidR="00AD53BB">
        <w:rPr>
          <w:rFonts w:ascii="Arial" w:hAnsi="Arial" w:cs="Arial"/>
        </w:rPr>
        <w:t>,</w:t>
      </w:r>
      <w:r>
        <w:rPr>
          <w:rFonts w:ascii="Arial" w:hAnsi="Arial" w:cs="Arial"/>
        </w:rPr>
        <w:t xml:space="preserve"> económicas y culturales, son altamente dependientes y vulnerables</w:t>
      </w:r>
      <w:r w:rsidR="00AD53BB">
        <w:rPr>
          <w:rFonts w:ascii="Arial" w:hAnsi="Arial" w:cs="Arial"/>
        </w:rPr>
        <w:t>;</w:t>
      </w:r>
      <w:r>
        <w:rPr>
          <w:rFonts w:ascii="Arial" w:hAnsi="Arial" w:cs="Arial"/>
        </w:rPr>
        <w:t xml:space="preserve"> lo cual </w:t>
      </w:r>
      <w:r w:rsidR="00AD53BB">
        <w:rPr>
          <w:rFonts w:ascii="Arial" w:hAnsi="Arial" w:cs="Arial"/>
        </w:rPr>
        <w:t xml:space="preserve">los expone a </w:t>
      </w:r>
      <w:r>
        <w:rPr>
          <w:rFonts w:ascii="Arial" w:hAnsi="Arial" w:cs="Arial"/>
        </w:rPr>
        <w:t>ser víctimas de algún tipo de violencia en el escenario familiar.</w:t>
      </w:r>
    </w:p>
    <w:p w:rsidR="008210BB" w:rsidRDefault="008210BB">
      <w:pPr>
        <w:spacing w:after="160" w:line="259" w:lineRule="auto"/>
        <w:rPr>
          <w:rFonts w:ascii="Arial" w:hAnsi="Arial" w:cs="Arial"/>
          <w:b/>
        </w:rPr>
      </w:pPr>
    </w:p>
    <w:p w:rsidR="004777D8" w:rsidRPr="008210BB" w:rsidRDefault="004777D8" w:rsidP="008210BB">
      <w:pPr>
        <w:jc w:val="center"/>
        <w:rPr>
          <w:rFonts w:ascii="Arial" w:hAnsi="Arial" w:cs="Arial"/>
          <w:b/>
        </w:rPr>
      </w:pPr>
      <w:r w:rsidRPr="008210BB">
        <w:rPr>
          <w:rFonts w:ascii="Arial" w:hAnsi="Arial" w:cs="Arial"/>
          <w:b/>
        </w:rPr>
        <w:t xml:space="preserve">Gráfico </w:t>
      </w:r>
      <w:r w:rsidR="008210BB" w:rsidRPr="008210BB">
        <w:rPr>
          <w:rFonts w:ascii="Arial" w:hAnsi="Arial" w:cs="Arial"/>
          <w:b/>
        </w:rPr>
        <w:t>1</w:t>
      </w:r>
      <w:r w:rsidR="002313C3">
        <w:rPr>
          <w:rFonts w:ascii="Arial" w:hAnsi="Arial" w:cs="Arial"/>
          <w:b/>
        </w:rPr>
        <w:t>7</w:t>
      </w:r>
    </w:p>
    <w:p w:rsidR="0052274D" w:rsidRDefault="004777D8" w:rsidP="008210BB">
      <w:pPr>
        <w:jc w:val="center"/>
        <w:rPr>
          <w:rFonts w:ascii="Arial" w:hAnsi="Arial" w:cs="Arial"/>
          <w:b/>
          <w:lang w:val="es-CR"/>
        </w:rPr>
      </w:pPr>
      <w:r w:rsidRPr="008210BB">
        <w:rPr>
          <w:rFonts w:ascii="Arial" w:hAnsi="Arial" w:cs="Arial"/>
          <w:b/>
          <w:lang w:val="es-CR"/>
        </w:rPr>
        <w:t>Costa Rica</w:t>
      </w:r>
      <w:r w:rsidR="008210BB">
        <w:rPr>
          <w:rFonts w:ascii="Arial" w:hAnsi="Arial" w:cs="Arial"/>
          <w:b/>
          <w:lang w:val="es-CR"/>
        </w:rPr>
        <w:t>:</w:t>
      </w:r>
      <w:r w:rsidRPr="008210BB">
        <w:rPr>
          <w:rFonts w:ascii="Arial" w:hAnsi="Arial" w:cs="Arial"/>
          <w:b/>
          <w:lang w:val="es-CR"/>
        </w:rPr>
        <w:t xml:space="preserve"> </w:t>
      </w:r>
      <w:r w:rsidR="008210BB">
        <w:rPr>
          <w:rFonts w:ascii="Arial" w:hAnsi="Arial" w:cs="Arial"/>
          <w:b/>
          <w:lang w:val="es-CR"/>
        </w:rPr>
        <w:t>I</w:t>
      </w:r>
      <w:r w:rsidRPr="008210BB">
        <w:rPr>
          <w:rFonts w:ascii="Arial" w:hAnsi="Arial" w:cs="Arial"/>
          <w:b/>
          <w:lang w:val="es-CR"/>
        </w:rPr>
        <w:t>ncidencia de VIF</w:t>
      </w:r>
      <w:r w:rsidR="008210BB">
        <w:rPr>
          <w:rFonts w:ascii="Arial" w:hAnsi="Arial" w:cs="Arial"/>
          <w:b/>
          <w:lang w:val="es-CR"/>
        </w:rPr>
        <w:t xml:space="preserve"> por notificación,</w:t>
      </w:r>
      <w:r w:rsidRPr="008210BB">
        <w:rPr>
          <w:rFonts w:ascii="Arial" w:hAnsi="Arial" w:cs="Arial"/>
          <w:b/>
          <w:lang w:val="es-CR"/>
        </w:rPr>
        <w:t xml:space="preserve"> </w:t>
      </w:r>
    </w:p>
    <w:p w:rsidR="008210BB" w:rsidRDefault="004777D8" w:rsidP="008210BB">
      <w:pPr>
        <w:jc w:val="center"/>
        <w:rPr>
          <w:rFonts w:ascii="Arial" w:hAnsi="Arial" w:cs="Arial"/>
          <w:lang w:val="es-CR"/>
        </w:rPr>
      </w:pPr>
      <w:r w:rsidRPr="008210BB">
        <w:rPr>
          <w:rFonts w:ascii="Arial" w:hAnsi="Arial" w:cs="Arial"/>
          <w:b/>
          <w:lang w:val="es-CR"/>
        </w:rPr>
        <w:t>según grupo de edad, 2014-2018</w:t>
      </w:r>
      <w:r w:rsidRPr="00E62598">
        <w:rPr>
          <w:rFonts w:ascii="Arial" w:hAnsi="Arial" w:cs="Arial"/>
          <w:lang w:val="es-CR"/>
        </w:rPr>
        <w:t xml:space="preserve"> </w:t>
      </w:r>
    </w:p>
    <w:p w:rsidR="004777D8" w:rsidRPr="003A05DB" w:rsidRDefault="004777D8" w:rsidP="004777D8">
      <w:pPr>
        <w:spacing w:line="276" w:lineRule="auto"/>
        <w:jc w:val="center"/>
        <w:rPr>
          <w:rFonts w:ascii="Arial" w:hAnsi="Arial" w:cs="Arial"/>
          <w:sz w:val="20"/>
          <w:szCs w:val="20"/>
          <w:lang w:val="es-ES"/>
        </w:rPr>
      </w:pPr>
      <w:r w:rsidRPr="008210BB">
        <w:rPr>
          <w:rFonts w:ascii="Arial" w:hAnsi="Arial" w:cs="Arial"/>
          <w:sz w:val="20"/>
          <w:szCs w:val="20"/>
          <w:lang w:val="es-CR"/>
        </w:rPr>
        <w:t>(tasa promedio quinquenal por 100 000 habitantes)</w:t>
      </w:r>
    </w:p>
    <w:p w:rsidR="004777D8" w:rsidRPr="00E62598" w:rsidRDefault="004777D8" w:rsidP="004777D8">
      <w:pPr>
        <w:spacing w:line="276" w:lineRule="auto"/>
        <w:jc w:val="center"/>
        <w:rPr>
          <w:rFonts w:ascii="Arial" w:hAnsi="Arial" w:cs="Arial"/>
          <w:color w:val="C45911" w:themeColor="accent2" w:themeShade="BF"/>
        </w:rPr>
      </w:pPr>
      <w:r>
        <w:rPr>
          <w:noProof/>
          <w:lang w:val="es-CR" w:eastAsia="es-CR"/>
        </w:rPr>
        <w:drawing>
          <wp:inline distT="0" distB="0" distL="0" distR="0" wp14:anchorId="7BF7698A" wp14:editId="5D98D103">
            <wp:extent cx="4403393" cy="2429301"/>
            <wp:effectExtent l="0" t="0" r="0" b="0"/>
            <wp:docPr id="63" name="Gráfico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777D8" w:rsidRDefault="004777D8" w:rsidP="004777D8">
      <w:pPr>
        <w:spacing w:line="360" w:lineRule="auto"/>
        <w:jc w:val="center"/>
        <w:rPr>
          <w:rFonts w:ascii="Arial" w:hAnsi="Arial" w:cs="Arial"/>
        </w:rPr>
      </w:pPr>
      <w:r w:rsidRPr="002313C3">
        <w:rPr>
          <w:rFonts w:ascii="Arial" w:eastAsia="Times New Roman" w:hAnsi="Arial" w:cs="Arial"/>
          <w:b/>
          <w:color w:val="000000"/>
          <w:sz w:val="16"/>
          <w:szCs w:val="16"/>
          <w:lang w:val="es-CR" w:eastAsia="es-CR"/>
        </w:rPr>
        <w:t>Fuente:</w:t>
      </w:r>
      <w:r w:rsidRPr="00C36458">
        <w:rPr>
          <w:rFonts w:ascii="Arial" w:eastAsia="Times New Roman" w:hAnsi="Arial" w:cs="Arial"/>
          <w:color w:val="000000"/>
          <w:sz w:val="16"/>
          <w:szCs w:val="16"/>
          <w:lang w:val="es-CR" w:eastAsia="es-CR"/>
        </w:rPr>
        <w:t xml:space="preserve"> Dirección de Vigilancia</w:t>
      </w:r>
      <w:r>
        <w:rPr>
          <w:rFonts w:ascii="Arial" w:eastAsia="Times New Roman" w:hAnsi="Arial" w:cs="Arial"/>
          <w:color w:val="000000"/>
          <w:sz w:val="16"/>
          <w:szCs w:val="16"/>
          <w:lang w:val="es-CR" w:eastAsia="es-CR"/>
        </w:rPr>
        <w:t xml:space="preserve"> de la Salud, Ministerio de Salud</w:t>
      </w:r>
      <w:r w:rsidR="008210BB">
        <w:rPr>
          <w:rFonts w:ascii="Arial" w:eastAsia="Times New Roman" w:hAnsi="Arial" w:cs="Arial"/>
          <w:color w:val="000000"/>
          <w:sz w:val="16"/>
          <w:szCs w:val="16"/>
          <w:lang w:val="es-CR" w:eastAsia="es-CR"/>
        </w:rPr>
        <w:t>, 20</w:t>
      </w:r>
      <w:r w:rsidR="00AD53BB">
        <w:rPr>
          <w:rFonts w:ascii="Arial" w:eastAsia="Times New Roman" w:hAnsi="Arial" w:cs="Arial"/>
          <w:color w:val="000000"/>
          <w:sz w:val="16"/>
          <w:szCs w:val="16"/>
          <w:lang w:val="es-CR" w:eastAsia="es-CR"/>
        </w:rPr>
        <w:t>19.</w:t>
      </w:r>
    </w:p>
    <w:p w:rsidR="004777D8" w:rsidRDefault="004777D8" w:rsidP="004777D8">
      <w:pPr>
        <w:spacing w:line="276" w:lineRule="auto"/>
        <w:jc w:val="both"/>
        <w:rPr>
          <w:rFonts w:ascii="Arial" w:hAnsi="Arial" w:cs="Arial"/>
        </w:rPr>
      </w:pPr>
    </w:p>
    <w:p w:rsidR="004777D8" w:rsidRPr="003A05DB" w:rsidRDefault="00900CB3" w:rsidP="004777D8">
      <w:pPr>
        <w:spacing w:line="276" w:lineRule="auto"/>
        <w:jc w:val="both"/>
        <w:rPr>
          <w:rFonts w:ascii="Arial" w:hAnsi="Arial" w:cs="Arial"/>
          <w:lang w:val="es-ES"/>
        </w:rPr>
      </w:pPr>
      <w:r w:rsidRPr="003A05DB">
        <w:rPr>
          <w:rFonts w:ascii="Arial" w:hAnsi="Arial" w:cs="Arial"/>
          <w:lang w:val="es-ES"/>
        </w:rPr>
        <w:t xml:space="preserve">La evidencia muestra que los casos de VIF en cualquiera de sus formas se concentra en las mujeres, </w:t>
      </w:r>
      <w:r w:rsidR="004777D8" w:rsidRPr="003A05DB">
        <w:rPr>
          <w:rFonts w:ascii="Arial" w:hAnsi="Arial" w:cs="Arial"/>
          <w:lang w:val="es-ES"/>
        </w:rPr>
        <w:t>sin distingo de edades.</w:t>
      </w:r>
      <w:r w:rsidRPr="003A05DB">
        <w:rPr>
          <w:rFonts w:ascii="Arial" w:hAnsi="Arial" w:cs="Arial"/>
          <w:lang w:val="es-ES"/>
        </w:rPr>
        <w:t xml:space="preserve"> </w:t>
      </w:r>
      <w:r w:rsidR="004777D8" w:rsidRPr="003A05DB">
        <w:rPr>
          <w:rFonts w:ascii="Arial" w:hAnsi="Arial" w:cs="Arial"/>
          <w:lang w:val="es-ES"/>
        </w:rPr>
        <w:t>La diferencia entre hombres y mujeres es amplia, la razón mujer</w:t>
      </w:r>
      <w:r w:rsidRPr="003A05DB">
        <w:rPr>
          <w:rFonts w:ascii="Arial" w:hAnsi="Arial" w:cs="Arial"/>
          <w:lang w:val="es-ES"/>
        </w:rPr>
        <w:t>:</w:t>
      </w:r>
      <w:r w:rsidR="004777D8" w:rsidRPr="003A05DB">
        <w:rPr>
          <w:rFonts w:ascii="Arial" w:hAnsi="Arial" w:cs="Arial"/>
          <w:lang w:val="es-ES"/>
        </w:rPr>
        <w:t xml:space="preserve">hombre es 2,6/1, por cada hombre que sufre VIF hay 2,6 mujeres que </w:t>
      </w:r>
      <w:r w:rsidRPr="003A05DB">
        <w:rPr>
          <w:rFonts w:ascii="Arial" w:hAnsi="Arial" w:cs="Arial"/>
          <w:lang w:val="es-ES"/>
        </w:rPr>
        <w:t>también la padece. L</w:t>
      </w:r>
      <w:r w:rsidR="004777D8" w:rsidRPr="003A05DB">
        <w:rPr>
          <w:rFonts w:ascii="Arial" w:hAnsi="Arial" w:cs="Arial"/>
          <w:lang w:val="es-ES"/>
        </w:rPr>
        <w:t xml:space="preserve">a tasa </w:t>
      </w:r>
      <w:r w:rsidRPr="003A05DB">
        <w:rPr>
          <w:rFonts w:ascii="Arial" w:hAnsi="Arial" w:cs="Arial"/>
          <w:lang w:val="es-ES"/>
        </w:rPr>
        <w:t xml:space="preserve">de incidencia </w:t>
      </w:r>
      <w:r w:rsidR="004777D8" w:rsidRPr="003A05DB">
        <w:rPr>
          <w:rFonts w:ascii="Arial" w:hAnsi="Arial" w:cs="Arial"/>
          <w:lang w:val="es-ES"/>
        </w:rPr>
        <w:t xml:space="preserve">más alta </w:t>
      </w:r>
      <w:r w:rsidRPr="003A05DB">
        <w:rPr>
          <w:rFonts w:ascii="Arial" w:hAnsi="Arial" w:cs="Arial"/>
          <w:lang w:val="es-ES"/>
        </w:rPr>
        <w:t xml:space="preserve">de VIF en mujeres se </w:t>
      </w:r>
      <w:r w:rsidR="004777D8" w:rsidRPr="003A05DB">
        <w:rPr>
          <w:rFonts w:ascii="Arial" w:hAnsi="Arial" w:cs="Arial"/>
          <w:lang w:val="es-ES"/>
        </w:rPr>
        <w:t>registró en el 2017</w:t>
      </w:r>
      <w:r w:rsidRPr="003A05DB">
        <w:rPr>
          <w:rFonts w:ascii="Arial" w:hAnsi="Arial" w:cs="Arial"/>
          <w:lang w:val="es-ES"/>
        </w:rPr>
        <w:t>,</w:t>
      </w:r>
      <w:r w:rsidR="004777D8" w:rsidRPr="003A05DB">
        <w:rPr>
          <w:rFonts w:ascii="Arial" w:hAnsi="Arial" w:cs="Arial"/>
          <w:lang w:val="es-ES"/>
        </w:rPr>
        <w:t xml:space="preserve"> </w:t>
      </w:r>
      <w:r w:rsidRPr="003A05DB">
        <w:rPr>
          <w:rFonts w:ascii="Arial" w:hAnsi="Arial" w:cs="Arial"/>
          <w:lang w:val="es-ES"/>
        </w:rPr>
        <w:t xml:space="preserve">que fue de </w:t>
      </w:r>
      <w:r w:rsidR="004777D8" w:rsidRPr="003A05DB">
        <w:rPr>
          <w:rFonts w:ascii="Arial" w:hAnsi="Arial" w:cs="Arial"/>
          <w:lang w:val="es-ES"/>
        </w:rPr>
        <w:t>386,7 casos por 100.000 mujeres</w:t>
      </w:r>
      <w:r w:rsidRPr="003A05DB">
        <w:rPr>
          <w:rFonts w:ascii="Arial" w:hAnsi="Arial" w:cs="Arial"/>
          <w:lang w:val="es-ES"/>
        </w:rPr>
        <w:t>.</w:t>
      </w:r>
    </w:p>
    <w:p w:rsidR="00475BBF" w:rsidRPr="003A05DB" w:rsidRDefault="00475BBF" w:rsidP="004777D8">
      <w:pPr>
        <w:spacing w:line="360" w:lineRule="auto"/>
        <w:jc w:val="both"/>
        <w:rPr>
          <w:rFonts w:ascii="Arial" w:hAnsi="Arial" w:cs="Arial"/>
          <w:lang w:val="es-ES"/>
        </w:rPr>
      </w:pPr>
    </w:p>
    <w:p w:rsidR="002313C3" w:rsidRPr="003A05DB" w:rsidRDefault="002313C3">
      <w:pPr>
        <w:spacing w:after="160" w:line="259" w:lineRule="auto"/>
        <w:rPr>
          <w:rFonts w:ascii="Arial" w:hAnsi="Arial" w:cs="Arial"/>
          <w:lang w:val="es-ES"/>
        </w:rPr>
      </w:pPr>
      <w:r w:rsidRPr="003A05DB">
        <w:rPr>
          <w:rFonts w:ascii="Arial" w:hAnsi="Arial" w:cs="Arial"/>
          <w:lang w:val="es-ES"/>
        </w:rPr>
        <w:br w:type="page"/>
      </w:r>
    </w:p>
    <w:p w:rsidR="00475BBF" w:rsidRDefault="00900CB3" w:rsidP="002313C3">
      <w:pPr>
        <w:pStyle w:val="Ttulo1"/>
        <w:rPr>
          <w:rFonts w:ascii="Arial" w:hAnsi="Arial" w:cs="Arial"/>
        </w:rPr>
      </w:pPr>
      <w:bookmarkStart w:id="38" w:name="_Toc506187952"/>
      <w:bookmarkStart w:id="39" w:name="_Toc7439665"/>
      <w:r w:rsidRPr="002313C3">
        <w:rPr>
          <w:rFonts w:ascii="Arial" w:hAnsi="Arial" w:cs="Arial"/>
        </w:rPr>
        <w:lastRenderedPageBreak/>
        <w:t>Enfermedades transmisibles</w:t>
      </w:r>
      <w:bookmarkEnd w:id="38"/>
      <w:bookmarkEnd w:id="39"/>
    </w:p>
    <w:p w:rsidR="002313C3" w:rsidRPr="002313C3" w:rsidRDefault="002313C3" w:rsidP="002313C3">
      <w:pPr>
        <w:rPr>
          <w:lang w:val="es-CR"/>
        </w:rPr>
      </w:pPr>
    </w:p>
    <w:p w:rsidR="00475BBF" w:rsidRPr="00900CB3" w:rsidRDefault="00900CB3" w:rsidP="00900CB3">
      <w:pPr>
        <w:pStyle w:val="Ttulo2"/>
        <w:rPr>
          <w:rFonts w:ascii="Arial" w:hAnsi="Arial" w:cs="Arial"/>
          <w:b/>
          <w:color w:val="auto"/>
        </w:rPr>
      </w:pPr>
      <w:bookmarkStart w:id="40" w:name="_Toc7439666"/>
      <w:r w:rsidRPr="00900CB3">
        <w:rPr>
          <w:rFonts w:ascii="Arial" w:hAnsi="Arial" w:cs="Arial"/>
          <w:b/>
          <w:color w:val="auto"/>
        </w:rPr>
        <w:t>Enfermedades vectoriales</w:t>
      </w:r>
      <w:bookmarkEnd w:id="40"/>
      <w:r w:rsidRPr="00900CB3">
        <w:rPr>
          <w:rFonts w:ascii="Arial" w:hAnsi="Arial" w:cs="Arial"/>
          <w:b/>
          <w:color w:val="auto"/>
        </w:rPr>
        <w:t xml:space="preserve"> </w:t>
      </w:r>
    </w:p>
    <w:p w:rsidR="00475BBF" w:rsidRPr="00900CB3" w:rsidRDefault="00475BBF" w:rsidP="00475BBF">
      <w:pPr>
        <w:rPr>
          <w:rFonts w:ascii="Arial" w:hAnsi="Arial" w:cs="Arial"/>
          <w:b/>
          <w:lang w:val="es-MX"/>
        </w:rPr>
      </w:pPr>
    </w:p>
    <w:p w:rsidR="00475BBF" w:rsidRPr="002313C3" w:rsidRDefault="00900CB3" w:rsidP="002313C3">
      <w:pPr>
        <w:pStyle w:val="Ttulo3"/>
        <w:rPr>
          <w:rFonts w:ascii="Arial" w:hAnsi="Arial" w:cs="Arial"/>
          <w:b/>
          <w:color w:val="auto"/>
        </w:rPr>
      </w:pPr>
      <w:bookmarkStart w:id="41" w:name="_Toc506187953"/>
      <w:bookmarkStart w:id="42" w:name="_Toc7439667"/>
      <w:r w:rsidRPr="002313C3">
        <w:rPr>
          <w:rFonts w:ascii="Arial" w:hAnsi="Arial" w:cs="Arial"/>
          <w:b/>
          <w:color w:val="auto"/>
        </w:rPr>
        <w:t>Malaria</w:t>
      </w:r>
      <w:bookmarkEnd w:id="41"/>
      <w:bookmarkEnd w:id="42"/>
      <w:r w:rsidRPr="002313C3">
        <w:rPr>
          <w:rFonts w:ascii="Arial" w:hAnsi="Arial" w:cs="Arial"/>
          <w:b/>
          <w:color w:val="auto"/>
        </w:rPr>
        <w:t xml:space="preserve"> </w:t>
      </w:r>
    </w:p>
    <w:p w:rsidR="00475BBF" w:rsidRDefault="00475BBF" w:rsidP="00475BBF">
      <w:pPr>
        <w:spacing w:line="276" w:lineRule="auto"/>
        <w:jc w:val="both"/>
      </w:pPr>
    </w:p>
    <w:p w:rsidR="00165AFD" w:rsidRDefault="00475BBF" w:rsidP="00165AFD">
      <w:pPr>
        <w:spacing w:after="240" w:line="276" w:lineRule="auto"/>
        <w:jc w:val="both"/>
        <w:rPr>
          <w:rFonts w:ascii="Arial" w:hAnsi="Arial" w:cs="Arial"/>
          <w:lang w:val="es-SV" w:eastAsia="es-SV"/>
        </w:rPr>
      </w:pPr>
      <w:r w:rsidRPr="005476E0">
        <w:rPr>
          <w:rFonts w:ascii="Arial" w:eastAsiaTheme="minorEastAsia" w:hAnsi="Arial" w:cs="Arial"/>
          <w:lang w:val="es-SV" w:eastAsia="es-SV"/>
        </w:rPr>
        <w:t>La malaria</w:t>
      </w:r>
      <w:r w:rsidRPr="005476E0">
        <w:rPr>
          <w:rFonts w:ascii="Arial" w:hAnsi="Arial" w:cs="Arial"/>
          <w:lang w:val="es-ES_tradnl"/>
        </w:rPr>
        <w:t xml:space="preserve"> es una enfermedad transmitida por vectores y de importancia para la salud pública en Costa Rica debido al impacto individual, colectivo</w:t>
      </w:r>
      <w:r w:rsidR="00165AFD">
        <w:rPr>
          <w:rFonts w:ascii="Arial" w:hAnsi="Arial" w:cs="Arial"/>
          <w:lang w:val="es-ES_tradnl"/>
        </w:rPr>
        <w:t xml:space="preserve"> y</w:t>
      </w:r>
      <w:r w:rsidRPr="005476E0">
        <w:rPr>
          <w:rFonts w:ascii="Arial" w:hAnsi="Arial" w:cs="Arial"/>
          <w:lang w:val="es-ES_tradnl"/>
        </w:rPr>
        <w:t xml:space="preserve"> social</w:t>
      </w:r>
      <w:r w:rsidR="00165AFD">
        <w:rPr>
          <w:rFonts w:ascii="Arial" w:hAnsi="Arial" w:cs="Arial"/>
          <w:lang w:val="es-ES_tradnl"/>
        </w:rPr>
        <w:t xml:space="preserve">, así como </w:t>
      </w:r>
      <w:r w:rsidRPr="005476E0">
        <w:rPr>
          <w:rFonts w:ascii="Arial" w:hAnsi="Arial" w:cs="Arial"/>
          <w:lang w:val="es-ES_tradnl"/>
        </w:rPr>
        <w:t xml:space="preserve"> por el alto costo que representa para las instituciones su prevención, control y vigilancia.</w:t>
      </w:r>
      <w:r w:rsidRPr="005476E0">
        <w:rPr>
          <w:rFonts w:ascii="Arial" w:hAnsi="Arial" w:cs="Arial"/>
          <w:lang w:val="es-SV" w:eastAsia="es-SV"/>
        </w:rPr>
        <w:t xml:space="preserve"> </w:t>
      </w:r>
    </w:p>
    <w:p w:rsidR="00165AFD" w:rsidRDefault="00475BBF" w:rsidP="00165AFD">
      <w:pPr>
        <w:spacing w:after="240" w:line="276" w:lineRule="auto"/>
        <w:jc w:val="both"/>
        <w:rPr>
          <w:rFonts w:ascii="Arial" w:hAnsi="Arial" w:cs="Arial"/>
          <w:lang w:val="es-SV" w:eastAsia="es-SV"/>
        </w:rPr>
      </w:pPr>
      <w:r w:rsidRPr="005476E0">
        <w:rPr>
          <w:rFonts w:ascii="Arial" w:hAnsi="Arial" w:cs="Arial"/>
          <w:lang w:val="es-SV" w:eastAsia="es-SV"/>
        </w:rPr>
        <w:t xml:space="preserve">Es una enfermedad causada por un parásito del género </w:t>
      </w:r>
      <w:r w:rsidRPr="005476E0">
        <w:rPr>
          <w:rFonts w:ascii="Arial" w:hAnsi="Arial" w:cs="Arial"/>
          <w:i/>
          <w:lang w:val="es-SV" w:eastAsia="es-SV"/>
        </w:rPr>
        <w:t>Plasmodium</w:t>
      </w:r>
      <w:r w:rsidRPr="005476E0">
        <w:rPr>
          <w:rFonts w:ascii="Arial" w:hAnsi="Arial" w:cs="Arial"/>
          <w:lang w:val="es-SV" w:eastAsia="es-SV"/>
        </w:rPr>
        <w:t xml:space="preserve"> y transmitido por un mosquito hembra del género </w:t>
      </w:r>
      <w:r w:rsidRPr="005476E0">
        <w:rPr>
          <w:rFonts w:ascii="Arial" w:hAnsi="Arial" w:cs="Arial"/>
          <w:i/>
          <w:lang w:val="es-SV" w:eastAsia="es-SV"/>
        </w:rPr>
        <w:t>Ano</w:t>
      </w:r>
      <w:r w:rsidR="00165AFD">
        <w:rPr>
          <w:rFonts w:ascii="Arial" w:hAnsi="Arial" w:cs="Arial"/>
          <w:i/>
          <w:lang w:val="es-SV" w:eastAsia="es-SV"/>
        </w:rPr>
        <w:t>p</w:t>
      </w:r>
      <w:r w:rsidRPr="005476E0">
        <w:rPr>
          <w:rFonts w:ascii="Arial" w:hAnsi="Arial" w:cs="Arial"/>
          <w:i/>
          <w:lang w:val="es-SV" w:eastAsia="es-SV"/>
        </w:rPr>
        <w:t>heles</w:t>
      </w:r>
      <w:r w:rsidRPr="005476E0">
        <w:rPr>
          <w:rFonts w:ascii="Arial" w:hAnsi="Arial" w:cs="Arial"/>
          <w:lang w:val="es-SV" w:eastAsia="es-SV"/>
        </w:rPr>
        <w:t xml:space="preserve">. </w:t>
      </w:r>
    </w:p>
    <w:p w:rsidR="00475BBF" w:rsidRDefault="00475BBF" w:rsidP="00165AFD">
      <w:pPr>
        <w:spacing w:after="240" w:line="276" w:lineRule="auto"/>
        <w:jc w:val="both"/>
        <w:rPr>
          <w:rFonts w:ascii="Arial" w:eastAsiaTheme="minorEastAsia" w:hAnsi="Arial" w:cs="Arial"/>
          <w:lang w:val="es-SV" w:eastAsia="es-SV"/>
        </w:rPr>
      </w:pPr>
      <w:r w:rsidRPr="00237F6B">
        <w:rPr>
          <w:rFonts w:ascii="Arial" w:hAnsi="Arial" w:cs="Arial"/>
          <w:lang w:val="es-SV" w:eastAsia="es-SV"/>
        </w:rPr>
        <w:t>Esta enfermedad se ha presentado con características de endemia desde 1990, restableciéndose la transmisión en amplias regiones de la Vertiente Caribe y dispersándose a otras áreas del país.</w:t>
      </w:r>
      <w:r w:rsidR="00165AFD">
        <w:rPr>
          <w:rFonts w:ascii="Arial" w:hAnsi="Arial" w:cs="Arial"/>
          <w:lang w:val="es-SV" w:eastAsia="es-SV"/>
        </w:rPr>
        <w:t xml:space="preserve"> </w:t>
      </w:r>
      <w:r w:rsidRPr="00CD68E6">
        <w:rPr>
          <w:rFonts w:ascii="Arial" w:eastAsiaTheme="minorEastAsia" w:hAnsi="Arial" w:cs="Arial"/>
          <w:lang w:val="es-SV" w:eastAsia="es-SV"/>
        </w:rPr>
        <w:t>En Costa Rica</w:t>
      </w:r>
      <w:r w:rsidRPr="000473F2">
        <w:rPr>
          <w:rFonts w:ascii="Arial" w:eastAsiaTheme="minorEastAsia" w:hAnsi="Arial" w:cs="Arial"/>
          <w:lang w:val="es-SV" w:eastAsia="es-SV"/>
        </w:rPr>
        <w:t xml:space="preserve"> </w:t>
      </w:r>
      <w:r w:rsidR="00165AFD">
        <w:rPr>
          <w:rFonts w:ascii="Arial" w:eastAsiaTheme="minorEastAsia" w:hAnsi="Arial" w:cs="Arial"/>
          <w:lang w:val="es-SV" w:eastAsia="es-SV"/>
        </w:rPr>
        <w:t xml:space="preserve">se </w:t>
      </w:r>
      <w:r w:rsidRPr="00CD68E6">
        <w:rPr>
          <w:rFonts w:ascii="Arial" w:eastAsiaTheme="minorEastAsia" w:hAnsi="Arial" w:cs="Arial"/>
          <w:lang w:val="es-SV" w:eastAsia="es-SV"/>
        </w:rPr>
        <w:t xml:space="preserve">considera área malárica </w:t>
      </w:r>
      <w:r>
        <w:rPr>
          <w:rFonts w:ascii="Arial" w:eastAsiaTheme="minorEastAsia" w:hAnsi="Arial" w:cs="Arial"/>
          <w:lang w:val="es-SV" w:eastAsia="es-SV"/>
        </w:rPr>
        <w:t xml:space="preserve">la superficie </w:t>
      </w:r>
      <w:r w:rsidRPr="00CD68E6">
        <w:rPr>
          <w:rFonts w:ascii="Arial" w:eastAsiaTheme="minorEastAsia" w:hAnsi="Arial" w:cs="Arial"/>
          <w:lang w:val="es-SV" w:eastAsia="es-SV"/>
        </w:rPr>
        <w:t xml:space="preserve">por debajo de 600 </w:t>
      </w:r>
      <w:r w:rsidRPr="009055C0">
        <w:rPr>
          <w:rFonts w:ascii="Arial" w:eastAsiaTheme="minorEastAsia" w:hAnsi="Arial" w:cs="Arial"/>
          <w:lang w:val="es-SV" w:eastAsia="es-SV"/>
        </w:rPr>
        <w:t>msnm, aproximadamente el 70% de los 51.000 Km</w:t>
      </w:r>
      <w:r w:rsidRPr="009055C0">
        <w:rPr>
          <w:rFonts w:ascii="Arial" w:eastAsiaTheme="minorEastAsia" w:hAnsi="Arial" w:cs="Arial"/>
          <w:vertAlign w:val="superscript"/>
          <w:lang w:val="es-SV" w:eastAsia="es-SV"/>
        </w:rPr>
        <w:t>2</w:t>
      </w:r>
      <w:r w:rsidRPr="009055C0">
        <w:rPr>
          <w:rFonts w:ascii="Arial" w:eastAsiaTheme="minorEastAsia" w:hAnsi="Arial" w:cs="Arial"/>
          <w:lang w:val="es-SV" w:eastAsia="es-SV"/>
        </w:rPr>
        <w:t xml:space="preserve"> de nuestra superficie territorial, con una población en r</w:t>
      </w:r>
      <w:r>
        <w:rPr>
          <w:rFonts w:ascii="Arial" w:eastAsiaTheme="minorEastAsia" w:hAnsi="Arial" w:cs="Arial"/>
          <w:lang w:val="es-SV" w:eastAsia="es-SV"/>
        </w:rPr>
        <w:t>iesgo estimada para el año 2018</w:t>
      </w:r>
      <w:r w:rsidRPr="009055C0">
        <w:rPr>
          <w:rFonts w:ascii="Arial" w:eastAsiaTheme="minorEastAsia" w:hAnsi="Arial" w:cs="Arial"/>
          <w:lang w:val="es-SV" w:eastAsia="es-SV"/>
        </w:rPr>
        <w:t xml:space="preserve"> de 1.9</w:t>
      </w:r>
      <w:r>
        <w:rPr>
          <w:rFonts w:ascii="Arial" w:eastAsiaTheme="minorEastAsia" w:hAnsi="Arial" w:cs="Arial"/>
          <w:lang w:val="es-SV" w:eastAsia="es-SV"/>
        </w:rPr>
        <w:t>68</w:t>
      </w:r>
      <w:r w:rsidRPr="009055C0">
        <w:rPr>
          <w:rFonts w:ascii="Arial" w:eastAsiaTheme="minorEastAsia" w:hAnsi="Arial" w:cs="Arial"/>
          <w:lang w:val="es-SV" w:eastAsia="es-SV"/>
        </w:rPr>
        <w:t>.</w:t>
      </w:r>
      <w:r>
        <w:rPr>
          <w:rFonts w:ascii="Arial" w:eastAsiaTheme="minorEastAsia" w:hAnsi="Arial" w:cs="Arial"/>
          <w:lang w:val="es-SV" w:eastAsia="es-SV"/>
        </w:rPr>
        <w:t>209</w:t>
      </w:r>
      <w:r w:rsidRPr="009055C0">
        <w:rPr>
          <w:rFonts w:ascii="Arial" w:eastAsiaTheme="minorEastAsia" w:hAnsi="Arial" w:cs="Arial"/>
          <w:lang w:val="es-SV" w:eastAsia="es-SV"/>
        </w:rPr>
        <w:t xml:space="preserve"> habitantes.</w:t>
      </w:r>
    </w:p>
    <w:p w:rsidR="00B25C19" w:rsidRPr="003A05DB" w:rsidRDefault="00475BBF" w:rsidP="00B25C19">
      <w:pPr>
        <w:spacing w:line="276" w:lineRule="auto"/>
        <w:contextualSpacing/>
        <w:jc w:val="both"/>
        <w:rPr>
          <w:rFonts w:ascii="Arial" w:hAnsi="Arial" w:cs="Arial"/>
          <w:lang w:val="es-ES"/>
        </w:rPr>
      </w:pPr>
      <w:r w:rsidRPr="003A05DB">
        <w:rPr>
          <w:rFonts w:ascii="Arial" w:hAnsi="Arial" w:cs="Arial"/>
          <w:lang w:val="es-ES"/>
        </w:rPr>
        <w:t>Durante los años 2014 al 2018, se registraron 16</w:t>
      </w:r>
      <w:r w:rsidR="008776CD" w:rsidRPr="003A05DB">
        <w:rPr>
          <w:rFonts w:ascii="Arial" w:hAnsi="Arial" w:cs="Arial"/>
          <w:lang w:val="es-ES"/>
        </w:rPr>
        <w:t>0</w:t>
      </w:r>
      <w:r w:rsidRPr="003A05DB">
        <w:rPr>
          <w:rFonts w:ascii="Arial" w:hAnsi="Arial" w:cs="Arial"/>
          <w:lang w:val="es-ES"/>
        </w:rPr>
        <w:t xml:space="preserve"> casos de malaria, de los cuales el 53</w:t>
      </w:r>
      <w:r w:rsidR="00A816AC" w:rsidRPr="003A05DB">
        <w:rPr>
          <w:rFonts w:ascii="Arial" w:hAnsi="Arial" w:cs="Arial"/>
          <w:lang w:val="es-ES"/>
        </w:rPr>
        <w:t>,</w:t>
      </w:r>
      <w:r w:rsidRPr="003A05DB">
        <w:rPr>
          <w:rFonts w:ascii="Arial" w:hAnsi="Arial" w:cs="Arial"/>
          <w:lang w:val="es-ES"/>
        </w:rPr>
        <w:t>7% (86)</w:t>
      </w:r>
      <w:r w:rsidR="008776CD" w:rsidRPr="003A05DB">
        <w:rPr>
          <w:rFonts w:ascii="Arial" w:hAnsi="Arial" w:cs="Arial"/>
          <w:lang w:val="es-ES"/>
        </w:rPr>
        <w:t xml:space="preserve"> </w:t>
      </w:r>
      <w:r w:rsidR="00B25C19" w:rsidRPr="003A05DB">
        <w:rPr>
          <w:rFonts w:ascii="Arial" w:hAnsi="Arial" w:cs="Arial"/>
          <w:lang w:val="es-ES"/>
        </w:rPr>
        <w:t xml:space="preserve">fueron de transmisión autóctona </w:t>
      </w:r>
      <w:r w:rsidR="008776CD" w:rsidRPr="003A05DB">
        <w:rPr>
          <w:rFonts w:ascii="Arial" w:hAnsi="Arial" w:cs="Arial"/>
          <w:lang w:val="es-ES"/>
        </w:rPr>
        <w:t>y 74 (46,2%</w:t>
      </w:r>
      <w:r w:rsidR="00B25C19" w:rsidRPr="003A05DB">
        <w:rPr>
          <w:rFonts w:ascii="Arial" w:hAnsi="Arial" w:cs="Arial"/>
          <w:lang w:val="es-ES"/>
        </w:rPr>
        <w:t>)</w:t>
      </w:r>
      <w:r w:rsidRPr="003A05DB">
        <w:rPr>
          <w:rFonts w:ascii="Arial" w:hAnsi="Arial" w:cs="Arial"/>
          <w:lang w:val="es-ES"/>
        </w:rPr>
        <w:t xml:space="preserve">, </w:t>
      </w:r>
      <w:r w:rsidR="008776CD" w:rsidRPr="003A05DB">
        <w:rPr>
          <w:rFonts w:ascii="Arial" w:hAnsi="Arial" w:cs="Arial"/>
          <w:lang w:val="es-ES"/>
        </w:rPr>
        <w:t xml:space="preserve">fueron </w:t>
      </w:r>
      <w:r w:rsidR="00B25C19" w:rsidRPr="003A05DB">
        <w:rPr>
          <w:rFonts w:ascii="Arial" w:hAnsi="Arial" w:cs="Arial"/>
          <w:lang w:val="es-ES"/>
        </w:rPr>
        <w:t>importados</w:t>
      </w:r>
      <w:r w:rsidR="008776CD" w:rsidRPr="003A05DB">
        <w:rPr>
          <w:rFonts w:ascii="Arial" w:hAnsi="Arial" w:cs="Arial"/>
          <w:lang w:val="es-ES"/>
        </w:rPr>
        <w:t>.</w:t>
      </w:r>
      <w:r w:rsidR="00A816AC" w:rsidRPr="003A05DB">
        <w:rPr>
          <w:rFonts w:ascii="Arial" w:hAnsi="Arial" w:cs="Arial"/>
          <w:lang w:val="es-ES"/>
        </w:rPr>
        <w:t xml:space="preserve"> </w:t>
      </w:r>
      <w:r w:rsidR="008776CD" w:rsidRPr="003A05DB">
        <w:rPr>
          <w:rFonts w:ascii="Arial" w:hAnsi="Arial" w:cs="Arial"/>
          <w:lang w:val="es-ES"/>
        </w:rPr>
        <w:t xml:space="preserve">El </w:t>
      </w:r>
      <w:r w:rsidRPr="003A05DB">
        <w:rPr>
          <w:rFonts w:ascii="Arial" w:hAnsi="Arial" w:cs="Arial"/>
          <w:lang w:val="es-ES"/>
        </w:rPr>
        <w:t>89</w:t>
      </w:r>
      <w:r w:rsidR="00A816AC" w:rsidRPr="003A05DB">
        <w:rPr>
          <w:rFonts w:ascii="Arial" w:hAnsi="Arial" w:cs="Arial"/>
          <w:lang w:val="es-ES"/>
        </w:rPr>
        <w:t>,</w:t>
      </w:r>
      <w:r w:rsidRPr="003A05DB">
        <w:rPr>
          <w:rFonts w:ascii="Arial" w:hAnsi="Arial" w:cs="Arial"/>
          <w:lang w:val="es-ES"/>
        </w:rPr>
        <w:t>4</w:t>
      </w:r>
      <w:r w:rsidR="00A816AC" w:rsidRPr="003A05DB">
        <w:rPr>
          <w:rFonts w:ascii="Arial" w:hAnsi="Arial" w:cs="Arial"/>
          <w:lang w:val="es-ES"/>
        </w:rPr>
        <w:t>% (77)</w:t>
      </w:r>
      <w:r w:rsidRPr="003A05DB">
        <w:rPr>
          <w:rFonts w:ascii="Arial" w:hAnsi="Arial" w:cs="Arial"/>
          <w:lang w:val="es-ES"/>
        </w:rPr>
        <w:t xml:space="preserve"> </w:t>
      </w:r>
      <w:r w:rsidR="00B25C19" w:rsidRPr="003A05DB">
        <w:rPr>
          <w:rFonts w:ascii="Arial" w:hAnsi="Arial" w:cs="Arial"/>
          <w:lang w:val="es-ES"/>
        </w:rPr>
        <w:t xml:space="preserve">de los autóctonos </w:t>
      </w:r>
      <w:r w:rsidRPr="003A05DB">
        <w:rPr>
          <w:rFonts w:ascii="Arial" w:hAnsi="Arial" w:cs="Arial"/>
          <w:lang w:val="es-ES"/>
        </w:rPr>
        <w:t xml:space="preserve">fueron </w:t>
      </w:r>
      <w:r w:rsidR="00A816AC" w:rsidRPr="003A05DB">
        <w:rPr>
          <w:rFonts w:ascii="Arial" w:hAnsi="Arial" w:cs="Arial"/>
          <w:lang w:val="es-ES"/>
        </w:rPr>
        <w:t xml:space="preserve">causados </w:t>
      </w:r>
      <w:r w:rsidRPr="003A05DB">
        <w:rPr>
          <w:rFonts w:ascii="Arial" w:hAnsi="Arial" w:cs="Arial"/>
          <w:lang w:val="es-ES"/>
        </w:rPr>
        <w:t xml:space="preserve">por </w:t>
      </w:r>
      <w:r w:rsidRPr="003A05DB">
        <w:rPr>
          <w:rFonts w:ascii="Arial" w:hAnsi="Arial" w:cs="Arial"/>
          <w:i/>
          <w:lang w:val="es-ES"/>
        </w:rPr>
        <w:t>Plasmodium vivax</w:t>
      </w:r>
      <w:r w:rsidRPr="003A05DB">
        <w:rPr>
          <w:rFonts w:ascii="Arial" w:hAnsi="Arial" w:cs="Arial"/>
          <w:lang w:val="es-ES"/>
        </w:rPr>
        <w:t xml:space="preserve"> y </w:t>
      </w:r>
      <w:r w:rsidR="00B25C19" w:rsidRPr="003A05DB">
        <w:rPr>
          <w:rFonts w:ascii="Arial" w:hAnsi="Arial" w:cs="Arial"/>
          <w:lang w:val="es-ES"/>
        </w:rPr>
        <w:t xml:space="preserve">el </w:t>
      </w:r>
      <w:r w:rsidRPr="003A05DB">
        <w:rPr>
          <w:rFonts w:ascii="Arial" w:hAnsi="Arial" w:cs="Arial"/>
          <w:lang w:val="es-ES"/>
        </w:rPr>
        <w:t xml:space="preserve">10.5% </w:t>
      </w:r>
      <w:r w:rsidR="008776CD" w:rsidRPr="003A05DB">
        <w:rPr>
          <w:rFonts w:ascii="Arial" w:hAnsi="Arial" w:cs="Arial"/>
          <w:lang w:val="es-ES"/>
        </w:rPr>
        <w:t xml:space="preserve">(9) </w:t>
      </w:r>
      <w:r w:rsidRPr="003A05DB">
        <w:rPr>
          <w:rFonts w:ascii="Arial" w:hAnsi="Arial" w:cs="Arial"/>
          <w:lang w:val="es-ES"/>
        </w:rPr>
        <w:t xml:space="preserve">por </w:t>
      </w:r>
      <w:r w:rsidRPr="003A05DB">
        <w:rPr>
          <w:rFonts w:ascii="Arial" w:hAnsi="Arial" w:cs="Arial"/>
          <w:i/>
          <w:lang w:val="es-ES"/>
        </w:rPr>
        <w:t>Plasmodium falciparum</w:t>
      </w:r>
      <w:r w:rsidRPr="003A05DB">
        <w:rPr>
          <w:rFonts w:ascii="Arial" w:hAnsi="Arial" w:cs="Arial"/>
          <w:lang w:val="es-ES"/>
        </w:rPr>
        <w:t>.</w:t>
      </w:r>
      <w:r w:rsidR="00A816AC" w:rsidRPr="003A05DB">
        <w:rPr>
          <w:rFonts w:ascii="Arial" w:hAnsi="Arial" w:cs="Arial"/>
          <w:lang w:val="es-ES"/>
        </w:rPr>
        <w:t xml:space="preserve"> </w:t>
      </w:r>
    </w:p>
    <w:p w:rsidR="00B25C19" w:rsidRPr="003A05DB" w:rsidRDefault="00B25C19" w:rsidP="00B25C19">
      <w:pPr>
        <w:spacing w:line="276" w:lineRule="auto"/>
        <w:contextualSpacing/>
        <w:jc w:val="both"/>
        <w:rPr>
          <w:rFonts w:ascii="Arial" w:hAnsi="Arial" w:cs="Arial"/>
          <w:lang w:val="es-ES"/>
        </w:rPr>
      </w:pPr>
    </w:p>
    <w:p w:rsidR="00475BBF" w:rsidRDefault="00475BBF" w:rsidP="00B25C19">
      <w:pPr>
        <w:spacing w:after="240" w:line="276" w:lineRule="auto"/>
        <w:contextualSpacing/>
        <w:jc w:val="both"/>
        <w:rPr>
          <w:rFonts w:ascii="Arial" w:hAnsi="Arial" w:cs="Arial"/>
        </w:rPr>
      </w:pPr>
      <w:r>
        <w:rPr>
          <w:rFonts w:ascii="Arial" w:hAnsi="Arial" w:cs="Arial"/>
        </w:rPr>
        <w:t>De los 74 (46.2%) casos importados de zonas con transmisión, 41 (</w:t>
      </w:r>
      <w:r w:rsidR="00B25C19">
        <w:rPr>
          <w:rFonts w:ascii="Arial" w:hAnsi="Arial" w:cs="Arial"/>
        </w:rPr>
        <w:t>55</w:t>
      </w:r>
      <w:r>
        <w:rPr>
          <w:rFonts w:ascii="Arial" w:hAnsi="Arial" w:cs="Arial"/>
        </w:rPr>
        <w:t xml:space="preserve">%) fueron por </w:t>
      </w:r>
      <w:r w:rsidRPr="009B2D64">
        <w:rPr>
          <w:rFonts w:ascii="Arial" w:hAnsi="Arial" w:cs="Arial"/>
          <w:i/>
        </w:rPr>
        <w:t>P. vivax</w:t>
      </w:r>
      <w:r>
        <w:rPr>
          <w:rFonts w:ascii="Arial" w:hAnsi="Arial" w:cs="Arial"/>
        </w:rPr>
        <w:t xml:space="preserve"> y 31 (</w:t>
      </w:r>
      <w:r w:rsidR="00B25C19">
        <w:rPr>
          <w:rFonts w:ascii="Arial" w:hAnsi="Arial" w:cs="Arial"/>
        </w:rPr>
        <w:t>42</w:t>
      </w:r>
      <w:r>
        <w:rPr>
          <w:rFonts w:ascii="Arial" w:hAnsi="Arial" w:cs="Arial"/>
        </w:rPr>
        <w:t xml:space="preserve">%) por </w:t>
      </w:r>
      <w:r w:rsidRPr="001D21A4">
        <w:rPr>
          <w:rFonts w:ascii="Arial" w:hAnsi="Arial" w:cs="Arial"/>
          <w:i/>
        </w:rPr>
        <w:t>P. falciparum</w:t>
      </w:r>
      <w:r>
        <w:rPr>
          <w:rFonts w:ascii="Arial" w:hAnsi="Arial" w:cs="Arial"/>
        </w:rPr>
        <w:t xml:space="preserve"> y 2 (</w:t>
      </w:r>
      <w:r w:rsidR="00B25C19">
        <w:rPr>
          <w:rFonts w:ascii="Arial" w:hAnsi="Arial" w:cs="Arial"/>
        </w:rPr>
        <w:t>3</w:t>
      </w:r>
      <w:r>
        <w:rPr>
          <w:rFonts w:ascii="Arial" w:hAnsi="Arial" w:cs="Arial"/>
        </w:rPr>
        <w:t xml:space="preserve">%) por </w:t>
      </w:r>
      <w:r w:rsidRPr="009B2D64">
        <w:rPr>
          <w:rFonts w:ascii="Arial" w:hAnsi="Arial" w:cs="Arial"/>
          <w:i/>
        </w:rPr>
        <w:t>P. malariae</w:t>
      </w:r>
      <w:r>
        <w:rPr>
          <w:rFonts w:ascii="Arial" w:hAnsi="Arial" w:cs="Arial"/>
          <w:i/>
        </w:rPr>
        <w:t>.</w:t>
      </w:r>
    </w:p>
    <w:p w:rsidR="00475BBF" w:rsidRDefault="00475BBF" w:rsidP="00475BBF">
      <w:pPr>
        <w:spacing w:line="360" w:lineRule="auto"/>
        <w:contextualSpacing/>
        <w:jc w:val="both"/>
        <w:rPr>
          <w:rFonts w:ascii="Arial" w:hAnsi="Arial" w:cs="Arial"/>
          <w:b/>
        </w:rPr>
      </w:pPr>
    </w:p>
    <w:p w:rsidR="00A816AC" w:rsidRDefault="00A816AC" w:rsidP="00475BBF">
      <w:pPr>
        <w:contextualSpacing/>
        <w:jc w:val="center"/>
        <w:rPr>
          <w:rFonts w:ascii="Arial" w:hAnsi="Arial" w:cs="Arial"/>
          <w:b/>
        </w:rPr>
      </w:pPr>
      <w:r>
        <w:rPr>
          <w:rFonts w:ascii="Arial" w:hAnsi="Arial" w:cs="Arial"/>
          <w:b/>
        </w:rPr>
        <w:t>Cuadro 2</w:t>
      </w:r>
      <w:r w:rsidR="0052274D">
        <w:rPr>
          <w:rFonts w:ascii="Arial" w:hAnsi="Arial" w:cs="Arial"/>
          <w:b/>
        </w:rPr>
        <w:t>3</w:t>
      </w:r>
    </w:p>
    <w:p w:rsidR="00B25C19" w:rsidRDefault="00475BBF" w:rsidP="00475BBF">
      <w:pPr>
        <w:contextualSpacing/>
        <w:jc w:val="center"/>
        <w:rPr>
          <w:rFonts w:ascii="Arial" w:hAnsi="Arial" w:cs="Arial"/>
          <w:b/>
        </w:rPr>
      </w:pPr>
      <w:r>
        <w:rPr>
          <w:rFonts w:ascii="Arial" w:hAnsi="Arial" w:cs="Arial"/>
          <w:b/>
        </w:rPr>
        <w:t>Costa Rica</w:t>
      </w:r>
      <w:r w:rsidR="00B25C19">
        <w:rPr>
          <w:rFonts w:ascii="Arial" w:hAnsi="Arial" w:cs="Arial"/>
          <w:b/>
        </w:rPr>
        <w:t>:</w:t>
      </w:r>
      <w:r w:rsidRPr="005F3346">
        <w:rPr>
          <w:rFonts w:ascii="Arial" w:hAnsi="Arial" w:cs="Arial"/>
          <w:b/>
        </w:rPr>
        <w:t xml:space="preserve"> Casos de malaria </w:t>
      </w:r>
      <w:r w:rsidR="00B25C19">
        <w:rPr>
          <w:rFonts w:ascii="Arial" w:hAnsi="Arial" w:cs="Arial"/>
          <w:b/>
        </w:rPr>
        <w:t>autóctonos</w:t>
      </w:r>
    </w:p>
    <w:p w:rsidR="00B25C19" w:rsidRPr="003A05DB" w:rsidRDefault="00B25C19" w:rsidP="00475BBF">
      <w:pPr>
        <w:contextualSpacing/>
        <w:jc w:val="center"/>
        <w:rPr>
          <w:rFonts w:ascii="Arial" w:hAnsi="Arial" w:cs="Arial"/>
          <w:b/>
          <w:lang w:val="es-ES"/>
        </w:rPr>
      </w:pPr>
      <w:r>
        <w:rPr>
          <w:rFonts w:ascii="Arial" w:hAnsi="Arial" w:cs="Arial"/>
          <w:b/>
        </w:rPr>
        <w:t xml:space="preserve"> </w:t>
      </w:r>
      <w:r w:rsidRPr="003A05DB">
        <w:rPr>
          <w:rFonts w:ascii="Arial" w:hAnsi="Arial" w:cs="Arial"/>
          <w:b/>
          <w:lang w:val="es-ES"/>
        </w:rPr>
        <w:t>e importados según año,</w:t>
      </w:r>
      <w:r w:rsidR="00475BBF" w:rsidRPr="003A05DB">
        <w:rPr>
          <w:rFonts w:ascii="Arial" w:hAnsi="Arial" w:cs="Arial"/>
          <w:b/>
          <w:lang w:val="es-ES"/>
        </w:rPr>
        <w:t xml:space="preserve"> 2014 -2018</w:t>
      </w:r>
      <w:r w:rsidRPr="003A05DB">
        <w:rPr>
          <w:rFonts w:ascii="Arial" w:hAnsi="Arial" w:cs="Arial"/>
          <w:b/>
          <w:lang w:val="es-ES"/>
        </w:rPr>
        <w:t>.</w:t>
      </w:r>
    </w:p>
    <w:p w:rsidR="00475BBF" w:rsidRPr="003A05DB" w:rsidRDefault="00475BBF" w:rsidP="00475BBF">
      <w:pPr>
        <w:contextualSpacing/>
        <w:jc w:val="center"/>
        <w:rPr>
          <w:rFonts w:ascii="Arial" w:hAnsi="Arial" w:cs="Arial"/>
          <w:sz w:val="20"/>
          <w:szCs w:val="20"/>
          <w:lang w:val="es-ES"/>
        </w:rPr>
      </w:pPr>
      <w:r w:rsidRPr="003A05DB">
        <w:rPr>
          <w:rFonts w:ascii="Arial" w:hAnsi="Arial" w:cs="Arial"/>
          <w:b/>
          <w:lang w:val="es-ES"/>
        </w:rPr>
        <w:t xml:space="preserve"> </w:t>
      </w:r>
      <w:r w:rsidRPr="003A05DB">
        <w:rPr>
          <w:rFonts w:ascii="Arial" w:hAnsi="Arial" w:cs="Arial"/>
          <w:sz w:val="20"/>
          <w:szCs w:val="20"/>
          <w:lang w:val="es-ES"/>
        </w:rPr>
        <w:t>(números absolutos)</w:t>
      </w:r>
    </w:p>
    <w:p w:rsidR="00475BBF" w:rsidRPr="003A05DB" w:rsidRDefault="00475BBF" w:rsidP="00475BBF">
      <w:pPr>
        <w:spacing w:line="360" w:lineRule="auto"/>
        <w:contextualSpacing/>
        <w:jc w:val="both"/>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0"/>
        <w:gridCol w:w="208"/>
        <w:gridCol w:w="1063"/>
        <w:gridCol w:w="1059"/>
        <w:gridCol w:w="1168"/>
        <w:gridCol w:w="1168"/>
        <w:gridCol w:w="1299"/>
        <w:gridCol w:w="1237"/>
      </w:tblGrid>
      <w:tr w:rsidR="00475BBF" w:rsidRPr="002313C3" w:rsidTr="00B25C19">
        <w:trPr>
          <w:trHeight w:val="424"/>
          <w:jc w:val="center"/>
        </w:trPr>
        <w:tc>
          <w:tcPr>
            <w:tcW w:w="1668" w:type="dxa"/>
            <w:gridSpan w:val="2"/>
            <w:tcBorders>
              <w:top w:val="single" w:sz="4" w:space="0" w:color="auto"/>
              <w:bottom w:val="single" w:sz="4" w:space="0" w:color="auto"/>
            </w:tcBorders>
            <w:shd w:val="clear" w:color="auto" w:fill="D5DCE4" w:themeFill="text2" w:themeFillTint="33"/>
          </w:tcPr>
          <w:p w:rsidR="00475BBF" w:rsidRPr="003A05DB" w:rsidRDefault="00475BBF" w:rsidP="00475BBF">
            <w:pPr>
              <w:spacing w:line="360" w:lineRule="auto"/>
              <w:contextualSpacing/>
              <w:jc w:val="both"/>
              <w:rPr>
                <w:rFonts w:ascii="Arial" w:hAnsi="Arial" w:cs="Arial"/>
                <w:b/>
                <w:sz w:val="20"/>
                <w:szCs w:val="20"/>
                <w:lang w:val="es-ES"/>
              </w:rPr>
            </w:pPr>
          </w:p>
        </w:tc>
        <w:tc>
          <w:tcPr>
            <w:tcW w:w="1063" w:type="dxa"/>
            <w:tcBorders>
              <w:top w:val="single" w:sz="4" w:space="0" w:color="auto"/>
              <w:bottom w:val="single" w:sz="4" w:space="0" w:color="auto"/>
            </w:tcBorders>
            <w:shd w:val="clear" w:color="auto" w:fill="D5DCE4" w:themeFill="text2" w:themeFillTint="33"/>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Total</w:t>
            </w:r>
          </w:p>
        </w:tc>
        <w:tc>
          <w:tcPr>
            <w:tcW w:w="1059" w:type="dxa"/>
            <w:tcBorders>
              <w:top w:val="single" w:sz="4" w:space="0" w:color="auto"/>
              <w:bottom w:val="single" w:sz="4" w:space="0" w:color="auto"/>
            </w:tcBorders>
            <w:shd w:val="clear" w:color="auto" w:fill="D5DCE4" w:themeFill="text2" w:themeFillTint="33"/>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2014</w:t>
            </w:r>
          </w:p>
        </w:tc>
        <w:tc>
          <w:tcPr>
            <w:tcW w:w="1168" w:type="dxa"/>
            <w:tcBorders>
              <w:top w:val="single" w:sz="4" w:space="0" w:color="auto"/>
              <w:bottom w:val="single" w:sz="4" w:space="0" w:color="auto"/>
            </w:tcBorders>
            <w:shd w:val="clear" w:color="auto" w:fill="D5DCE4" w:themeFill="text2" w:themeFillTint="33"/>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2015</w:t>
            </w:r>
          </w:p>
        </w:tc>
        <w:tc>
          <w:tcPr>
            <w:tcW w:w="1168" w:type="dxa"/>
            <w:tcBorders>
              <w:top w:val="single" w:sz="4" w:space="0" w:color="auto"/>
              <w:bottom w:val="single" w:sz="4" w:space="0" w:color="auto"/>
            </w:tcBorders>
            <w:shd w:val="clear" w:color="auto" w:fill="D5DCE4" w:themeFill="text2" w:themeFillTint="33"/>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2016</w:t>
            </w:r>
          </w:p>
        </w:tc>
        <w:tc>
          <w:tcPr>
            <w:tcW w:w="1299" w:type="dxa"/>
            <w:tcBorders>
              <w:top w:val="single" w:sz="4" w:space="0" w:color="auto"/>
              <w:bottom w:val="single" w:sz="4" w:space="0" w:color="auto"/>
            </w:tcBorders>
            <w:shd w:val="clear" w:color="auto" w:fill="D5DCE4" w:themeFill="text2" w:themeFillTint="33"/>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2017</w:t>
            </w:r>
          </w:p>
        </w:tc>
        <w:tc>
          <w:tcPr>
            <w:tcW w:w="1237" w:type="dxa"/>
            <w:tcBorders>
              <w:top w:val="single" w:sz="4" w:space="0" w:color="auto"/>
              <w:bottom w:val="single" w:sz="4" w:space="0" w:color="auto"/>
            </w:tcBorders>
            <w:shd w:val="clear" w:color="auto" w:fill="D5DCE4" w:themeFill="text2" w:themeFillTint="33"/>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2018</w:t>
            </w:r>
          </w:p>
        </w:tc>
      </w:tr>
      <w:tr w:rsidR="00475BBF" w:rsidRPr="002313C3" w:rsidTr="00475BBF">
        <w:trPr>
          <w:trHeight w:val="409"/>
          <w:jc w:val="center"/>
        </w:trPr>
        <w:tc>
          <w:tcPr>
            <w:tcW w:w="1460" w:type="dxa"/>
            <w:tcBorders>
              <w:top w:val="single" w:sz="4" w:space="0" w:color="auto"/>
            </w:tcBorders>
          </w:tcPr>
          <w:p w:rsidR="00475BBF" w:rsidRPr="002313C3" w:rsidRDefault="00475BBF" w:rsidP="00475BBF">
            <w:pPr>
              <w:spacing w:line="360" w:lineRule="auto"/>
              <w:contextualSpacing/>
              <w:jc w:val="both"/>
              <w:rPr>
                <w:rFonts w:ascii="Arial" w:hAnsi="Arial" w:cs="Arial"/>
                <w:b/>
                <w:sz w:val="20"/>
                <w:szCs w:val="20"/>
              </w:rPr>
            </w:pPr>
            <w:r w:rsidRPr="002313C3">
              <w:rPr>
                <w:rFonts w:ascii="Arial" w:hAnsi="Arial" w:cs="Arial"/>
                <w:b/>
                <w:sz w:val="20"/>
                <w:szCs w:val="20"/>
              </w:rPr>
              <w:t>Total</w:t>
            </w:r>
          </w:p>
        </w:tc>
        <w:tc>
          <w:tcPr>
            <w:tcW w:w="1271" w:type="dxa"/>
            <w:gridSpan w:val="2"/>
            <w:tcBorders>
              <w:top w:val="single" w:sz="4" w:space="0" w:color="auto"/>
            </w:tcBorders>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160</w:t>
            </w:r>
          </w:p>
        </w:tc>
        <w:tc>
          <w:tcPr>
            <w:tcW w:w="1059" w:type="dxa"/>
            <w:tcBorders>
              <w:top w:val="single" w:sz="4" w:space="0" w:color="auto"/>
            </w:tcBorders>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6</w:t>
            </w:r>
          </w:p>
        </w:tc>
        <w:tc>
          <w:tcPr>
            <w:tcW w:w="1168" w:type="dxa"/>
            <w:tcBorders>
              <w:top w:val="single" w:sz="4" w:space="0" w:color="auto"/>
            </w:tcBorders>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8</w:t>
            </w:r>
          </w:p>
        </w:tc>
        <w:tc>
          <w:tcPr>
            <w:tcW w:w="1168" w:type="dxa"/>
            <w:tcBorders>
              <w:top w:val="single" w:sz="4" w:space="0" w:color="auto"/>
            </w:tcBorders>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13</w:t>
            </w:r>
          </w:p>
        </w:tc>
        <w:tc>
          <w:tcPr>
            <w:tcW w:w="1299" w:type="dxa"/>
            <w:tcBorders>
              <w:top w:val="single" w:sz="4" w:space="0" w:color="auto"/>
            </w:tcBorders>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25</w:t>
            </w:r>
          </w:p>
        </w:tc>
        <w:tc>
          <w:tcPr>
            <w:tcW w:w="1237" w:type="dxa"/>
            <w:tcBorders>
              <w:top w:val="single" w:sz="4" w:space="0" w:color="auto"/>
            </w:tcBorders>
          </w:tcPr>
          <w:p w:rsidR="00475BBF" w:rsidRPr="002313C3" w:rsidRDefault="00475BBF" w:rsidP="00475BBF">
            <w:pPr>
              <w:spacing w:line="360" w:lineRule="auto"/>
              <w:contextualSpacing/>
              <w:jc w:val="center"/>
              <w:rPr>
                <w:rFonts w:ascii="Arial" w:hAnsi="Arial" w:cs="Arial"/>
                <w:b/>
                <w:sz w:val="20"/>
                <w:szCs w:val="20"/>
              </w:rPr>
            </w:pPr>
            <w:r w:rsidRPr="002313C3">
              <w:rPr>
                <w:rFonts w:ascii="Arial" w:hAnsi="Arial" w:cs="Arial"/>
                <w:b/>
                <w:sz w:val="20"/>
                <w:szCs w:val="20"/>
              </w:rPr>
              <w:t>108</w:t>
            </w:r>
          </w:p>
        </w:tc>
      </w:tr>
      <w:tr w:rsidR="00475BBF" w:rsidRPr="002313C3" w:rsidTr="00475BBF">
        <w:trPr>
          <w:trHeight w:val="409"/>
          <w:jc w:val="center"/>
        </w:trPr>
        <w:tc>
          <w:tcPr>
            <w:tcW w:w="1668" w:type="dxa"/>
            <w:gridSpan w:val="2"/>
          </w:tcPr>
          <w:p w:rsidR="00475BBF" w:rsidRPr="002313C3" w:rsidRDefault="00475BBF" w:rsidP="00475BBF">
            <w:pPr>
              <w:spacing w:line="360" w:lineRule="auto"/>
              <w:contextualSpacing/>
              <w:jc w:val="both"/>
              <w:rPr>
                <w:rFonts w:ascii="Arial" w:hAnsi="Arial" w:cs="Arial"/>
                <w:sz w:val="20"/>
                <w:szCs w:val="20"/>
              </w:rPr>
            </w:pPr>
            <w:r w:rsidRPr="002313C3">
              <w:rPr>
                <w:rFonts w:ascii="Arial" w:hAnsi="Arial" w:cs="Arial"/>
                <w:sz w:val="20"/>
                <w:szCs w:val="20"/>
              </w:rPr>
              <w:t>Autóctono</w:t>
            </w:r>
          </w:p>
        </w:tc>
        <w:tc>
          <w:tcPr>
            <w:tcW w:w="1063" w:type="dxa"/>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86</w:t>
            </w:r>
          </w:p>
        </w:tc>
        <w:tc>
          <w:tcPr>
            <w:tcW w:w="1059" w:type="dxa"/>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0</w:t>
            </w:r>
          </w:p>
        </w:tc>
        <w:tc>
          <w:tcPr>
            <w:tcW w:w="1168" w:type="dxa"/>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0</w:t>
            </w:r>
          </w:p>
        </w:tc>
        <w:tc>
          <w:tcPr>
            <w:tcW w:w="1168" w:type="dxa"/>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4</w:t>
            </w:r>
          </w:p>
        </w:tc>
        <w:tc>
          <w:tcPr>
            <w:tcW w:w="1299" w:type="dxa"/>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12</w:t>
            </w:r>
          </w:p>
        </w:tc>
        <w:tc>
          <w:tcPr>
            <w:tcW w:w="1237" w:type="dxa"/>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70</w:t>
            </w:r>
          </w:p>
        </w:tc>
      </w:tr>
      <w:tr w:rsidR="00475BBF" w:rsidRPr="002313C3" w:rsidTr="00475BBF">
        <w:trPr>
          <w:trHeight w:val="439"/>
          <w:jc w:val="center"/>
        </w:trPr>
        <w:tc>
          <w:tcPr>
            <w:tcW w:w="1668" w:type="dxa"/>
            <w:gridSpan w:val="2"/>
            <w:tcBorders>
              <w:bottom w:val="single" w:sz="4" w:space="0" w:color="auto"/>
            </w:tcBorders>
          </w:tcPr>
          <w:p w:rsidR="00475BBF" w:rsidRPr="002313C3" w:rsidRDefault="00475BBF" w:rsidP="00475BBF">
            <w:pPr>
              <w:spacing w:line="360" w:lineRule="auto"/>
              <w:contextualSpacing/>
              <w:jc w:val="both"/>
              <w:rPr>
                <w:rFonts w:ascii="Arial" w:hAnsi="Arial" w:cs="Arial"/>
                <w:sz w:val="20"/>
                <w:szCs w:val="20"/>
              </w:rPr>
            </w:pPr>
            <w:r w:rsidRPr="002313C3">
              <w:rPr>
                <w:rFonts w:ascii="Arial" w:hAnsi="Arial" w:cs="Arial"/>
                <w:sz w:val="20"/>
                <w:szCs w:val="20"/>
              </w:rPr>
              <w:t>Importado</w:t>
            </w:r>
          </w:p>
        </w:tc>
        <w:tc>
          <w:tcPr>
            <w:tcW w:w="1063" w:type="dxa"/>
            <w:tcBorders>
              <w:bottom w:val="single" w:sz="4" w:space="0" w:color="auto"/>
            </w:tcBorders>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74</w:t>
            </w:r>
          </w:p>
        </w:tc>
        <w:tc>
          <w:tcPr>
            <w:tcW w:w="1059" w:type="dxa"/>
            <w:tcBorders>
              <w:bottom w:val="single" w:sz="4" w:space="0" w:color="auto"/>
            </w:tcBorders>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6</w:t>
            </w:r>
          </w:p>
        </w:tc>
        <w:tc>
          <w:tcPr>
            <w:tcW w:w="1168" w:type="dxa"/>
            <w:tcBorders>
              <w:bottom w:val="single" w:sz="4" w:space="0" w:color="auto"/>
            </w:tcBorders>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8</w:t>
            </w:r>
          </w:p>
        </w:tc>
        <w:tc>
          <w:tcPr>
            <w:tcW w:w="1168" w:type="dxa"/>
            <w:tcBorders>
              <w:bottom w:val="single" w:sz="4" w:space="0" w:color="auto"/>
            </w:tcBorders>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9</w:t>
            </w:r>
          </w:p>
        </w:tc>
        <w:tc>
          <w:tcPr>
            <w:tcW w:w="1299" w:type="dxa"/>
            <w:tcBorders>
              <w:bottom w:val="single" w:sz="4" w:space="0" w:color="auto"/>
            </w:tcBorders>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13</w:t>
            </w:r>
          </w:p>
        </w:tc>
        <w:tc>
          <w:tcPr>
            <w:tcW w:w="1237" w:type="dxa"/>
            <w:tcBorders>
              <w:bottom w:val="single" w:sz="4" w:space="0" w:color="auto"/>
            </w:tcBorders>
          </w:tcPr>
          <w:p w:rsidR="00475BBF" w:rsidRPr="002313C3" w:rsidRDefault="00475BBF" w:rsidP="00475BBF">
            <w:pPr>
              <w:spacing w:line="360" w:lineRule="auto"/>
              <w:contextualSpacing/>
              <w:jc w:val="center"/>
              <w:rPr>
                <w:rFonts w:ascii="Arial" w:hAnsi="Arial" w:cs="Arial"/>
                <w:sz w:val="20"/>
                <w:szCs w:val="20"/>
              </w:rPr>
            </w:pPr>
            <w:r w:rsidRPr="002313C3">
              <w:rPr>
                <w:rFonts w:ascii="Arial" w:hAnsi="Arial" w:cs="Arial"/>
                <w:sz w:val="20"/>
                <w:szCs w:val="20"/>
              </w:rPr>
              <w:t>38</w:t>
            </w:r>
          </w:p>
        </w:tc>
      </w:tr>
    </w:tbl>
    <w:p w:rsidR="00475BBF" w:rsidRPr="00C26677" w:rsidRDefault="00475BBF" w:rsidP="00B25C19">
      <w:pPr>
        <w:spacing w:line="360" w:lineRule="auto"/>
        <w:jc w:val="right"/>
        <w:rPr>
          <w:rFonts w:ascii="Arial" w:hAnsi="Arial" w:cs="Arial"/>
          <w:lang w:val="es-MX"/>
        </w:rPr>
      </w:pPr>
      <w:r w:rsidRPr="00B25C19">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 xml:space="preserve">Dirección de Vigilancia de la Salud. </w:t>
      </w:r>
      <w:r w:rsidRPr="00976B84">
        <w:rPr>
          <w:rFonts w:ascii="Arial" w:hAnsi="Arial" w:cs="Arial"/>
          <w:sz w:val="20"/>
          <w:szCs w:val="20"/>
          <w:lang w:val="es-MX"/>
        </w:rPr>
        <w:t>Ministerio de Salud</w:t>
      </w:r>
      <w:r w:rsidR="0052274D">
        <w:rPr>
          <w:rFonts w:ascii="Arial" w:hAnsi="Arial" w:cs="Arial"/>
          <w:sz w:val="20"/>
          <w:szCs w:val="20"/>
          <w:lang w:val="es-MX"/>
        </w:rPr>
        <w:t>, 2019</w:t>
      </w:r>
      <w:r w:rsidRPr="00976B84">
        <w:rPr>
          <w:rFonts w:ascii="Arial" w:hAnsi="Arial" w:cs="Arial"/>
          <w:sz w:val="20"/>
          <w:szCs w:val="20"/>
          <w:lang w:val="es-MX"/>
        </w:rPr>
        <w:t>.</w:t>
      </w:r>
    </w:p>
    <w:p w:rsidR="00475BBF" w:rsidRDefault="00475BBF" w:rsidP="00475BBF">
      <w:pPr>
        <w:jc w:val="both"/>
        <w:rPr>
          <w:rFonts w:ascii="Arial" w:hAnsi="Arial" w:cs="Arial"/>
          <w:lang w:val="es-MX"/>
        </w:rPr>
      </w:pPr>
    </w:p>
    <w:p w:rsidR="00475BBF" w:rsidRDefault="00475BBF" w:rsidP="00475BBF">
      <w:pPr>
        <w:spacing w:line="276" w:lineRule="auto"/>
        <w:jc w:val="both"/>
        <w:rPr>
          <w:noProof/>
          <w:lang w:eastAsia="es-CR"/>
        </w:rPr>
      </w:pPr>
      <w:r>
        <w:rPr>
          <w:rFonts w:ascii="Arial" w:hAnsi="Arial" w:cs="Arial"/>
          <w:lang w:val="es-MX"/>
        </w:rPr>
        <w:lastRenderedPageBreak/>
        <w:t>En el 2018, se registraron 108 casos de malaria, e</w:t>
      </w:r>
      <w:r w:rsidRPr="002E3FF1">
        <w:rPr>
          <w:rFonts w:ascii="Arial" w:hAnsi="Arial" w:cs="Arial"/>
          <w:lang w:val="es-MX"/>
        </w:rPr>
        <w:t>l 7</w:t>
      </w:r>
      <w:r>
        <w:rPr>
          <w:rFonts w:ascii="Arial" w:hAnsi="Arial" w:cs="Arial"/>
          <w:lang w:val="es-MX"/>
        </w:rPr>
        <w:t>0.4% de los casos se registró</w:t>
      </w:r>
      <w:r w:rsidRPr="002E3FF1">
        <w:rPr>
          <w:rFonts w:ascii="Arial" w:hAnsi="Arial" w:cs="Arial"/>
          <w:lang w:val="es-MX"/>
        </w:rPr>
        <w:t xml:space="preserve"> en los meses de octubre, noviembre y diciembre, producto de la búsqueda activa reactiva de casos y de la introducción de las pruebas de diagnóstico rápido en zonas de difícil acceso</w:t>
      </w:r>
      <w:r>
        <w:rPr>
          <w:rFonts w:ascii="Arial" w:hAnsi="Arial" w:cs="Arial"/>
          <w:lang w:val="es-MX"/>
        </w:rPr>
        <w:t xml:space="preserve">. </w:t>
      </w:r>
      <w:r w:rsidRPr="002C66A8">
        <w:rPr>
          <w:rFonts w:ascii="Arial" w:hAnsi="Arial" w:cs="Arial"/>
          <w:lang w:val="es-MX"/>
        </w:rPr>
        <w:t xml:space="preserve">Comparando los casos de transmisión autóctona del año 2018 con </w:t>
      </w:r>
      <w:r w:rsidR="00B25C19">
        <w:rPr>
          <w:rFonts w:ascii="Arial" w:hAnsi="Arial" w:cs="Arial"/>
          <w:lang w:val="es-MX"/>
        </w:rPr>
        <w:t xml:space="preserve">los del </w:t>
      </w:r>
      <w:r w:rsidRPr="002C66A8">
        <w:rPr>
          <w:rFonts w:ascii="Arial" w:hAnsi="Arial" w:cs="Arial"/>
          <w:lang w:val="es-MX"/>
        </w:rPr>
        <w:t>2017</w:t>
      </w:r>
      <w:r w:rsidR="00B25C19">
        <w:rPr>
          <w:rFonts w:ascii="Arial" w:hAnsi="Arial" w:cs="Arial"/>
          <w:lang w:val="es-MX"/>
        </w:rPr>
        <w:t>,</w:t>
      </w:r>
      <w:r w:rsidRPr="002C66A8">
        <w:rPr>
          <w:rFonts w:ascii="Arial" w:hAnsi="Arial" w:cs="Arial"/>
          <w:lang w:val="es-MX"/>
        </w:rPr>
        <w:t xml:space="preserve"> se observó un incremento de</w:t>
      </w:r>
      <w:r w:rsidR="00B25C19">
        <w:rPr>
          <w:rFonts w:ascii="Arial" w:hAnsi="Arial" w:cs="Arial"/>
          <w:lang w:val="es-MX"/>
        </w:rPr>
        <w:t>l</w:t>
      </w:r>
      <w:r w:rsidRPr="002C66A8">
        <w:rPr>
          <w:rFonts w:ascii="Arial" w:hAnsi="Arial" w:cs="Arial"/>
          <w:lang w:val="es-MX"/>
        </w:rPr>
        <w:t xml:space="preserve"> </w:t>
      </w:r>
      <w:r>
        <w:rPr>
          <w:rFonts w:ascii="Arial" w:hAnsi="Arial" w:cs="Arial"/>
          <w:lang w:val="es-MX"/>
        </w:rPr>
        <w:t xml:space="preserve">483.3%. </w:t>
      </w:r>
      <w:r w:rsidRPr="008D4944">
        <w:rPr>
          <w:rFonts w:ascii="Arial" w:hAnsi="Arial" w:cs="Arial"/>
          <w:lang w:val="es-MX"/>
        </w:rPr>
        <w:t xml:space="preserve">Este incremento se </w:t>
      </w:r>
      <w:r w:rsidR="00B25C19">
        <w:rPr>
          <w:rFonts w:ascii="Arial" w:hAnsi="Arial" w:cs="Arial"/>
          <w:lang w:val="es-MX"/>
        </w:rPr>
        <w:t xml:space="preserve">presentó </w:t>
      </w:r>
      <w:r w:rsidRPr="008D4944">
        <w:rPr>
          <w:rFonts w:ascii="Arial" w:hAnsi="Arial" w:cs="Arial"/>
          <w:lang w:val="es-MX"/>
        </w:rPr>
        <w:t xml:space="preserve"> principalmente en la</w:t>
      </w:r>
      <w:r w:rsidR="00B25C19">
        <w:rPr>
          <w:rFonts w:ascii="Arial" w:hAnsi="Arial" w:cs="Arial"/>
          <w:lang w:val="es-MX"/>
        </w:rPr>
        <w:t>s</w:t>
      </w:r>
      <w:r w:rsidRPr="008D4944">
        <w:rPr>
          <w:rFonts w:ascii="Arial" w:hAnsi="Arial" w:cs="Arial"/>
          <w:lang w:val="es-MX"/>
        </w:rPr>
        <w:t xml:space="preserve"> semana</w:t>
      </w:r>
      <w:r w:rsidR="00B25C19">
        <w:rPr>
          <w:rFonts w:ascii="Arial" w:hAnsi="Arial" w:cs="Arial"/>
          <w:lang w:val="es-MX"/>
        </w:rPr>
        <w:t>s</w:t>
      </w:r>
      <w:r w:rsidRPr="008D4944">
        <w:rPr>
          <w:rFonts w:ascii="Arial" w:hAnsi="Arial" w:cs="Arial"/>
          <w:lang w:val="es-MX"/>
        </w:rPr>
        <w:t xml:space="preserve"> epidemiológica</w:t>
      </w:r>
      <w:r w:rsidR="00B25C19">
        <w:rPr>
          <w:rFonts w:ascii="Arial" w:hAnsi="Arial" w:cs="Arial"/>
          <w:lang w:val="es-MX"/>
        </w:rPr>
        <w:t>s</w:t>
      </w:r>
      <w:r w:rsidRPr="008D4944">
        <w:rPr>
          <w:rFonts w:ascii="Arial" w:hAnsi="Arial" w:cs="Arial"/>
          <w:lang w:val="es-MX"/>
        </w:rPr>
        <w:t xml:space="preserve"> 20 y 24 con 18 casos (16,7%) y </w:t>
      </w:r>
      <w:r w:rsidR="00122673">
        <w:rPr>
          <w:rFonts w:ascii="Arial" w:hAnsi="Arial" w:cs="Arial"/>
          <w:lang w:val="es-MX"/>
        </w:rPr>
        <w:t xml:space="preserve">a partir de la 40 con 75 </w:t>
      </w:r>
      <w:r w:rsidR="00122673" w:rsidRPr="008D4944">
        <w:rPr>
          <w:rFonts w:ascii="Arial" w:hAnsi="Arial" w:cs="Arial"/>
          <w:lang w:val="es-MX"/>
        </w:rPr>
        <w:t>casos (69,4%).</w:t>
      </w:r>
      <w:r w:rsidR="00122673">
        <w:rPr>
          <w:rFonts w:ascii="Arial" w:hAnsi="Arial" w:cs="Arial"/>
          <w:lang w:val="es-MX"/>
        </w:rPr>
        <w:t xml:space="preserve"> Gráfico </w:t>
      </w:r>
      <w:r w:rsidR="0052274D">
        <w:rPr>
          <w:rFonts w:ascii="Arial" w:hAnsi="Arial" w:cs="Arial"/>
          <w:lang w:val="es-MX"/>
        </w:rPr>
        <w:t>1</w:t>
      </w:r>
      <w:r w:rsidR="002313C3">
        <w:rPr>
          <w:rFonts w:ascii="Arial" w:hAnsi="Arial" w:cs="Arial"/>
          <w:lang w:val="es-MX"/>
        </w:rPr>
        <w:t>8</w:t>
      </w:r>
      <w:r w:rsidR="00122673">
        <w:rPr>
          <w:rFonts w:ascii="Arial" w:hAnsi="Arial" w:cs="Arial"/>
          <w:lang w:val="es-MX"/>
        </w:rPr>
        <w:t>.</w:t>
      </w:r>
      <w:r w:rsidR="00122673">
        <w:rPr>
          <w:noProof/>
          <w:lang w:eastAsia="es-CR"/>
        </w:rPr>
        <w:t xml:space="preserve"> </w:t>
      </w:r>
    </w:p>
    <w:p w:rsidR="00122673" w:rsidRDefault="00122673">
      <w:pPr>
        <w:spacing w:after="160" w:line="259" w:lineRule="auto"/>
        <w:rPr>
          <w:rFonts w:ascii="Arial" w:hAnsi="Arial" w:cs="Arial"/>
          <w:highlight w:val="yellow"/>
        </w:rPr>
      </w:pPr>
    </w:p>
    <w:p w:rsidR="00475BBF" w:rsidRPr="00D2018A" w:rsidRDefault="00475BBF" w:rsidP="00122673">
      <w:pPr>
        <w:jc w:val="center"/>
        <w:rPr>
          <w:rFonts w:ascii="Arial" w:hAnsi="Arial" w:cs="Arial"/>
          <w:b/>
        </w:rPr>
      </w:pPr>
      <w:r w:rsidRPr="00122673">
        <w:rPr>
          <w:rFonts w:ascii="Arial" w:hAnsi="Arial" w:cs="Arial"/>
          <w:b/>
        </w:rPr>
        <w:t xml:space="preserve">Gráfico </w:t>
      </w:r>
      <w:r w:rsidR="0052274D">
        <w:rPr>
          <w:rFonts w:ascii="Arial" w:hAnsi="Arial" w:cs="Arial"/>
          <w:b/>
        </w:rPr>
        <w:t>1</w:t>
      </w:r>
      <w:r w:rsidR="002313C3">
        <w:rPr>
          <w:rFonts w:ascii="Arial" w:hAnsi="Arial" w:cs="Arial"/>
          <w:b/>
        </w:rPr>
        <w:t>8</w:t>
      </w:r>
    </w:p>
    <w:p w:rsidR="00475BBF" w:rsidRDefault="00475BBF" w:rsidP="00475BBF">
      <w:pPr>
        <w:jc w:val="center"/>
        <w:rPr>
          <w:noProof/>
          <w:lang w:eastAsia="es-CR"/>
        </w:rPr>
      </w:pPr>
      <w:r>
        <w:rPr>
          <w:noProof/>
          <w:lang w:val="es-CR" w:eastAsia="es-CR"/>
        </w:rPr>
        <w:drawing>
          <wp:inline distT="0" distB="0" distL="0" distR="0" wp14:anchorId="628BF633" wp14:editId="2E70F984">
            <wp:extent cx="5200410" cy="2489451"/>
            <wp:effectExtent l="0" t="0" r="635" b="6350"/>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75BBF" w:rsidRPr="00122673" w:rsidRDefault="00122673" w:rsidP="00122673">
      <w:pPr>
        <w:spacing w:line="360" w:lineRule="auto"/>
        <w:rPr>
          <w:rFonts w:ascii="Arial" w:hAnsi="Arial" w:cs="Arial"/>
          <w:sz w:val="18"/>
          <w:szCs w:val="18"/>
          <w:lang w:val="es-MX"/>
        </w:rPr>
      </w:pPr>
      <w:r>
        <w:rPr>
          <w:rFonts w:ascii="Arial" w:hAnsi="Arial" w:cs="Arial"/>
          <w:b/>
          <w:sz w:val="18"/>
          <w:szCs w:val="18"/>
          <w:lang w:val="es-MX"/>
        </w:rPr>
        <w:tab/>
      </w:r>
      <w:r w:rsidR="00475BBF" w:rsidRPr="00122673">
        <w:rPr>
          <w:rFonts w:ascii="Arial" w:hAnsi="Arial" w:cs="Arial"/>
          <w:b/>
          <w:sz w:val="18"/>
          <w:szCs w:val="18"/>
          <w:lang w:val="es-MX"/>
        </w:rPr>
        <w:t>Fuente:</w:t>
      </w:r>
      <w:r w:rsidR="00475BBF" w:rsidRPr="00122673">
        <w:rPr>
          <w:rFonts w:ascii="Arial" w:hAnsi="Arial" w:cs="Arial"/>
          <w:sz w:val="18"/>
          <w:szCs w:val="18"/>
          <w:lang w:val="es-MX"/>
        </w:rPr>
        <w:t xml:space="preserve"> Dirección de Vigilancia de la Salud. Ministerio de Salud.</w:t>
      </w:r>
      <w:r w:rsidRPr="00122673">
        <w:rPr>
          <w:rFonts w:ascii="Arial" w:hAnsi="Arial" w:cs="Arial"/>
          <w:sz w:val="18"/>
          <w:szCs w:val="18"/>
          <w:lang w:val="es-MX"/>
        </w:rPr>
        <w:t xml:space="preserve"> 2019.</w:t>
      </w:r>
    </w:p>
    <w:p w:rsidR="00475BBF" w:rsidRDefault="00475BBF" w:rsidP="00475BBF">
      <w:pPr>
        <w:rPr>
          <w:rFonts w:ascii="Arial" w:hAnsi="Arial" w:cs="Arial"/>
          <w:highlight w:val="yellow"/>
          <w:lang w:val="es-MX"/>
        </w:rPr>
      </w:pPr>
    </w:p>
    <w:p w:rsidR="00475BBF" w:rsidRPr="00EE5310" w:rsidRDefault="00475BBF" w:rsidP="00475BBF">
      <w:pPr>
        <w:spacing w:line="276" w:lineRule="auto"/>
        <w:jc w:val="both"/>
        <w:rPr>
          <w:rFonts w:ascii="Arial" w:hAnsi="Arial" w:cs="Arial"/>
          <w:lang w:val="es-MX"/>
        </w:rPr>
      </w:pPr>
      <w:r w:rsidRPr="00EE5310">
        <w:rPr>
          <w:rFonts w:ascii="Arial" w:hAnsi="Arial" w:cs="Arial"/>
          <w:lang w:val="es-MX"/>
        </w:rPr>
        <w:t xml:space="preserve">El 87.0% (94) de los casos se registró en la provincia de Alajuela, de éstos 89 (82.4%) </w:t>
      </w:r>
      <w:r w:rsidR="00122673" w:rsidRPr="00EE5310">
        <w:rPr>
          <w:rFonts w:ascii="Arial" w:hAnsi="Arial" w:cs="Arial"/>
          <w:lang w:val="es-MX"/>
        </w:rPr>
        <w:t xml:space="preserve">en </w:t>
      </w:r>
      <w:r w:rsidRPr="00EE5310">
        <w:rPr>
          <w:rFonts w:ascii="Arial" w:hAnsi="Arial" w:cs="Arial"/>
          <w:lang w:val="es-MX"/>
        </w:rPr>
        <w:t>el cantón de San Carlos</w:t>
      </w:r>
      <w:r w:rsidR="00122673" w:rsidRPr="00EE5310">
        <w:rPr>
          <w:rFonts w:ascii="Arial" w:hAnsi="Arial" w:cs="Arial"/>
          <w:lang w:val="es-MX"/>
        </w:rPr>
        <w:t>;</w:t>
      </w:r>
      <w:r w:rsidRPr="00EE5310">
        <w:rPr>
          <w:rFonts w:ascii="Arial" w:hAnsi="Arial" w:cs="Arial"/>
          <w:lang w:val="es-MX"/>
        </w:rPr>
        <w:t xml:space="preserve"> el 57.4% (62) </w:t>
      </w:r>
      <w:r w:rsidR="00122673" w:rsidRPr="00EE5310">
        <w:rPr>
          <w:rFonts w:ascii="Arial" w:hAnsi="Arial" w:cs="Arial"/>
          <w:lang w:val="es-MX"/>
        </w:rPr>
        <w:t xml:space="preserve">en </w:t>
      </w:r>
      <w:r w:rsidRPr="00EE5310">
        <w:rPr>
          <w:rFonts w:ascii="Arial" w:hAnsi="Arial" w:cs="Arial"/>
          <w:lang w:val="es-MX"/>
        </w:rPr>
        <w:t xml:space="preserve">el distrito de Cutris, 24.1% (26) </w:t>
      </w:r>
      <w:r w:rsidR="00122673" w:rsidRPr="00EE5310">
        <w:rPr>
          <w:rFonts w:ascii="Arial" w:hAnsi="Arial" w:cs="Arial"/>
          <w:lang w:val="es-MX"/>
        </w:rPr>
        <w:t>en el</w:t>
      </w:r>
      <w:r w:rsidRPr="00EE5310">
        <w:rPr>
          <w:rFonts w:ascii="Arial" w:hAnsi="Arial" w:cs="Arial"/>
          <w:lang w:val="es-MX"/>
        </w:rPr>
        <w:t xml:space="preserve"> distrito de Pocosol y 0.9 % (1) </w:t>
      </w:r>
      <w:r w:rsidR="00122673" w:rsidRPr="00EE5310">
        <w:rPr>
          <w:rFonts w:ascii="Arial" w:hAnsi="Arial" w:cs="Arial"/>
          <w:lang w:val="es-MX"/>
        </w:rPr>
        <w:t xml:space="preserve">en </w:t>
      </w:r>
      <w:r w:rsidRPr="00EE5310">
        <w:rPr>
          <w:rFonts w:ascii="Arial" w:hAnsi="Arial" w:cs="Arial"/>
          <w:lang w:val="es-MX"/>
        </w:rPr>
        <w:t>Pital.</w:t>
      </w:r>
    </w:p>
    <w:p w:rsidR="00122673" w:rsidRPr="00EE5310" w:rsidRDefault="002313C3" w:rsidP="00475BBF">
      <w:pPr>
        <w:spacing w:line="276" w:lineRule="auto"/>
        <w:jc w:val="both"/>
        <w:rPr>
          <w:rFonts w:ascii="Arial" w:hAnsi="Arial" w:cs="Arial"/>
          <w:highlight w:val="yellow"/>
          <w:lang w:val="es-MX"/>
        </w:rPr>
      </w:pPr>
      <w:r w:rsidRPr="00EE5310">
        <w:rPr>
          <w:rFonts w:cs="Arial"/>
          <w:noProof/>
          <w:lang w:val="es-CR" w:eastAsia="es-CR"/>
        </w:rPr>
        <w:drawing>
          <wp:anchor distT="0" distB="0" distL="114300" distR="114300" simplePos="0" relativeHeight="251673600" behindDoc="0" locked="0" layoutInCell="1" allowOverlap="1" wp14:anchorId="3F210183" wp14:editId="7043E025">
            <wp:simplePos x="0" y="0"/>
            <wp:positionH relativeFrom="column">
              <wp:posOffset>3009011</wp:posOffset>
            </wp:positionH>
            <wp:positionV relativeFrom="paragraph">
              <wp:posOffset>190831</wp:posOffset>
            </wp:positionV>
            <wp:extent cx="3342640" cy="2539365"/>
            <wp:effectExtent l="0" t="0" r="0" b="0"/>
            <wp:wrapSquare wrapText="bothSides"/>
            <wp:docPr id="8" name="Imagen 8" descr="C:\Mapas\Vectoriales\casos autoctonos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Mapas\Vectoriales\casos autoctonos2018.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342640" cy="25393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75BBF" w:rsidRPr="00122673" w:rsidRDefault="00C43ABB" w:rsidP="00475BBF">
      <w:pPr>
        <w:spacing w:line="276" w:lineRule="auto"/>
        <w:jc w:val="both"/>
        <w:rPr>
          <w:rFonts w:ascii="Arial" w:hAnsi="Arial" w:cs="Arial"/>
          <w:lang w:val="es-MX"/>
        </w:rPr>
      </w:pPr>
      <w:r w:rsidRPr="00EE5310">
        <w:rPr>
          <w:rFonts w:ascii="Arial" w:hAnsi="Arial" w:cs="Arial"/>
          <w:noProof/>
          <w:lang w:val="es-PA" w:eastAsia="es-PA"/>
        </w:rPr>
        <w:t>El 1</w:t>
      </w:r>
      <w:r w:rsidR="00EE5310" w:rsidRPr="00EE5310">
        <w:rPr>
          <w:rFonts w:ascii="Arial" w:hAnsi="Arial" w:cs="Arial"/>
          <w:noProof/>
          <w:lang w:val="es-PA" w:eastAsia="es-PA"/>
        </w:rPr>
        <w:t>3</w:t>
      </w:r>
      <w:r w:rsidRPr="00EE5310">
        <w:rPr>
          <w:rFonts w:ascii="Arial" w:hAnsi="Arial" w:cs="Arial"/>
          <w:noProof/>
          <w:lang w:val="es-PA" w:eastAsia="es-PA"/>
        </w:rPr>
        <w:t xml:space="preserve"> % restante de los casos </w:t>
      </w:r>
      <w:r w:rsidR="00EE5310" w:rsidRPr="00EE5310">
        <w:rPr>
          <w:rFonts w:ascii="Arial" w:hAnsi="Arial" w:cs="Arial"/>
          <w:noProof/>
          <w:lang w:val="es-PA" w:eastAsia="es-PA"/>
        </w:rPr>
        <w:t>se presentaron e</w:t>
      </w:r>
      <w:r w:rsidR="00475BBF" w:rsidRPr="00EE5310">
        <w:rPr>
          <w:rFonts w:ascii="Arial" w:hAnsi="Arial" w:cs="Arial"/>
          <w:lang w:val="es-MX"/>
        </w:rPr>
        <w:t>n los cantones de Los Chiles</w:t>
      </w:r>
      <w:r w:rsidR="00EE5310" w:rsidRPr="00EE5310">
        <w:rPr>
          <w:rFonts w:ascii="Arial" w:hAnsi="Arial" w:cs="Arial"/>
          <w:lang w:val="es-MX"/>
        </w:rPr>
        <w:t>,</w:t>
      </w:r>
      <w:r w:rsidR="00475BBF" w:rsidRPr="00EE5310">
        <w:rPr>
          <w:rFonts w:ascii="Arial" w:hAnsi="Arial" w:cs="Arial"/>
          <w:lang w:val="es-MX"/>
        </w:rPr>
        <w:t xml:space="preserve"> Golfito, Puntarenas, Sarapiquí, Carrillo</w:t>
      </w:r>
      <w:r w:rsidR="00EE5310" w:rsidRPr="00EE5310">
        <w:rPr>
          <w:rFonts w:ascii="Arial" w:hAnsi="Arial" w:cs="Arial"/>
          <w:lang w:val="es-MX"/>
        </w:rPr>
        <w:t>,</w:t>
      </w:r>
      <w:r w:rsidR="00475BBF" w:rsidRPr="00EE5310">
        <w:rPr>
          <w:rFonts w:ascii="Arial" w:hAnsi="Arial" w:cs="Arial"/>
          <w:lang w:val="es-MX"/>
        </w:rPr>
        <w:t xml:space="preserve"> Siquirres</w:t>
      </w:r>
      <w:r w:rsidR="00EE5310" w:rsidRPr="00EE5310">
        <w:rPr>
          <w:rFonts w:ascii="Arial" w:hAnsi="Arial" w:cs="Arial"/>
          <w:lang w:val="es-MX"/>
        </w:rPr>
        <w:t>,</w:t>
      </w:r>
      <w:r w:rsidR="00475BBF" w:rsidRPr="00EE5310">
        <w:rPr>
          <w:rFonts w:ascii="Arial" w:hAnsi="Arial" w:cs="Arial"/>
          <w:lang w:val="es-MX"/>
        </w:rPr>
        <w:t xml:space="preserve"> </w:t>
      </w:r>
      <w:r w:rsidR="00EE5310" w:rsidRPr="00EE5310">
        <w:rPr>
          <w:rFonts w:ascii="Arial" w:hAnsi="Arial" w:cs="Arial"/>
          <w:lang w:val="es-MX"/>
        </w:rPr>
        <w:t>San José</w:t>
      </w:r>
      <w:r w:rsidR="00475BBF" w:rsidRPr="00EE5310">
        <w:rPr>
          <w:rFonts w:ascii="Arial" w:hAnsi="Arial" w:cs="Arial"/>
          <w:lang w:val="es-MX"/>
        </w:rPr>
        <w:t>, Alajuelita, Escazú y Naranjo.</w:t>
      </w:r>
    </w:p>
    <w:p w:rsidR="00C43ABB" w:rsidRDefault="00C43ABB" w:rsidP="00475BBF">
      <w:pPr>
        <w:jc w:val="both"/>
        <w:rPr>
          <w:rFonts w:ascii="Arial" w:hAnsi="Arial" w:cs="Arial"/>
          <w:lang w:val="es-MX"/>
        </w:rPr>
      </w:pPr>
    </w:p>
    <w:p w:rsidR="00475BBF" w:rsidRDefault="00183F00" w:rsidP="00C43ABB">
      <w:pPr>
        <w:jc w:val="center"/>
        <w:rPr>
          <w:rFonts w:ascii="Arial" w:hAnsi="Arial" w:cs="Arial"/>
          <w:lang w:val="es-MX"/>
        </w:rPr>
      </w:pPr>
      <w:r>
        <w:rPr>
          <w:rFonts w:ascii="Arial" w:hAnsi="Arial" w:cs="Arial"/>
          <w:lang w:val="es-MX"/>
        </w:rPr>
        <w:tab/>
      </w:r>
      <w:r>
        <w:rPr>
          <w:rFonts w:ascii="Arial" w:hAnsi="Arial" w:cs="Arial"/>
          <w:lang w:val="es-MX"/>
        </w:rPr>
        <w:tab/>
      </w:r>
      <w:r w:rsidR="00A67D7E">
        <w:rPr>
          <w:rFonts w:ascii="Arial" w:hAnsi="Arial" w:cs="Arial"/>
          <w:lang w:val="es-MX"/>
        </w:rPr>
        <w:t>Figura</w:t>
      </w:r>
      <w:r w:rsidR="00475BBF" w:rsidRPr="00EE5310">
        <w:rPr>
          <w:rFonts w:ascii="Arial" w:hAnsi="Arial" w:cs="Arial"/>
          <w:lang w:val="es-MX"/>
        </w:rPr>
        <w:t xml:space="preserve"> </w:t>
      </w:r>
      <w:r w:rsidR="00472E6D">
        <w:rPr>
          <w:rFonts w:ascii="Arial" w:hAnsi="Arial" w:cs="Arial"/>
          <w:lang w:val="es-MX"/>
        </w:rPr>
        <w:t>4</w:t>
      </w:r>
    </w:p>
    <w:p w:rsidR="00C43ABB" w:rsidRDefault="00C43ABB" w:rsidP="00475BBF">
      <w:pPr>
        <w:jc w:val="both"/>
        <w:rPr>
          <w:rFonts w:ascii="Arial" w:hAnsi="Arial" w:cs="Arial"/>
          <w:lang w:val="es-MX"/>
        </w:rPr>
      </w:pPr>
    </w:p>
    <w:p w:rsidR="00C43ABB" w:rsidRDefault="00C43ABB" w:rsidP="00475BBF">
      <w:pPr>
        <w:jc w:val="both"/>
        <w:rPr>
          <w:rFonts w:ascii="Arial" w:hAnsi="Arial" w:cs="Arial"/>
          <w:lang w:val="es-MX"/>
        </w:rPr>
      </w:pPr>
    </w:p>
    <w:p w:rsidR="00475BBF" w:rsidRDefault="00475BBF" w:rsidP="00475BBF">
      <w:pPr>
        <w:jc w:val="center"/>
        <w:rPr>
          <w:rFonts w:ascii="Arial" w:hAnsi="Arial" w:cs="Arial"/>
          <w:lang w:val="es-MX"/>
        </w:rPr>
      </w:pPr>
    </w:p>
    <w:p w:rsidR="00475BBF" w:rsidRDefault="00475BBF" w:rsidP="00475BBF">
      <w:pPr>
        <w:jc w:val="both"/>
        <w:rPr>
          <w:rFonts w:ascii="Arial" w:hAnsi="Arial" w:cs="Arial"/>
          <w:lang w:val="es-MX"/>
        </w:rPr>
      </w:pPr>
    </w:p>
    <w:p w:rsidR="00475BBF" w:rsidRDefault="00475BBF" w:rsidP="00475BBF">
      <w:pPr>
        <w:jc w:val="both"/>
        <w:rPr>
          <w:rFonts w:ascii="Arial" w:hAnsi="Arial" w:cs="Arial"/>
          <w:lang w:val="es-MX"/>
        </w:rPr>
      </w:pPr>
    </w:p>
    <w:p w:rsidR="00475BBF" w:rsidRDefault="00475BBF" w:rsidP="00475BBF">
      <w:pPr>
        <w:jc w:val="both"/>
        <w:rPr>
          <w:rFonts w:ascii="Arial" w:hAnsi="Arial" w:cs="Arial"/>
          <w:lang w:val="es-MX"/>
        </w:rPr>
      </w:pPr>
    </w:p>
    <w:p w:rsidR="00475BBF" w:rsidRDefault="00475BBF" w:rsidP="00475BBF">
      <w:pPr>
        <w:jc w:val="both"/>
        <w:rPr>
          <w:rFonts w:ascii="Arial" w:hAnsi="Arial" w:cs="Arial"/>
          <w:lang w:val="es-MX"/>
        </w:rPr>
      </w:pPr>
    </w:p>
    <w:p w:rsidR="00A67D7E" w:rsidRDefault="00475BBF" w:rsidP="00A67D7E">
      <w:pPr>
        <w:spacing w:after="240" w:line="276" w:lineRule="auto"/>
        <w:jc w:val="both"/>
        <w:rPr>
          <w:rFonts w:ascii="Arial" w:hAnsi="Arial" w:cs="Arial"/>
          <w:lang w:val="es-MX"/>
        </w:rPr>
      </w:pPr>
      <w:r w:rsidRPr="00A51E40">
        <w:rPr>
          <w:rFonts w:ascii="Arial" w:hAnsi="Arial" w:cs="Arial"/>
          <w:lang w:val="es-MX"/>
        </w:rPr>
        <w:lastRenderedPageBreak/>
        <w:t>La distribución por sexo indic</w:t>
      </w:r>
      <w:r w:rsidR="00A67D7E">
        <w:rPr>
          <w:rFonts w:ascii="Arial" w:hAnsi="Arial" w:cs="Arial"/>
          <w:lang w:val="es-MX"/>
        </w:rPr>
        <w:t>ó</w:t>
      </w:r>
      <w:r w:rsidRPr="00A51E40">
        <w:rPr>
          <w:rFonts w:ascii="Arial" w:hAnsi="Arial" w:cs="Arial"/>
          <w:lang w:val="es-MX"/>
        </w:rPr>
        <w:t xml:space="preserve"> que el </w:t>
      </w:r>
      <w:r w:rsidR="00A67D7E" w:rsidRPr="00A51E40">
        <w:rPr>
          <w:rFonts w:ascii="Arial" w:hAnsi="Arial" w:cs="Arial"/>
          <w:lang w:val="es-MX"/>
        </w:rPr>
        <w:t>73</w:t>
      </w:r>
      <w:r w:rsidR="00A67D7E">
        <w:rPr>
          <w:rFonts w:ascii="Arial" w:hAnsi="Arial" w:cs="Arial"/>
          <w:lang w:val="es-MX"/>
        </w:rPr>
        <w:t>,</w:t>
      </w:r>
      <w:r w:rsidR="00A67D7E" w:rsidRPr="00A51E40">
        <w:rPr>
          <w:rFonts w:ascii="Arial" w:hAnsi="Arial" w:cs="Arial"/>
          <w:lang w:val="es-MX"/>
        </w:rPr>
        <w:t xml:space="preserve">1% (79) </w:t>
      </w:r>
      <w:r w:rsidR="00A67D7E">
        <w:rPr>
          <w:rFonts w:ascii="Arial" w:hAnsi="Arial" w:cs="Arial"/>
          <w:lang w:val="es-MX"/>
        </w:rPr>
        <w:t xml:space="preserve">de los casos fueron del </w:t>
      </w:r>
      <w:r w:rsidRPr="00A51E40">
        <w:rPr>
          <w:rFonts w:ascii="Arial" w:hAnsi="Arial" w:cs="Arial"/>
          <w:lang w:val="es-MX"/>
        </w:rPr>
        <w:t>sexo masculino y el 26.9% (29) de los casos</w:t>
      </w:r>
      <w:r w:rsidR="00A67D7E" w:rsidRPr="00A67D7E">
        <w:rPr>
          <w:rFonts w:ascii="Arial" w:hAnsi="Arial" w:cs="Arial"/>
          <w:lang w:val="es-MX"/>
        </w:rPr>
        <w:t xml:space="preserve"> </w:t>
      </w:r>
      <w:r w:rsidR="00A67D7E">
        <w:rPr>
          <w:rFonts w:ascii="Arial" w:hAnsi="Arial" w:cs="Arial"/>
          <w:lang w:val="es-MX"/>
        </w:rPr>
        <w:t xml:space="preserve">del </w:t>
      </w:r>
      <w:r w:rsidR="00A67D7E" w:rsidRPr="00A51E40">
        <w:rPr>
          <w:rFonts w:ascii="Arial" w:hAnsi="Arial" w:cs="Arial"/>
          <w:lang w:val="es-MX"/>
        </w:rPr>
        <w:t>femenino</w:t>
      </w:r>
      <w:r w:rsidR="00A67D7E">
        <w:rPr>
          <w:rFonts w:ascii="Arial" w:hAnsi="Arial" w:cs="Arial"/>
          <w:lang w:val="es-MX"/>
        </w:rPr>
        <w:t>.</w:t>
      </w:r>
      <w:r w:rsidR="00A67D7E" w:rsidRPr="00A67D7E">
        <w:rPr>
          <w:rFonts w:ascii="Arial" w:hAnsi="Arial" w:cs="Arial"/>
          <w:lang w:val="es-MX"/>
        </w:rPr>
        <w:t xml:space="preserve"> </w:t>
      </w:r>
      <w:r w:rsidR="00A67D7E">
        <w:rPr>
          <w:rFonts w:ascii="Arial" w:hAnsi="Arial" w:cs="Arial"/>
          <w:lang w:val="es-MX"/>
        </w:rPr>
        <w:t>L</w:t>
      </w:r>
      <w:r w:rsidR="00A67D7E" w:rsidRPr="00A51E40">
        <w:rPr>
          <w:rFonts w:ascii="Arial" w:hAnsi="Arial" w:cs="Arial"/>
          <w:lang w:val="es-MX"/>
        </w:rPr>
        <w:t>a relación hombre:mujer fue de 3:1.</w:t>
      </w:r>
    </w:p>
    <w:p w:rsidR="00475BBF" w:rsidRDefault="00A67D7E" w:rsidP="00475BBF">
      <w:pPr>
        <w:spacing w:line="276" w:lineRule="auto"/>
        <w:jc w:val="both"/>
        <w:rPr>
          <w:rFonts w:ascii="Arial" w:hAnsi="Arial" w:cs="Arial"/>
          <w:lang w:val="es-MX"/>
        </w:rPr>
      </w:pPr>
      <w:r>
        <w:rPr>
          <w:rFonts w:ascii="Arial" w:hAnsi="Arial" w:cs="Arial"/>
          <w:lang w:val="es-MX"/>
        </w:rPr>
        <w:t>E</w:t>
      </w:r>
      <w:r w:rsidR="00475BBF" w:rsidRPr="00A51E40">
        <w:rPr>
          <w:rFonts w:ascii="Arial" w:hAnsi="Arial" w:cs="Arial"/>
          <w:lang w:val="es-MX"/>
        </w:rPr>
        <w:t>l grupo de edad de 20 a 39 años, registró el 58</w:t>
      </w:r>
      <w:r>
        <w:rPr>
          <w:rFonts w:ascii="Arial" w:hAnsi="Arial" w:cs="Arial"/>
          <w:lang w:val="es-MX"/>
        </w:rPr>
        <w:t>,</w:t>
      </w:r>
      <w:r w:rsidR="00475BBF" w:rsidRPr="00A51E40">
        <w:rPr>
          <w:rFonts w:ascii="Arial" w:hAnsi="Arial" w:cs="Arial"/>
          <w:lang w:val="es-MX"/>
        </w:rPr>
        <w:t>3% (6</w:t>
      </w:r>
      <w:r>
        <w:rPr>
          <w:rFonts w:ascii="Arial" w:hAnsi="Arial" w:cs="Arial"/>
          <w:lang w:val="es-MX"/>
        </w:rPr>
        <w:t>3) de los casos de ambos sexos.</w:t>
      </w:r>
    </w:p>
    <w:p w:rsidR="00A51E40" w:rsidRDefault="00A51E40" w:rsidP="00475BBF">
      <w:pPr>
        <w:spacing w:line="276" w:lineRule="auto"/>
        <w:jc w:val="both"/>
        <w:rPr>
          <w:rFonts w:ascii="Arial" w:hAnsi="Arial" w:cs="Arial"/>
          <w:lang w:val="es-MX"/>
        </w:rPr>
      </w:pPr>
    </w:p>
    <w:p w:rsidR="00475BBF" w:rsidRDefault="00475BBF" w:rsidP="00475BBF">
      <w:pPr>
        <w:spacing w:line="276" w:lineRule="auto"/>
        <w:jc w:val="both"/>
        <w:rPr>
          <w:rFonts w:ascii="Arial" w:hAnsi="Arial" w:cs="Arial"/>
          <w:lang w:val="es-MX"/>
        </w:rPr>
      </w:pPr>
      <w:r w:rsidRPr="002E3FF1">
        <w:rPr>
          <w:rFonts w:ascii="Arial" w:hAnsi="Arial" w:cs="Arial"/>
          <w:lang w:val="es-MX"/>
        </w:rPr>
        <w:t>El 64</w:t>
      </w:r>
      <w:r w:rsidR="00A67D7E">
        <w:rPr>
          <w:rFonts w:ascii="Arial" w:hAnsi="Arial" w:cs="Arial"/>
          <w:lang w:val="es-MX"/>
        </w:rPr>
        <w:t>,</w:t>
      </w:r>
      <w:r w:rsidRPr="002E3FF1">
        <w:rPr>
          <w:rFonts w:ascii="Arial" w:hAnsi="Arial" w:cs="Arial"/>
          <w:lang w:val="es-MX"/>
        </w:rPr>
        <w:t>8 % de los casos fueron de transmisión autóctona y el 35</w:t>
      </w:r>
      <w:r w:rsidR="00A67D7E">
        <w:rPr>
          <w:rFonts w:ascii="Arial" w:hAnsi="Arial" w:cs="Arial"/>
          <w:lang w:val="es-MX"/>
        </w:rPr>
        <w:t>,2% importados.</w:t>
      </w:r>
    </w:p>
    <w:p w:rsidR="00A67D7E" w:rsidRDefault="00A67D7E" w:rsidP="00475BBF">
      <w:pPr>
        <w:spacing w:line="276" w:lineRule="auto"/>
        <w:jc w:val="both"/>
        <w:rPr>
          <w:rFonts w:ascii="Arial" w:hAnsi="Arial" w:cs="Arial"/>
          <w:lang w:val="es-MX"/>
        </w:rPr>
      </w:pPr>
    </w:p>
    <w:p w:rsidR="00A67D7E" w:rsidRDefault="00475BBF" w:rsidP="00A67D7E">
      <w:pPr>
        <w:spacing w:after="240" w:line="276" w:lineRule="auto"/>
        <w:jc w:val="both"/>
        <w:rPr>
          <w:rFonts w:ascii="Arial" w:hAnsi="Arial" w:cs="Arial"/>
          <w:lang w:val="es-MX"/>
        </w:rPr>
      </w:pPr>
      <w:r>
        <w:rPr>
          <w:rFonts w:ascii="Arial" w:hAnsi="Arial" w:cs="Arial"/>
          <w:lang w:val="es-MX"/>
        </w:rPr>
        <w:t xml:space="preserve">La distribución </w:t>
      </w:r>
      <w:r w:rsidR="00A67D7E">
        <w:rPr>
          <w:rFonts w:ascii="Arial" w:hAnsi="Arial" w:cs="Arial"/>
          <w:lang w:val="es-MX"/>
        </w:rPr>
        <w:t xml:space="preserve">según </w:t>
      </w:r>
      <w:r>
        <w:rPr>
          <w:rFonts w:ascii="Arial" w:hAnsi="Arial" w:cs="Arial"/>
          <w:lang w:val="es-MX"/>
        </w:rPr>
        <w:t xml:space="preserve">nacionalidad </w:t>
      </w:r>
      <w:r w:rsidR="00A67D7E">
        <w:rPr>
          <w:rFonts w:ascii="Arial" w:hAnsi="Arial" w:cs="Arial"/>
          <w:lang w:val="es-MX"/>
        </w:rPr>
        <w:t>fue</w:t>
      </w:r>
      <w:r>
        <w:rPr>
          <w:rFonts w:ascii="Arial" w:hAnsi="Arial" w:cs="Arial"/>
          <w:lang w:val="es-MX"/>
        </w:rPr>
        <w:t>:</w:t>
      </w:r>
      <w:r w:rsidRPr="002E3FF1">
        <w:rPr>
          <w:rFonts w:ascii="Arial" w:hAnsi="Arial" w:cs="Arial"/>
          <w:lang w:val="es-MX"/>
        </w:rPr>
        <w:t xml:space="preserve"> 71</w:t>
      </w:r>
      <w:r w:rsidR="00A67D7E">
        <w:rPr>
          <w:rFonts w:ascii="Arial" w:hAnsi="Arial" w:cs="Arial"/>
          <w:lang w:val="es-MX"/>
        </w:rPr>
        <w:t>,</w:t>
      </w:r>
      <w:r w:rsidRPr="002E3FF1">
        <w:rPr>
          <w:rFonts w:ascii="Arial" w:hAnsi="Arial" w:cs="Arial"/>
          <w:lang w:val="es-MX"/>
        </w:rPr>
        <w:t>3%</w:t>
      </w:r>
      <w:r w:rsidR="00A67D7E">
        <w:rPr>
          <w:rFonts w:ascii="Arial" w:hAnsi="Arial" w:cs="Arial"/>
          <w:lang w:val="es-MX"/>
        </w:rPr>
        <w:t>,</w:t>
      </w:r>
      <w:r w:rsidRPr="002E3FF1">
        <w:rPr>
          <w:rFonts w:ascii="Arial" w:hAnsi="Arial" w:cs="Arial"/>
          <w:lang w:val="es-MX"/>
        </w:rPr>
        <w:t xml:space="preserve"> nicaragüense, el 24.1% costarricense y el 4</w:t>
      </w:r>
      <w:r w:rsidR="00A67D7E">
        <w:rPr>
          <w:rFonts w:ascii="Arial" w:hAnsi="Arial" w:cs="Arial"/>
          <w:lang w:val="es-MX"/>
        </w:rPr>
        <w:t>,</w:t>
      </w:r>
      <w:r w:rsidRPr="002E3FF1">
        <w:rPr>
          <w:rFonts w:ascii="Arial" w:hAnsi="Arial" w:cs="Arial"/>
          <w:lang w:val="es-MX"/>
        </w:rPr>
        <w:t xml:space="preserve">6% </w:t>
      </w:r>
      <w:r w:rsidR="00A67D7E">
        <w:rPr>
          <w:rFonts w:ascii="Arial" w:hAnsi="Arial" w:cs="Arial"/>
          <w:lang w:val="es-MX"/>
        </w:rPr>
        <w:t xml:space="preserve">de </w:t>
      </w:r>
      <w:r w:rsidRPr="002E3FF1">
        <w:rPr>
          <w:rFonts w:ascii="Arial" w:hAnsi="Arial" w:cs="Arial"/>
          <w:lang w:val="es-MX"/>
        </w:rPr>
        <w:t xml:space="preserve">otras nacionalidades.  </w:t>
      </w:r>
    </w:p>
    <w:p w:rsidR="00475BBF" w:rsidRPr="00523D14" w:rsidRDefault="00475BBF" w:rsidP="00475BBF">
      <w:pPr>
        <w:spacing w:line="276" w:lineRule="auto"/>
        <w:jc w:val="both"/>
        <w:rPr>
          <w:rFonts w:ascii="Arial" w:hAnsi="Arial" w:cs="Arial"/>
          <w:lang w:val="es-MX"/>
        </w:rPr>
      </w:pPr>
      <w:r w:rsidRPr="002E3FF1">
        <w:rPr>
          <w:rFonts w:ascii="Arial" w:hAnsi="Arial" w:cs="Arial"/>
          <w:lang w:val="es-MX"/>
        </w:rPr>
        <w:t>El 78</w:t>
      </w:r>
      <w:r w:rsidR="00A67D7E">
        <w:rPr>
          <w:rFonts w:ascii="Arial" w:hAnsi="Arial" w:cs="Arial"/>
          <w:lang w:val="es-MX"/>
        </w:rPr>
        <w:t>,</w:t>
      </w:r>
      <w:r w:rsidRPr="002E3FF1">
        <w:rPr>
          <w:rFonts w:ascii="Arial" w:hAnsi="Arial" w:cs="Arial"/>
          <w:lang w:val="es-MX"/>
        </w:rPr>
        <w:t xml:space="preserve">7% (85) fueron causados por </w:t>
      </w:r>
      <w:r w:rsidRPr="002E3FF1">
        <w:rPr>
          <w:rFonts w:ascii="Arial" w:hAnsi="Arial" w:cs="Arial"/>
          <w:i/>
          <w:lang w:val="es-MX"/>
        </w:rPr>
        <w:t>Plasmodium vivax,</w:t>
      </w:r>
      <w:r w:rsidRPr="002E3FF1">
        <w:rPr>
          <w:rFonts w:ascii="Arial" w:hAnsi="Arial" w:cs="Arial"/>
          <w:lang w:val="es-MX"/>
        </w:rPr>
        <w:t xml:space="preserve"> y el 21</w:t>
      </w:r>
      <w:r w:rsidR="00A67D7E">
        <w:rPr>
          <w:rFonts w:ascii="Arial" w:hAnsi="Arial" w:cs="Arial"/>
          <w:lang w:val="es-MX"/>
        </w:rPr>
        <w:t>,</w:t>
      </w:r>
      <w:r w:rsidRPr="002E3FF1">
        <w:rPr>
          <w:rFonts w:ascii="Arial" w:hAnsi="Arial" w:cs="Arial"/>
          <w:lang w:val="es-MX"/>
        </w:rPr>
        <w:t xml:space="preserve">3% (23) por </w:t>
      </w:r>
      <w:r w:rsidRPr="002E3FF1">
        <w:rPr>
          <w:rFonts w:ascii="Arial" w:hAnsi="Arial" w:cs="Arial"/>
          <w:i/>
          <w:lang w:val="es-MX"/>
        </w:rPr>
        <w:t>Plasmodium falciparum.</w:t>
      </w:r>
    </w:p>
    <w:p w:rsidR="00475BBF" w:rsidRDefault="00475BBF" w:rsidP="00475BBF">
      <w:pPr>
        <w:spacing w:line="276" w:lineRule="auto"/>
        <w:jc w:val="both"/>
        <w:rPr>
          <w:rFonts w:ascii="Arial" w:hAnsi="Arial" w:cs="Arial"/>
          <w:lang w:val="es-ES"/>
        </w:rPr>
      </w:pPr>
    </w:p>
    <w:p w:rsidR="00475BBF" w:rsidRPr="005009BC" w:rsidRDefault="00475BBF" w:rsidP="002313C3">
      <w:pPr>
        <w:spacing w:after="240" w:line="276" w:lineRule="auto"/>
        <w:jc w:val="both"/>
        <w:rPr>
          <w:rFonts w:ascii="Arial" w:hAnsi="Arial" w:cs="Arial"/>
          <w:lang w:val="es-MX"/>
        </w:rPr>
      </w:pPr>
      <w:r w:rsidRPr="005B5987">
        <w:rPr>
          <w:rFonts w:ascii="Arial" w:hAnsi="Arial" w:cs="Arial"/>
          <w:lang w:val="es-ES"/>
        </w:rPr>
        <w:t xml:space="preserve">Actualmente el país está siendo afectado por la importación de casos de </w:t>
      </w:r>
      <w:r>
        <w:rPr>
          <w:rFonts w:ascii="Arial" w:hAnsi="Arial" w:cs="Arial"/>
          <w:i/>
        </w:rPr>
        <w:t>P. vivax</w:t>
      </w:r>
      <w:r w:rsidRPr="005B5987">
        <w:rPr>
          <w:rFonts w:ascii="Arial" w:hAnsi="Arial" w:cs="Arial"/>
          <w:i/>
          <w:lang w:val="es-ES"/>
        </w:rPr>
        <w:t xml:space="preserve"> </w:t>
      </w:r>
      <w:r w:rsidRPr="005B5987">
        <w:rPr>
          <w:rFonts w:ascii="Arial" w:hAnsi="Arial" w:cs="Arial"/>
          <w:lang w:val="es-ES"/>
        </w:rPr>
        <w:t xml:space="preserve">en </w:t>
      </w:r>
      <w:r w:rsidR="00A67D7E">
        <w:rPr>
          <w:rFonts w:ascii="Arial" w:hAnsi="Arial" w:cs="Arial"/>
          <w:lang w:val="es-ES"/>
        </w:rPr>
        <w:t xml:space="preserve">la localidad de </w:t>
      </w:r>
      <w:r w:rsidRPr="005B5987">
        <w:rPr>
          <w:rFonts w:ascii="Arial" w:hAnsi="Arial" w:cs="Arial"/>
          <w:lang w:val="es-ES"/>
        </w:rPr>
        <w:t xml:space="preserve">Las Crucitas y localidades aledañas de los distritos de: Pocosol, Cutris y Los Chiles, </w:t>
      </w:r>
      <w:r w:rsidR="00A67D7E">
        <w:rPr>
          <w:rFonts w:ascii="Arial" w:hAnsi="Arial" w:cs="Arial"/>
          <w:lang w:val="es-ES"/>
        </w:rPr>
        <w:t xml:space="preserve">en los cuales </w:t>
      </w:r>
      <w:r w:rsidRPr="005B5987">
        <w:rPr>
          <w:rFonts w:ascii="Arial" w:hAnsi="Arial" w:cs="Arial"/>
          <w:lang w:val="es-ES"/>
        </w:rPr>
        <w:t xml:space="preserve">se da un movimiento </w:t>
      </w:r>
      <w:r w:rsidR="00A67D7E">
        <w:rPr>
          <w:rFonts w:ascii="Arial" w:hAnsi="Arial" w:cs="Arial"/>
          <w:lang w:val="es-ES"/>
        </w:rPr>
        <w:t xml:space="preserve">migratorio permanente causado por la búsqueda de oro. En </w:t>
      </w:r>
      <w:r w:rsidRPr="005B5987">
        <w:rPr>
          <w:rFonts w:ascii="Arial" w:hAnsi="Arial" w:cs="Arial"/>
          <w:lang w:val="es-ES"/>
        </w:rPr>
        <w:t xml:space="preserve">su mayoría </w:t>
      </w:r>
      <w:r w:rsidR="00A67D7E">
        <w:rPr>
          <w:rFonts w:ascii="Arial" w:hAnsi="Arial" w:cs="Arial"/>
          <w:lang w:val="es-ES"/>
        </w:rPr>
        <w:t xml:space="preserve">son personas </w:t>
      </w:r>
      <w:r w:rsidRPr="005B5987">
        <w:rPr>
          <w:rFonts w:ascii="Arial" w:hAnsi="Arial" w:cs="Arial"/>
          <w:lang w:val="es-ES"/>
        </w:rPr>
        <w:t>nicaragüenses ilegal</w:t>
      </w:r>
      <w:r w:rsidR="00A67D7E">
        <w:rPr>
          <w:rFonts w:ascii="Arial" w:hAnsi="Arial" w:cs="Arial"/>
          <w:lang w:val="es-ES"/>
        </w:rPr>
        <w:t>es</w:t>
      </w:r>
      <w:r w:rsidRPr="005B5987">
        <w:rPr>
          <w:rFonts w:ascii="Arial" w:hAnsi="Arial" w:cs="Arial"/>
          <w:lang w:val="es-ES"/>
        </w:rPr>
        <w:t xml:space="preserve"> y sin residencia fija, </w:t>
      </w:r>
      <w:r w:rsidR="00A67D7E">
        <w:rPr>
          <w:rFonts w:ascii="Arial" w:hAnsi="Arial" w:cs="Arial"/>
          <w:lang w:val="es-ES"/>
        </w:rPr>
        <w:t xml:space="preserve">que </w:t>
      </w:r>
      <w:r w:rsidRPr="005B5987">
        <w:rPr>
          <w:rFonts w:ascii="Arial" w:hAnsi="Arial" w:cs="Arial"/>
          <w:lang w:val="es-ES"/>
        </w:rPr>
        <w:t>permanec</w:t>
      </w:r>
      <w:r w:rsidR="00A67D7E">
        <w:rPr>
          <w:rFonts w:ascii="Arial" w:hAnsi="Arial" w:cs="Arial"/>
          <w:lang w:val="es-ES"/>
        </w:rPr>
        <w:t xml:space="preserve">en </w:t>
      </w:r>
      <w:r w:rsidRPr="005B5987">
        <w:rPr>
          <w:rFonts w:ascii="Arial" w:hAnsi="Arial" w:cs="Arial"/>
          <w:lang w:val="es-ES"/>
        </w:rPr>
        <w:t>en condiciones insalubres y precarias, por lo que se ha convertido en un foco para la reintroducción y restablecimiento de la transmisión en la zona fronteriza y otras áreas libres de malaria</w:t>
      </w:r>
      <w:r>
        <w:rPr>
          <w:rFonts w:ascii="Arial" w:hAnsi="Arial" w:cs="Arial"/>
          <w:lang w:val="es-ES"/>
        </w:rPr>
        <w:t>.</w:t>
      </w:r>
    </w:p>
    <w:p w:rsidR="00475BBF" w:rsidRPr="00145F8D" w:rsidRDefault="00AA59F4" w:rsidP="00475BBF">
      <w:pPr>
        <w:pStyle w:val="Body"/>
        <w:tabs>
          <w:tab w:val="left" w:pos="1080"/>
        </w:tabs>
        <w:jc w:val="both"/>
        <w:rPr>
          <w:rFonts w:ascii="Arial" w:eastAsia="Arial" w:hAnsi="Arial" w:cs="Arial"/>
          <w:sz w:val="24"/>
          <w:szCs w:val="24"/>
        </w:rPr>
      </w:pPr>
      <w:r>
        <w:rPr>
          <w:rFonts w:ascii="Arial" w:hAnsi="Arial"/>
          <w:sz w:val="24"/>
          <w:szCs w:val="24"/>
        </w:rPr>
        <w:t xml:space="preserve">A partir del 2013 y con base en </w:t>
      </w:r>
      <w:r w:rsidRPr="005C473A">
        <w:rPr>
          <w:rFonts w:ascii="Arial" w:hAnsi="Arial"/>
          <w:sz w:val="24"/>
          <w:szCs w:val="24"/>
        </w:rPr>
        <w:t xml:space="preserve">la </w:t>
      </w:r>
      <w:r>
        <w:rPr>
          <w:rFonts w:ascii="Arial" w:hAnsi="Arial"/>
          <w:sz w:val="24"/>
          <w:szCs w:val="24"/>
        </w:rPr>
        <w:t>i</w:t>
      </w:r>
      <w:r w:rsidRPr="005C473A">
        <w:rPr>
          <w:rFonts w:ascii="Arial" w:hAnsi="Arial"/>
          <w:sz w:val="24"/>
          <w:szCs w:val="24"/>
        </w:rPr>
        <w:t>niciativa de “</w:t>
      </w:r>
      <w:r w:rsidRPr="005C473A">
        <w:rPr>
          <w:rFonts w:ascii="Arial" w:hAnsi="Arial"/>
          <w:i/>
          <w:iCs/>
          <w:sz w:val="24"/>
          <w:szCs w:val="24"/>
        </w:rPr>
        <w:t>Eliminación de la Malaria en Mesoamérica y La isla Española</w:t>
      </w:r>
      <w:r w:rsidRPr="005C473A">
        <w:rPr>
          <w:rFonts w:ascii="Arial" w:hAnsi="Arial"/>
          <w:sz w:val="24"/>
          <w:szCs w:val="24"/>
        </w:rPr>
        <w:t xml:space="preserve"> (EMMIE)”</w:t>
      </w:r>
      <w:r>
        <w:rPr>
          <w:rFonts w:ascii="Arial" w:hAnsi="Arial"/>
          <w:sz w:val="24"/>
          <w:szCs w:val="24"/>
        </w:rPr>
        <w:t>,</w:t>
      </w:r>
      <w:r w:rsidRPr="005C473A">
        <w:rPr>
          <w:rFonts w:ascii="Arial" w:hAnsi="Arial"/>
          <w:sz w:val="24"/>
          <w:szCs w:val="24"/>
        </w:rPr>
        <w:t xml:space="preserve"> financiada por el Fondo Mundial de Lucha Contra el SIDA, Tuberculosis y la Malaria,  otros cooperantes y los gobiernos nacionales</w:t>
      </w:r>
      <w:r>
        <w:rPr>
          <w:rFonts w:ascii="Arial" w:hAnsi="Arial"/>
          <w:sz w:val="24"/>
          <w:szCs w:val="24"/>
        </w:rPr>
        <w:t xml:space="preserve">, </w:t>
      </w:r>
      <w:r w:rsidR="00475BBF" w:rsidRPr="005C473A">
        <w:rPr>
          <w:rFonts w:ascii="Arial" w:hAnsi="Arial"/>
          <w:sz w:val="24"/>
          <w:szCs w:val="24"/>
        </w:rPr>
        <w:t>Costa Rica asumió el reto de acoger las recomendaciones propuestas por la OPS/OMS y eliminar la malaria. En el 2015</w:t>
      </w:r>
      <w:r>
        <w:rPr>
          <w:rFonts w:ascii="Arial" w:hAnsi="Arial"/>
          <w:sz w:val="24"/>
          <w:szCs w:val="24"/>
        </w:rPr>
        <w:t>,</w:t>
      </w:r>
      <w:r w:rsidR="00475BBF" w:rsidRPr="005C473A">
        <w:rPr>
          <w:rFonts w:ascii="Arial" w:hAnsi="Arial"/>
          <w:sz w:val="24"/>
          <w:szCs w:val="24"/>
        </w:rPr>
        <w:t xml:space="preserve"> el país lanzó el </w:t>
      </w:r>
      <w:r w:rsidR="00475BBF" w:rsidRPr="005C473A">
        <w:rPr>
          <w:rFonts w:ascii="Arial" w:hAnsi="Arial"/>
          <w:i/>
          <w:iCs/>
          <w:sz w:val="24"/>
          <w:szCs w:val="24"/>
        </w:rPr>
        <w:t>“Plan de eliminación de la malaria en Costa Rica, 2015-2020”</w:t>
      </w:r>
      <w:r w:rsidR="00475BBF" w:rsidRPr="005C473A">
        <w:rPr>
          <w:rFonts w:ascii="Arial" w:hAnsi="Arial"/>
          <w:sz w:val="24"/>
          <w:szCs w:val="24"/>
        </w:rPr>
        <w:t xml:space="preserve">, cuyo objetivo </w:t>
      </w:r>
      <w:r>
        <w:rPr>
          <w:rFonts w:ascii="Arial" w:hAnsi="Arial"/>
          <w:sz w:val="24"/>
          <w:szCs w:val="24"/>
        </w:rPr>
        <w:t>es</w:t>
      </w:r>
      <w:r w:rsidR="00475BBF" w:rsidRPr="005C473A">
        <w:rPr>
          <w:rFonts w:ascii="Arial" w:hAnsi="Arial"/>
          <w:sz w:val="24"/>
          <w:szCs w:val="24"/>
        </w:rPr>
        <w:t xml:space="preserve"> </w:t>
      </w:r>
      <w:r w:rsidR="00475BBF" w:rsidRPr="005C473A">
        <w:rPr>
          <w:rFonts w:ascii="Arial" w:hAnsi="Arial"/>
          <w:sz w:val="24"/>
          <w:szCs w:val="24"/>
          <w:lang w:val="es-CR"/>
        </w:rPr>
        <w:t>e</w:t>
      </w:r>
      <w:r w:rsidR="00475BBF" w:rsidRPr="005C473A">
        <w:rPr>
          <w:rFonts w:ascii="Arial" w:hAnsi="Arial"/>
          <w:sz w:val="24"/>
          <w:szCs w:val="24"/>
        </w:rPr>
        <w:t xml:space="preserve">liminar la </w:t>
      </w:r>
      <w:r w:rsidR="00475BBF" w:rsidRPr="005C473A">
        <w:rPr>
          <w:rFonts w:ascii="Arial" w:hAnsi="Arial"/>
          <w:sz w:val="24"/>
          <w:szCs w:val="24"/>
          <w:lang w:val="es-CR"/>
        </w:rPr>
        <w:t>transmisión</w:t>
      </w:r>
      <w:r w:rsidR="00475BBF" w:rsidRPr="005C473A">
        <w:rPr>
          <w:rFonts w:ascii="Arial" w:hAnsi="Arial"/>
          <w:sz w:val="24"/>
          <w:szCs w:val="24"/>
        </w:rPr>
        <w:t xml:space="preserve"> de la malaria en </w:t>
      </w:r>
      <w:r w:rsidR="00475BBF" w:rsidRPr="005C473A">
        <w:rPr>
          <w:rFonts w:ascii="Arial" w:hAnsi="Arial"/>
          <w:sz w:val="24"/>
          <w:szCs w:val="24"/>
          <w:lang w:val="es-CR"/>
        </w:rPr>
        <w:t>nuestro país</w:t>
      </w:r>
      <w:r w:rsidR="00475BBF" w:rsidRPr="005C473A">
        <w:rPr>
          <w:rFonts w:ascii="Arial" w:hAnsi="Arial"/>
          <w:sz w:val="24"/>
          <w:szCs w:val="24"/>
        </w:rPr>
        <w:t xml:space="preserve"> </w:t>
      </w:r>
      <w:r w:rsidR="00475BBF">
        <w:rPr>
          <w:rFonts w:ascii="Arial" w:hAnsi="Arial"/>
          <w:sz w:val="24"/>
          <w:szCs w:val="24"/>
        </w:rPr>
        <w:t>para el 2020</w:t>
      </w:r>
      <w:r>
        <w:rPr>
          <w:rFonts w:ascii="Arial" w:hAnsi="Arial"/>
          <w:sz w:val="24"/>
          <w:szCs w:val="24"/>
        </w:rPr>
        <w:t>,</w:t>
      </w:r>
      <w:r w:rsidR="00475BBF" w:rsidRPr="005C473A">
        <w:rPr>
          <w:rFonts w:ascii="Arial" w:hAnsi="Arial"/>
          <w:sz w:val="24"/>
          <w:szCs w:val="24"/>
        </w:rPr>
        <w:t xml:space="preserve"> mediante la implementación de seis áreas estratégicas: Vigilancia </w:t>
      </w:r>
      <w:r>
        <w:rPr>
          <w:rFonts w:ascii="Arial" w:hAnsi="Arial"/>
          <w:sz w:val="24"/>
          <w:szCs w:val="24"/>
        </w:rPr>
        <w:t>E</w:t>
      </w:r>
      <w:r w:rsidR="00475BBF" w:rsidRPr="005C473A">
        <w:rPr>
          <w:rFonts w:ascii="Arial" w:hAnsi="Arial"/>
          <w:sz w:val="24"/>
          <w:szCs w:val="24"/>
        </w:rPr>
        <w:t xml:space="preserve">pidemiológica, Vigilancia </w:t>
      </w:r>
      <w:r>
        <w:rPr>
          <w:rFonts w:ascii="Arial" w:hAnsi="Arial"/>
          <w:sz w:val="24"/>
          <w:szCs w:val="24"/>
        </w:rPr>
        <w:t>B</w:t>
      </w:r>
      <w:r w:rsidR="00475BBF" w:rsidRPr="005C473A">
        <w:rPr>
          <w:rFonts w:ascii="Arial" w:hAnsi="Arial"/>
          <w:sz w:val="24"/>
          <w:szCs w:val="24"/>
        </w:rPr>
        <w:t xml:space="preserve">asada en </w:t>
      </w:r>
      <w:r>
        <w:rPr>
          <w:rFonts w:ascii="Arial" w:hAnsi="Arial"/>
          <w:sz w:val="24"/>
          <w:szCs w:val="24"/>
        </w:rPr>
        <w:t>L</w:t>
      </w:r>
      <w:r w:rsidR="00475BBF" w:rsidRPr="005C473A">
        <w:rPr>
          <w:rFonts w:ascii="Arial" w:hAnsi="Arial"/>
          <w:sz w:val="24"/>
          <w:szCs w:val="24"/>
        </w:rPr>
        <w:t xml:space="preserve">aboratorio, Manejo Integrado de </w:t>
      </w:r>
      <w:r>
        <w:rPr>
          <w:rFonts w:ascii="Arial" w:hAnsi="Arial"/>
          <w:sz w:val="24"/>
          <w:szCs w:val="24"/>
        </w:rPr>
        <w:t>V</w:t>
      </w:r>
      <w:r w:rsidR="00475BBF" w:rsidRPr="005C473A">
        <w:rPr>
          <w:rFonts w:ascii="Arial" w:hAnsi="Arial"/>
          <w:sz w:val="24"/>
          <w:szCs w:val="24"/>
        </w:rPr>
        <w:t xml:space="preserve">ectores, Comunicación y </w:t>
      </w:r>
      <w:r>
        <w:rPr>
          <w:rFonts w:ascii="Arial" w:hAnsi="Arial"/>
          <w:sz w:val="24"/>
          <w:szCs w:val="24"/>
        </w:rPr>
        <w:t>P</w:t>
      </w:r>
      <w:r w:rsidR="00475BBF" w:rsidRPr="005C473A">
        <w:rPr>
          <w:rFonts w:ascii="Arial" w:hAnsi="Arial"/>
          <w:sz w:val="24"/>
          <w:szCs w:val="24"/>
        </w:rPr>
        <w:t xml:space="preserve">articipación </w:t>
      </w:r>
      <w:r>
        <w:rPr>
          <w:rFonts w:ascii="Arial" w:hAnsi="Arial"/>
          <w:sz w:val="24"/>
          <w:szCs w:val="24"/>
        </w:rPr>
        <w:t>S</w:t>
      </w:r>
      <w:r w:rsidR="00475BBF" w:rsidRPr="005C473A">
        <w:rPr>
          <w:rFonts w:ascii="Arial" w:hAnsi="Arial"/>
          <w:sz w:val="24"/>
          <w:szCs w:val="24"/>
        </w:rPr>
        <w:t xml:space="preserve">ocial, Atención </w:t>
      </w:r>
      <w:r>
        <w:rPr>
          <w:rFonts w:ascii="Arial" w:hAnsi="Arial"/>
          <w:sz w:val="24"/>
          <w:szCs w:val="24"/>
        </w:rPr>
        <w:t>M</w:t>
      </w:r>
      <w:r w:rsidR="00475BBF" w:rsidRPr="005C473A">
        <w:rPr>
          <w:rFonts w:ascii="Arial" w:hAnsi="Arial"/>
          <w:sz w:val="24"/>
          <w:szCs w:val="24"/>
        </w:rPr>
        <w:t>édica y Manejo de</w:t>
      </w:r>
      <w:r>
        <w:rPr>
          <w:rFonts w:ascii="Arial" w:hAnsi="Arial"/>
          <w:sz w:val="24"/>
          <w:szCs w:val="24"/>
        </w:rPr>
        <w:t>l</w:t>
      </w:r>
      <w:r w:rsidR="00475BBF" w:rsidRPr="005C473A">
        <w:rPr>
          <w:rFonts w:ascii="Arial" w:hAnsi="Arial"/>
          <w:sz w:val="24"/>
          <w:szCs w:val="24"/>
        </w:rPr>
        <w:t xml:space="preserve"> </w:t>
      </w:r>
      <w:r w:rsidR="00475BBF" w:rsidRPr="005C473A">
        <w:rPr>
          <w:rFonts w:ascii="Arial" w:hAnsi="Arial"/>
          <w:sz w:val="24"/>
          <w:szCs w:val="24"/>
          <w:lang w:val="es-CR"/>
        </w:rPr>
        <w:t>A</w:t>
      </w:r>
      <w:r w:rsidR="00475BBF" w:rsidRPr="005C473A">
        <w:rPr>
          <w:rFonts w:ascii="Arial" w:hAnsi="Arial"/>
          <w:sz w:val="24"/>
          <w:szCs w:val="24"/>
        </w:rPr>
        <w:t>mbiente</w:t>
      </w:r>
      <w:r w:rsidR="00475BBF">
        <w:rPr>
          <w:rFonts w:ascii="Arial" w:hAnsi="Arial"/>
          <w:sz w:val="24"/>
          <w:szCs w:val="24"/>
        </w:rPr>
        <w:t>.</w:t>
      </w:r>
      <w:r w:rsidR="00475BBF" w:rsidRPr="005C473A">
        <w:rPr>
          <w:rFonts w:ascii="Arial" w:hAnsi="Arial"/>
          <w:sz w:val="24"/>
          <w:szCs w:val="24"/>
        </w:rPr>
        <w:t xml:space="preserve"> </w:t>
      </w:r>
    </w:p>
    <w:p w:rsidR="00475BBF" w:rsidRDefault="00475BBF" w:rsidP="00475BBF">
      <w:pPr>
        <w:pStyle w:val="Encabezado"/>
        <w:rPr>
          <w:rFonts w:ascii="Arial" w:hAnsi="Arial" w:cs="Arial"/>
          <w:lang w:val="es-CR"/>
        </w:rPr>
      </w:pPr>
    </w:p>
    <w:p w:rsidR="00AA59F4" w:rsidRDefault="00AA59F4">
      <w:pPr>
        <w:spacing w:after="160" w:line="259" w:lineRule="auto"/>
        <w:rPr>
          <w:rFonts w:ascii="Arial" w:hAnsi="Arial" w:cs="Arial"/>
          <w:lang w:val="es-CR" w:eastAsia="x-none"/>
        </w:rPr>
      </w:pPr>
      <w:r>
        <w:rPr>
          <w:rFonts w:ascii="Arial" w:hAnsi="Arial" w:cs="Arial"/>
          <w:lang w:val="es-CR"/>
        </w:rPr>
        <w:br w:type="page"/>
      </w:r>
    </w:p>
    <w:p w:rsidR="00475BBF" w:rsidRPr="002313C3" w:rsidRDefault="00AA59F4" w:rsidP="002313C3">
      <w:pPr>
        <w:pStyle w:val="Ttulo3"/>
        <w:rPr>
          <w:rFonts w:ascii="Arial" w:hAnsi="Arial" w:cs="Arial"/>
          <w:b/>
          <w:color w:val="auto"/>
        </w:rPr>
      </w:pPr>
      <w:bookmarkStart w:id="43" w:name="_Toc506187954"/>
      <w:bookmarkStart w:id="44" w:name="_Toc7439668"/>
      <w:r w:rsidRPr="002313C3">
        <w:rPr>
          <w:rFonts w:ascii="Arial" w:hAnsi="Arial" w:cs="Arial"/>
          <w:b/>
          <w:color w:val="auto"/>
        </w:rPr>
        <w:lastRenderedPageBreak/>
        <w:t>Dengue</w:t>
      </w:r>
      <w:bookmarkEnd w:id="43"/>
      <w:bookmarkEnd w:id="44"/>
    </w:p>
    <w:p w:rsidR="00475BBF" w:rsidRPr="008029DC" w:rsidRDefault="006D1D00" w:rsidP="00475BBF">
      <w:pPr>
        <w:pStyle w:val="NormalWeb"/>
        <w:shd w:val="clear" w:color="auto" w:fill="FFFFFF"/>
        <w:tabs>
          <w:tab w:val="left" w:pos="8789"/>
        </w:tabs>
        <w:spacing w:before="0" w:beforeAutospacing="0" w:after="0" w:afterAutospacing="0" w:line="276" w:lineRule="auto"/>
        <w:ind w:right="49"/>
        <w:jc w:val="both"/>
        <w:textAlignment w:val="baseline"/>
        <w:rPr>
          <w:rFonts w:ascii="Arial" w:hAnsi="Arial" w:cs="Arial"/>
          <w:color w:val="333333"/>
          <w:bdr w:val="none" w:sz="0" w:space="0" w:color="auto" w:frame="1"/>
        </w:rPr>
      </w:pPr>
      <w:r>
        <w:rPr>
          <w:rFonts w:ascii="Arial" w:hAnsi="Arial" w:cs="Arial"/>
          <w:color w:val="333333"/>
          <w:bdr w:val="none" w:sz="0" w:space="0" w:color="auto" w:frame="1"/>
        </w:rPr>
        <w:t xml:space="preserve">El dengue es una enfermedad </w:t>
      </w:r>
      <w:r w:rsidR="00475BBF" w:rsidRPr="003544B5">
        <w:rPr>
          <w:rFonts w:ascii="Arial" w:hAnsi="Arial" w:cs="Arial"/>
          <w:color w:val="333333"/>
          <w:bdr w:val="none" w:sz="0" w:space="0" w:color="auto" w:frame="1"/>
        </w:rPr>
        <w:t>v</w:t>
      </w:r>
      <w:r>
        <w:rPr>
          <w:rFonts w:ascii="Arial" w:hAnsi="Arial" w:cs="Arial"/>
          <w:color w:val="333333"/>
          <w:bdr w:val="none" w:sz="0" w:space="0" w:color="auto" w:frame="1"/>
        </w:rPr>
        <w:t>i</w:t>
      </w:r>
      <w:r w:rsidR="00475BBF" w:rsidRPr="003544B5">
        <w:rPr>
          <w:rFonts w:ascii="Arial" w:hAnsi="Arial" w:cs="Arial"/>
          <w:color w:val="333333"/>
          <w:bdr w:val="none" w:sz="0" w:space="0" w:color="auto" w:frame="1"/>
        </w:rPr>
        <w:t>r</w:t>
      </w:r>
      <w:r>
        <w:rPr>
          <w:rFonts w:ascii="Arial" w:hAnsi="Arial" w:cs="Arial"/>
          <w:color w:val="333333"/>
          <w:bdr w:val="none" w:sz="0" w:space="0" w:color="auto" w:frame="1"/>
        </w:rPr>
        <w:t>al,</w:t>
      </w:r>
      <w:r w:rsidR="00475BBF" w:rsidRPr="003544B5">
        <w:rPr>
          <w:rFonts w:ascii="Arial" w:hAnsi="Arial" w:cs="Arial"/>
          <w:color w:val="333333"/>
          <w:bdr w:val="none" w:sz="0" w:space="0" w:color="auto" w:frame="1"/>
        </w:rPr>
        <w:t xml:space="preserve"> transmitida por mosquitos </w:t>
      </w:r>
      <w:r w:rsidR="00475BBF">
        <w:rPr>
          <w:rFonts w:ascii="Arial" w:hAnsi="Arial" w:cs="Arial"/>
          <w:color w:val="333333"/>
          <w:bdr w:val="none" w:sz="0" w:space="0" w:color="auto" w:frame="1"/>
        </w:rPr>
        <w:t xml:space="preserve">hembra de la especie </w:t>
      </w:r>
      <w:r w:rsidR="00475BBF" w:rsidRPr="00A84C71">
        <w:rPr>
          <w:rFonts w:ascii="Arial" w:hAnsi="Arial" w:cs="Arial"/>
          <w:i/>
          <w:color w:val="333333"/>
          <w:bdr w:val="none" w:sz="0" w:space="0" w:color="auto" w:frame="1"/>
        </w:rPr>
        <w:t>Aedes aegypti</w:t>
      </w:r>
      <w:r w:rsidR="00475BBF">
        <w:rPr>
          <w:rFonts w:ascii="Arial" w:hAnsi="Arial" w:cs="Arial"/>
          <w:color w:val="333333"/>
          <w:bdr w:val="none" w:sz="0" w:space="0" w:color="auto" w:frame="1"/>
        </w:rPr>
        <w:t xml:space="preserve"> y en menor grado </w:t>
      </w:r>
      <w:r w:rsidR="00475BBF" w:rsidRPr="00994D00">
        <w:rPr>
          <w:rFonts w:ascii="Arial" w:hAnsi="Arial" w:cs="Arial"/>
          <w:i/>
          <w:color w:val="333333"/>
          <w:bdr w:val="none" w:sz="0" w:space="0" w:color="auto" w:frame="1"/>
        </w:rPr>
        <w:t>Aedes albopictus</w:t>
      </w:r>
      <w:r>
        <w:rPr>
          <w:rFonts w:ascii="Arial" w:hAnsi="Arial" w:cs="Arial"/>
          <w:i/>
          <w:color w:val="333333"/>
          <w:bdr w:val="none" w:sz="0" w:space="0" w:color="auto" w:frame="1"/>
        </w:rPr>
        <w:t>,</w:t>
      </w:r>
      <w:r w:rsidR="00475BBF">
        <w:rPr>
          <w:rFonts w:ascii="Arial" w:hAnsi="Arial" w:cs="Arial"/>
          <w:color w:val="333333"/>
          <w:bdr w:val="none" w:sz="0" w:space="0" w:color="auto" w:frame="1"/>
        </w:rPr>
        <w:t xml:space="preserve"> </w:t>
      </w:r>
      <w:r>
        <w:rPr>
          <w:rFonts w:ascii="Arial" w:hAnsi="Arial" w:cs="Arial"/>
          <w:color w:val="333333"/>
          <w:bdr w:val="none" w:sz="0" w:space="0" w:color="auto" w:frame="1"/>
        </w:rPr>
        <w:t xml:space="preserve">la cual se ha </w:t>
      </w:r>
      <w:r w:rsidR="00475BBF">
        <w:rPr>
          <w:rFonts w:ascii="Arial" w:hAnsi="Arial" w:cs="Arial"/>
          <w:color w:val="333333"/>
          <w:bdr w:val="none" w:sz="0" w:space="0" w:color="auto" w:frame="1"/>
        </w:rPr>
        <w:t>propagado rápidamente en todo</w:t>
      </w:r>
      <w:r w:rsidR="00475BBF" w:rsidRPr="003544B5">
        <w:rPr>
          <w:rFonts w:ascii="Arial" w:hAnsi="Arial" w:cs="Arial"/>
          <w:color w:val="333333"/>
          <w:bdr w:val="none" w:sz="0" w:space="0" w:color="auto" w:frame="1"/>
        </w:rPr>
        <w:t xml:space="preserve">s </w:t>
      </w:r>
      <w:r w:rsidR="00475BBF">
        <w:rPr>
          <w:rFonts w:ascii="Arial" w:hAnsi="Arial" w:cs="Arial"/>
          <w:color w:val="333333"/>
          <w:bdr w:val="none" w:sz="0" w:space="0" w:color="auto" w:frame="1"/>
        </w:rPr>
        <w:t xml:space="preserve">los países del mundo, </w:t>
      </w:r>
      <w:r w:rsidR="00475BBF" w:rsidRPr="003544B5">
        <w:rPr>
          <w:rFonts w:ascii="Arial" w:hAnsi="Arial" w:cs="Arial"/>
          <w:color w:val="333333"/>
          <w:bdr w:val="none" w:sz="0" w:space="0" w:color="auto" w:frame="1"/>
        </w:rPr>
        <w:t>con variaciones en el riesgo que dependen en gran medida de las precipitaciones, la temperatura y la urbanización rápida sin planificar</w:t>
      </w:r>
      <w:r w:rsidR="00475BBF">
        <w:rPr>
          <w:rFonts w:ascii="Arial" w:hAnsi="Arial" w:cs="Arial"/>
          <w:color w:val="333333"/>
          <w:bdr w:val="none" w:sz="0" w:space="0" w:color="auto" w:frame="1"/>
        </w:rPr>
        <w:t xml:space="preserve">. </w:t>
      </w:r>
      <w:r>
        <w:rPr>
          <w:rFonts w:ascii="Arial" w:hAnsi="Arial" w:cs="Arial"/>
        </w:rPr>
        <w:t xml:space="preserve">El dengue </w:t>
      </w:r>
      <w:r w:rsidR="00475BBF">
        <w:rPr>
          <w:rFonts w:ascii="Arial" w:hAnsi="Arial" w:cs="Arial"/>
        </w:rPr>
        <w:t>se</w:t>
      </w:r>
      <w:r w:rsidR="00475BBF">
        <w:rPr>
          <w:rFonts w:ascii="Arial" w:hAnsi="Arial" w:cs="Arial"/>
          <w:lang w:val="es-MX"/>
        </w:rPr>
        <w:t xml:space="preserve"> detect</w:t>
      </w:r>
      <w:r>
        <w:rPr>
          <w:rFonts w:ascii="Arial" w:hAnsi="Arial" w:cs="Arial"/>
          <w:lang w:val="es-MX"/>
        </w:rPr>
        <w:t>ó</w:t>
      </w:r>
      <w:r w:rsidR="00475BBF">
        <w:rPr>
          <w:rFonts w:ascii="Arial" w:hAnsi="Arial" w:cs="Arial"/>
          <w:lang w:val="es-MX"/>
        </w:rPr>
        <w:t xml:space="preserve"> en el país </w:t>
      </w:r>
      <w:r>
        <w:rPr>
          <w:rFonts w:ascii="Arial" w:hAnsi="Arial" w:cs="Arial"/>
          <w:lang w:val="es-MX"/>
        </w:rPr>
        <w:t xml:space="preserve">en </w:t>
      </w:r>
      <w:r w:rsidR="00475BBF">
        <w:rPr>
          <w:rFonts w:ascii="Arial" w:hAnsi="Arial" w:cs="Arial"/>
          <w:lang w:val="es-MX"/>
        </w:rPr>
        <w:t xml:space="preserve">1993 en </w:t>
      </w:r>
      <w:r>
        <w:rPr>
          <w:rFonts w:ascii="Arial" w:hAnsi="Arial" w:cs="Arial"/>
          <w:lang w:val="es-MX"/>
        </w:rPr>
        <w:t xml:space="preserve">la localidad de Barranca de la provincia de </w:t>
      </w:r>
      <w:r w:rsidR="00475BBF">
        <w:rPr>
          <w:rFonts w:ascii="Arial" w:hAnsi="Arial" w:cs="Arial"/>
          <w:lang w:val="es-MX"/>
        </w:rPr>
        <w:t>Puntarenas y desde entonces</w:t>
      </w:r>
      <w:r>
        <w:rPr>
          <w:rFonts w:ascii="Arial" w:hAnsi="Arial" w:cs="Arial"/>
          <w:lang w:val="es-MX"/>
        </w:rPr>
        <w:t>,</w:t>
      </w:r>
      <w:r w:rsidR="00475BBF">
        <w:rPr>
          <w:rFonts w:ascii="Arial" w:hAnsi="Arial" w:cs="Arial"/>
          <w:lang w:val="es-MX"/>
        </w:rPr>
        <w:t xml:space="preserve"> se ha convertido en uno de los mayores problemas de salud pública por la cantidad de casos y los altos costos en atención hosp</w:t>
      </w:r>
      <w:r>
        <w:rPr>
          <w:rFonts w:ascii="Arial" w:hAnsi="Arial" w:cs="Arial"/>
          <w:lang w:val="es-MX"/>
        </w:rPr>
        <w:t>italaria y control del vector.</w:t>
      </w:r>
    </w:p>
    <w:p w:rsidR="00475BBF" w:rsidRDefault="00475BBF" w:rsidP="00475BBF">
      <w:pPr>
        <w:tabs>
          <w:tab w:val="left" w:pos="8789"/>
        </w:tabs>
        <w:spacing w:line="276" w:lineRule="auto"/>
        <w:jc w:val="both"/>
        <w:rPr>
          <w:rFonts w:ascii="Arial" w:hAnsi="Arial" w:cs="Arial"/>
          <w:lang w:val="es-MX"/>
        </w:rPr>
      </w:pPr>
    </w:p>
    <w:p w:rsidR="00475BBF" w:rsidRPr="000F0149" w:rsidRDefault="00475BBF" w:rsidP="00475BBF">
      <w:pPr>
        <w:tabs>
          <w:tab w:val="left" w:pos="8789"/>
        </w:tabs>
        <w:spacing w:line="276" w:lineRule="auto"/>
        <w:jc w:val="both"/>
        <w:rPr>
          <w:rFonts w:ascii="Arial" w:hAnsi="Arial" w:cs="Arial"/>
          <w:lang w:val="es-MX"/>
        </w:rPr>
      </w:pPr>
      <w:r w:rsidRPr="00FE6A85">
        <w:rPr>
          <w:rFonts w:ascii="Arial" w:hAnsi="Arial" w:cs="Arial"/>
          <w:lang w:val="es-MX"/>
        </w:rPr>
        <w:t xml:space="preserve">Durante </w:t>
      </w:r>
      <w:r w:rsidR="006D1D00">
        <w:rPr>
          <w:rFonts w:ascii="Arial" w:hAnsi="Arial" w:cs="Arial"/>
          <w:lang w:val="es-MX"/>
        </w:rPr>
        <w:t>el período</w:t>
      </w:r>
      <w:r w:rsidRPr="00FE6A85">
        <w:rPr>
          <w:rFonts w:ascii="Arial" w:hAnsi="Arial" w:cs="Arial"/>
          <w:lang w:val="es-MX"/>
        </w:rPr>
        <w:t xml:space="preserve"> </w:t>
      </w:r>
      <w:r>
        <w:rPr>
          <w:rFonts w:ascii="Arial" w:hAnsi="Arial" w:cs="Arial"/>
          <w:lang w:val="es-MX"/>
        </w:rPr>
        <w:t>2014 al 2018, se notificaron 60.1</w:t>
      </w:r>
      <w:r w:rsidRPr="00FE6A85">
        <w:rPr>
          <w:rFonts w:ascii="Arial" w:hAnsi="Arial" w:cs="Arial"/>
          <w:lang w:val="es-MX"/>
        </w:rPr>
        <w:t xml:space="preserve">94 casos de dengue, siendo el año 2016 </w:t>
      </w:r>
      <w:r w:rsidR="006D1D00">
        <w:rPr>
          <w:rFonts w:ascii="Arial" w:hAnsi="Arial" w:cs="Arial"/>
          <w:lang w:val="es-MX"/>
        </w:rPr>
        <w:t xml:space="preserve">el de </w:t>
      </w:r>
      <w:r w:rsidRPr="00FE6A85">
        <w:rPr>
          <w:rFonts w:ascii="Arial" w:hAnsi="Arial" w:cs="Arial"/>
          <w:lang w:val="es-MX"/>
        </w:rPr>
        <w:t>mayor incidencia</w:t>
      </w:r>
      <w:r w:rsidR="006D1D00">
        <w:rPr>
          <w:rFonts w:ascii="Arial" w:hAnsi="Arial" w:cs="Arial"/>
          <w:lang w:val="es-MX"/>
        </w:rPr>
        <w:t>,</w:t>
      </w:r>
      <w:r w:rsidRPr="00FE6A85">
        <w:rPr>
          <w:rFonts w:ascii="Arial" w:hAnsi="Arial" w:cs="Arial"/>
          <w:lang w:val="es-MX"/>
        </w:rPr>
        <w:t xml:space="preserve"> 476</w:t>
      </w:r>
      <w:r>
        <w:rPr>
          <w:rFonts w:ascii="Arial" w:hAnsi="Arial" w:cs="Arial"/>
          <w:lang w:val="es-MX"/>
        </w:rPr>
        <w:t>,</w:t>
      </w:r>
      <w:r w:rsidRPr="00FE6A85">
        <w:rPr>
          <w:rFonts w:ascii="Arial" w:hAnsi="Arial" w:cs="Arial"/>
          <w:lang w:val="es-MX"/>
        </w:rPr>
        <w:t xml:space="preserve">8 </w:t>
      </w:r>
      <w:r w:rsidR="006D1D00">
        <w:rPr>
          <w:rFonts w:ascii="Arial" w:hAnsi="Arial" w:cs="Arial"/>
          <w:lang w:val="es-MX"/>
        </w:rPr>
        <w:t xml:space="preserve">casos </w:t>
      </w:r>
      <w:r w:rsidRPr="00FE6A85">
        <w:rPr>
          <w:rFonts w:ascii="Arial" w:hAnsi="Arial" w:cs="Arial"/>
          <w:lang w:val="es-MX"/>
        </w:rPr>
        <w:t>por 100</w:t>
      </w:r>
      <w:r>
        <w:rPr>
          <w:rFonts w:ascii="Arial" w:hAnsi="Arial" w:cs="Arial"/>
          <w:lang w:val="es-MX"/>
        </w:rPr>
        <w:t>.</w:t>
      </w:r>
      <w:r w:rsidRPr="00FE6A85">
        <w:rPr>
          <w:rFonts w:ascii="Arial" w:hAnsi="Arial" w:cs="Arial"/>
          <w:lang w:val="es-MX"/>
        </w:rPr>
        <w:t>000 habitantes. Comparando los casos del año 2018 con los del 2017, se observ</w:t>
      </w:r>
      <w:r w:rsidR="006D1D00">
        <w:rPr>
          <w:rFonts w:ascii="Arial" w:hAnsi="Arial" w:cs="Arial"/>
          <w:lang w:val="es-MX"/>
        </w:rPr>
        <w:t>ó</w:t>
      </w:r>
      <w:r w:rsidRPr="00FE6A85">
        <w:rPr>
          <w:rFonts w:ascii="Arial" w:hAnsi="Arial" w:cs="Arial"/>
          <w:lang w:val="es-MX"/>
        </w:rPr>
        <w:t xml:space="preserve"> </w:t>
      </w:r>
      <w:r>
        <w:rPr>
          <w:rFonts w:ascii="Arial" w:hAnsi="Arial" w:cs="Arial"/>
          <w:lang w:val="es-MX"/>
        </w:rPr>
        <w:t>una disminución de casos del 51,</w:t>
      </w:r>
      <w:r w:rsidRPr="00FE6A85">
        <w:rPr>
          <w:rFonts w:ascii="Arial" w:hAnsi="Arial" w:cs="Arial"/>
          <w:lang w:val="es-MX"/>
        </w:rPr>
        <w:t xml:space="preserve">7%.  En ese período las provincias de Puntarenas, Guanacaste y </w:t>
      </w:r>
      <w:r w:rsidRPr="001A3D6C">
        <w:rPr>
          <w:rFonts w:ascii="Arial" w:hAnsi="Arial" w:cs="Arial"/>
          <w:lang w:val="es-MX"/>
        </w:rPr>
        <w:t>Alajuela aportaron</w:t>
      </w:r>
      <w:r>
        <w:rPr>
          <w:rFonts w:ascii="Arial" w:hAnsi="Arial" w:cs="Arial"/>
          <w:lang w:val="es-MX"/>
        </w:rPr>
        <w:t xml:space="preserve"> el 69,</w:t>
      </w:r>
      <w:r w:rsidRPr="001A3D6C">
        <w:rPr>
          <w:rFonts w:ascii="Arial" w:hAnsi="Arial" w:cs="Arial"/>
          <w:lang w:val="es-MX"/>
        </w:rPr>
        <w:t>0% del total de casos del país con incidencia</w:t>
      </w:r>
      <w:r>
        <w:rPr>
          <w:rFonts w:ascii="Arial" w:hAnsi="Arial" w:cs="Arial"/>
          <w:lang w:val="es-MX"/>
        </w:rPr>
        <w:t>s por 100.000 habitantes de 716,7, 673,2, y 248,</w:t>
      </w:r>
      <w:r w:rsidRPr="001A3D6C">
        <w:rPr>
          <w:rFonts w:ascii="Arial" w:hAnsi="Arial" w:cs="Arial"/>
          <w:lang w:val="es-MX"/>
        </w:rPr>
        <w:t>7 respectivamente.</w:t>
      </w:r>
    </w:p>
    <w:p w:rsidR="00475BBF" w:rsidRPr="00E16152" w:rsidRDefault="00475BBF" w:rsidP="00475BBF">
      <w:pPr>
        <w:tabs>
          <w:tab w:val="left" w:pos="8789"/>
        </w:tabs>
        <w:spacing w:line="360" w:lineRule="auto"/>
        <w:jc w:val="both"/>
        <w:rPr>
          <w:rFonts w:ascii="Arial" w:hAnsi="Arial" w:cs="Arial"/>
          <w:lang w:val="es-MX"/>
        </w:rPr>
      </w:pPr>
    </w:p>
    <w:p w:rsidR="006D1D00" w:rsidRDefault="00475BBF" w:rsidP="00475BBF">
      <w:pPr>
        <w:jc w:val="center"/>
        <w:rPr>
          <w:rFonts w:ascii="Arial" w:hAnsi="Arial" w:cs="Arial"/>
          <w:lang w:val="es-MX"/>
        </w:rPr>
      </w:pPr>
      <w:r w:rsidRPr="006D1D00">
        <w:rPr>
          <w:rFonts w:ascii="Arial" w:hAnsi="Arial" w:cs="Arial"/>
          <w:b/>
          <w:lang w:val="es-MX"/>
        </w:rPr>
        <w:t xml:space="preserve">Cuadro </w:t>
      </w:r>
      <w:r w:rsidR="006D1D00" w:rsidRPr="006D1D00">
        <w:rPr>
          <w:rFonts w:ascii="Arial" w:hAnsi="Arial" w:cs="Arial"/>
          <w:b/>
          <w:lang w:val="es-MX"/>
        </w:rPr>
        <w:t>2</w:t>
      </w:r>
      <w:r w:rsidR="00472E6D">
        <w:rPr>
          <w:rFonts w:ascii="Arial" w:hAnsi="Arial" w:cs="Arial"/>
          <w:b/>
          <w:lang w:val="es-MX"/>
        </w:rPr>
        <w:t>4</w:t>
      </w:r>
    </w:p>
    <w:p w:rsidR="00475BBF" w:rsidRDefault="006D1D00" w:rsidP="00475BBF">
      <w:pPr>
        <w:jc w:val="center"/>
        <w:rPr>
          <w:rFonts w:ascii="Arial" w:hAnsi="Arial" w:cs="Arial"/>
          <w:b/>
          <w:lang w:val="es-MX"/>
        </w:rPr>
      </w:pPr>
      <w:r>
        <w:rPr>
          <w:rFonts w:ascii="Arial" w:hAnsi="Arial" w:cs="Arial"/>
          <w:b/>
          <w:lang w:val="es-MX"/>
        </w:rPr>
        <w:t xml:space="preserve">Costa Rica: </w:t>
      </w:r>
      <w:r w:rsidR="00475BBF" w:rsidRPr="00E917D5">
        <w:rPr>
          <w:rFonts w:ascii="Arial" w:hAnsi="Arial" w:cs="Arial"/>
          <w:b/>
          <w:lang w:val="es-MX"/>
        </w:rPr>
        <w:t xml:space="preserve">Casos y tasas de dengue por </w:t>
      </w:r>
      <w:r w:rsidR="00475BBF">
        <w:rPr>
          <w:rFonts w:ascii="Arial" w:hAnsi="Arial" w:cs="Arial"/>
          <w:b/>
          <w:lang w:val="es-MX"/>
        </w:rPr>
        <w:t>provincia</w:t>
      </w:r>
      <w:r>
        <w:rPr>
          <w:rFonts w:ascii="Arial" w:hAnsi="Arial" w:cs="Arial"/>
          <w:b/>
          <w:lang w:val="es-MX"/>
        </w:rPr>
        <w:t>,</w:t>
      </w:r>
      <w:r w:rsidR="00475BBF">
        <w:rPr>
          <w:rFonts w:ascii="Arial" w:hAnsi="Arial" w:cs="Arial"/>
          <w:b/>
          <w:lang w:val="es-MX"/>
        </w:rPr>
        <w:t xml:space="preserve"> 2014-2018.</w:t>
      </w:r>
    </w:p>
    <w:p w:rsidR="00475BBF" w:rsidRPr="006D1D00" w:rsidRDefault="00475BBF" w:rsidP="00475BBF">
      <w:pPr>
        <w:jc w:val="center"/>
        <w:rPr>
          <w:rFonts w:ascii="Arial" w:hAnsi="Arial" w:cs="Arial"/>
          <w:lang w:val="es-MX"/>
        </w:rPr>
      </w:pPr>
      <w:r w:rsidRPr="006D1D00">
        <w:rPr>
          <w:rFonts w:ascii="Arial" w:hAnsi="Arial" w:cs="Arial"/>
          <w:lang w:val="es-MX"/>
        </w:rPr>
        <w:t>(</w:t>
      </w:r>
      <w:r w:rsidRPr="006D1D00">
        <w:rPr>
          <w:rFonts w:ascii="Arial" w:hAnsi="Arial" w:cs="Arial"/>
          <w:sz w:val="20"/>
          <w:szCs w:val="20"/>
          <w:lang w:val="es-MX"/>
        </w:rPr>
        <w:t>Tasas por 100</w:t>
      </w:r>
      <w:r w:rsidR="006D1D00" w:rsidRPr="006D1D00">
        <w:rPr>
          <w:rFonts w:ascii="Arial" w:hAnsi="Arial" w:cs="Arial"/>
          <w:sz w:val="20"/>
          <w:szCs w:val="20"/>
          <w:lang w:val="es-MX"/>
        </w:rPr>
        <w:t>.</w:t>
      </w:r>
      <w:r w:rsidRPr="006D1D00">
        <w:rPr>
          <w:rFonts w:ascii="Arial" w:hAnsi="Arial" w:cs="Arial"/>
          <w:sz w:val="20"/>
          <w:szCs w:val="20"/>
          <w:lang w:val="es-MX"/>
        </w:rPr>
        <w:t>000 habitantes</w:t>
      </w:r>
      <w:r w:rsidRPr="006D1D00">
        <w:rPr>
          <w:rFonts w:ascii="Arial" w:hAnsi="Arial" w:cs="Arial"/>
          <w:i/>
          <w:sz w:val="20"/>
          <w:szCs w:val="20"/>
          <w:lang w:val="es-MX"/>
        </w:rPr>
        <w:t>)</w:t>
      </w:r>
    </w:p>
    <w:p w:rsidR="00475BBF" w:rsidRPr="00E917D5" w:rsidRDefault="00475BBF" w:rsidP="00475BBF">
      <w:pPr>
        <w:jc w:val="both"/>
        <w:rPr>
          <w:rFonts w:ascii="Arial" w:hAnsi="Arial" w:cs="Arial"/>
          <w:b/>
          <w:lang w:val="es-MX"/>
        </w:rPr>
      </w:pPr>
    </w:p>
    <w:tbl>
      <w:tblPr>
        <w:tblStyle w:val="Sombreadoclaro-nfasis1"/>
        <w:tblW w:w="4922" w:type="pct"/>
        <w:jc w:val="center"/>
        <w:shd w:val="clear" w:color="auto" w:fill="FFFFFF" w:themeFill="background1"/>
        <w:tblLook w:val="04A0" w:firstRow="1" w:lastRow="0" w:firstColumn="1" w:lastColumn="0" w:noHBand="0" w:noVBand="1"/>
      </w:tblPr>
      <w:tblGrid>
        <w:gridCol w:w="1200"/>
        <w:gridCol w:w="773"/>
        <w:gridCol w:w="672"/>
        <w:gridCol w:w="773"/>
        <w:gridCol w:w="817"/>
        <w:gridCol w:w="774"/>
        <w:gridCol w:w="817"/>
        <w:gridCol w:w="764"/>
        <w:gridCol w:w="673"/>
        <w:gridCol w:w="764"/>
        <w:gridCol w:w="673"/>
      </w:tblGrid>
      <w:tr w:rsidR="00475BBF" w:rsidRPr="000B3909" w:rsidTr="006D1D00">
        <w:trPr>
          <w:cnfStyle w:val="100000000000" w:firstRow="1" w:lastRow="0" w:firstColumn="0" w:lastColumn="0" w:oddVBand="0" w:evenVBand="0" w:oddHBand="0" w:evenHBand="0" w:firstRowFirstColumn="0" w:firstRowLastColumn="0" w:lastRowFirstColumn="0" w:lastRowLastColumn="0"/>
          <w:trHeight w:val="328"/>
          <w:jc w:val="center"/>
        </w:trPr>
        <w:tc>
          <w:tcPr>
            <w:cnfStyle w:val="001000000000" w:firstRow="0" w:lastRow="0" w:firstColumn="1" w:lastColumn="0" w:oddVBand="0" w:evenVBand="0" w:oddHBand="0" w:evenHBand="0" w:firstRowFirstColumn="0" w:firstRowLastColumn="0" w:lastRowFirstColumn="0" w:lastRowLastColumn="0"/>
            <w:tcW w:w="694" w:type="pct"/>
            <w:tcBorders>
              <w:top w:val="single" w:sz="8" w:space="0" w:color="auto"/>
              <w:left w:val="none" w:sz="0" w:space="0" w:color="auto"/>
              <w:bottom w:val="nil"/>
              <w:right w:val="none" w:sz="0" w:space="0" w:color="auto"/>
            </w:tcBorders>
            <w:shd w:val="clear" w:color="auto" w:fill="D5DCE4" w:themeFill="text2" w:themeFillTint="33"/>
          </w:tcPr>
          <w:p w:rsidR="00475BBF" w:rsidRPr="000B3909" w:rsidRDefault="00475BBF" w:rsidP="00475BBF">
            <w:pPr>
              <w:spacing w:line="360" w:lineRule="auto"/>
              <w:rPr>
                <w:rFonts w:ascii="Arial" w:hAnsi="Arial" w:cs="Arial"/>
                <w:color w:val="auto"/>
                <w:sz w:val="18"/>
                <w:szCs w:val="18"/>
                <w:lang w:val="es-MX"/>
              </w:rPr>
            </w:pPr>
            <w:r w:rsidRPr="000B3909">
              <w:rPr>
                <w:rFonts w:ascii="Arial" w:hAnsi="Arial" w:cs="Arial"/>
                <w:color w:val="auto"/>
                <w:sz w:val="18"/>
                <w:szCs w:val="18"/>
                <w:lang w:val="es-MX"/>
              </w:rPr>
              <w:t>Provincia</w:t>
            </w:r>
          </w:p>
        </w:tc>
        <w:tc>
          <w:tcPr>
            <w:tcW w:w="840" w:type="pct"/>
            <w:gridSpan w:val="2"/>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0B3909"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2014</w:t>
            </w:r>
          </w:p>
        </w:tc>
        <w:tc>
          <w:tcPr>
            <w:tcW w:w="899" w:type="pct"/>
            <w:gridSpan w:val="2"/>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0B3909"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2015</w:t>
            </w:r>
          </w:p>
        </w:tc>
        <w:tc>
          <w:tcPr>
            <w:tcW w:w="899" w:type="pct"/>
            <w:gridSpan w:val="2"/>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0B3909"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2016</w:t>
            </w:r>
          </w:p>
        </w:tc>
        <w:tc>
          <w:tcPr>
            <w:tcW w:w="834" w:type="pct"/>
            <w:gridSpan w:val="2"/>
            <w:tcBorders>
              <w:top w:val="single" w:sz="8" w:space="0" w:color="auto"/>
              <w:left w:val="none" w:sz="0" w:space="0" w:color="auto"/>
              <w:bottom w:val="nil"/>
              <w:right w:val="none" w:sz="0" w:space="0" w:color="auto"/>
            </w:tcBorders>
            <w:shd w:val="clear" w:color="auto" w:fill="D5DCE4" w:themeFill="text2" w:themeFillTint="33"/>
          </w:tcPr>
          <w:p w:rsidR="00475BBF" w:rsidRPr="000B3909"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2017</w:t>
            </w:r>
          </w:p>
        </w:tc>
        <w:tc>
          <w:tcPr>
            <w:tcW w:w="834" w:type="pct"/>
            <w:gridSpan w:val="2"/>
            <w:tcBorders>
              <w:top w:val="single" w:sz="8" w:space="0" w:color="auto"/>
              <w:left w:val="none" w:sz="0" w:space="0" w:color="auto"/>
              <w:bottom w:val="nil"/>
              <w:right w:val="none" w:sz="0" w:space="0" w:color="auto"/>
            </w:tcBorders>
            <w:shd w:val="clear" w:color="auto" w:fill="D5DCE4" w:themeFill="text2" w:themeFillTint="33"/>
          </w:tcPr>
          <w:p w:rsidR="00475BBF" w:rsidRPr="000B3909"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2018</w:t>
            </w:r>
          </w:p>
        </w:tc>
      </w:tr>
      <w:tr w:rsidR="001D75AB" w:rsidRPr="000B3909" w:rsidTr="006D1D00">
        <w:trPr>
          <w:cnfStyle w:val="000000100000" w:firstRow="0" w:lastRow="0" w:firstColumn="0" w:lastColumn="0" w:oddVBand="0" w:evenVBand="0" w:oddHBand="1" w:evenHBand="0" w:firstRowFirstColumn="0" w:firstRowLastColumn="0" w:lastRowFirstColumn="0" w:lastRowLastColumn="0"/>
          <w:trHeight w:val="318"/>
          <w:jc w:val="center"/>
        </w:trPr>
        <w:tc>
          <w:tcPr>
            <w:cnfStyle w:val="001000000000" w:firstRow="0" w:lastRow="0" w:firstColumn="1" w:lastColumn="0" w:oddVBand="0" w:evenVBand="0" w:oddHBand="0" w:evenHBand="0" w:firstRowFirstColumn="0" w:firstRowLastColumn="0" w:lastRowFirstColumn="0" w:lastRowLastColumn="0"/>
            <w:tcW w:w="694" w:type="pct"/>
            <w:tcBorders>
              <w:top w:val="nil"/>
              <w:bottom w:val="single" w:sz="8" w:space="0" w:color="auto"/>
            </w:tcBorders>
            <w:shd w:val="clear" w:color="auto" w:fill="D5DCE4" w:themeFill="text2" w:themeFillTint="33"/>
          </w:tcPr>
          <w:p w:rsidR="00475BBF" w:rsidRPr="000B3909" w:rsidRDefault="00475BBF" w:rsidP="00475BBF">
            <w:pPr>
              <w:spacing w:line="360" w:lineRule="auto"/>
              <w:jc w:val="both"/>
              <w:rPr>
                <w:rFonts w:ascii="Arial" w:hAnsi="Arial" w:cs="Arial"/>
                <w:color w:val="auto"/>
                <w:sz w:val="18"/>
                <w:szCs w:val="18"/>
                <w:lang w:val="es-MX"/>
              </w:rPr>
            </w:pPr>
          </w:p>
        </w:tc>
        <w:tc>
          <w:tcPr>
            <w:tcW w:w="449" w:type="pct"/>
            <w:tcBorders>
              <w:top w:val="single" w:sz="8"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Casos</w:t>
            </w:r>
          </w:p>
        </w:tc>
        <w:tc>
          <w:tcPr>
            <w:tcW w:w="391" w:type="pct"/>
            <w:tcBorders>
              <w:top w:val="single" w:sz="8"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Tasa</w:t>
            </w:r>
          </w:p>
        </w:tc>
        <w:tc>
          <w:tcPr>
            <w:tcW w:w="449" w:type="pct"/>
            <w:tcBorders>
              <w:top w:val="single" w:sz="8"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Casos</w:t>
            </w:r>
          </w:p>
        </w:tc>
        <w:tc>
          <w:tcPr>
            <w:tcW w:w="450" w:type="pct"/>
            <w:tcBorders>
              <w:top w:val="single" w:sz="8"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Tasa</w:t>
            </w:r>
          </w:p>
        </w:tc>
        <w:tc>
          <w:tcPr>
            <w:tcW w:w="449" w:type="pct"/>
            <w:tcBorders>
              <w:top w:val="single" w:sz="8"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Casos</w:t>
            </w:r>
          </w:p>
        </w:tc>
        <w:tc>
          <w:tcPr>
            <w:tcW w:w="450" w:type="pct"/>
            <w:tcBorders>
              <w:top w:val="single" w:sz="8"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Tasa</w:t>
            </w:r>
          </w:p>
        </w:tc>
        <w:tc>
          <w:tcPr>
            <w:tcW w:w="443" w:type="pct"/>
            <w:tcBorders>
              <w:top w:val="single" w:sz="4"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Casos</w:t>
            </w:r>
          </w:p>
        </w:tc>
        <w:tc>
          <w:tcPr>
            <w:tcW w:w="391" w:type="pct"/>
            <w:tcBorders>
              <w:top w:val="single" w:sz="4"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Tasa</w:t>
            </w:r>
          </w:p>
        </w:tc>
        <w:tc>
          <w:tcPr>
            <w:tcW w:w="443" w:type="pct"/>
            <w:tcBorders>
              <w:top w:val="single" w:sz="4"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Casos</w:t>
            </w:r>
          </w:p>
        </w:tc>
        <w:tc>
          <w:tcPr>
            <w:tcW w:w="391" w:type="pct"/>
            <w:tcBorders>
              <w:top w:val="single" w:sz="4" w:space="0" w:color="auto"/>
              <w:bottom w:val="single" w:sz="8" w:space="0" w:color="auto"/>
            </w:tcBorders>
            <w:shd w:val="clear" w:color="auto" w:fill="D5DCE4" w:themeFill="text2" w:themeFillTint="33"/>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Tasa</w:t>
            </w:r>
          </w:p>
        </w:tc>
      </w:tr>
      <w:tr w:rsidR="00475BBF" w:rsidRPr="000B3909" w:rsidTr="006D1D00">
        <w:trPr>
          <w:trHeight w:val="422"/>
          <w:jc w:val="center"/>
        </w:trPr>
        <w:tc>
          <w:tcPr>
            <w:cnfStyle w:val="001000000000" w:firstRow="0" w:lastRow="0" w:firstColumn="1" w:lastColumn="0" w:oddVBand="0" w:evenVBand="0" w:oddHBand="0" w:evenHBand="0" w:firstRowFirstColumn="0" w:firstRowLastColumn="0" w:lastRowFirstColumn="0" w:lastRowLastColumn="0"/>
            <w:tcW w:w="694" w:type="pct"/>
            <w:tcBorders>
              <w:top w:val="single" w:sz="8" w:space="0" w:color="auto"/>
              <w:bottom w:val="single" w:sz="8" w:space="0" w:color="auto"/>
            </w:tcBorders>
            <w:shd w:val="clear" w:color="auto" w:fill="FFFFFF" w:themeFill="background1"/>
          </w:tcPr>
          <w:p w:rsidR="00475BBF" w:rsidRPr="000B3909" w:rsidRDefault="00475BBF" w:rsidP="00475BBF">
            <w:pPr>
              <w:spacing w:line="360" w:lineRule="auto"/>
              <w:jc w:val="both"/>
              <w:rPr>
                <w:rFonts w:ascii="Arial" w:hAnsi="Arial" w:cs="Arial"/>
                <w:color w:val="auto"/>
                <w:sz w:val="18"/>
                <w:szCs w:val="18"/>
                <w:lang w:val="es-MX"/>
              </w:rPr>
            </w:pPr>
            <w:r w:rsidRPr="000B3909">
              <w:rPr>
                <w:rFonts w:ascii="Arial" w:hAnsi="Arial" w:cs="Arial"/>
                <w:color w:val="auto"/>
                <w:sz w:val="18"/>
                <w:szCs w:val="18"/>
                <w:lang w:val="es-MX"/>
              </w:rPr>
              <w:t>Total</w:t>
            </w:r>
          </w:p>
        </w:tc>
        <w:tc>
          <w:tcPr>
            <w:tcW w:w="449" w:type="pct"/>
            <w:tcBorders>
              <w:top w:val="single" w:sz="8" w:space="0" w:color="auto"/>
              <w:bottom w:val="single" w:sz="8" w:space="0" w:color="auto"/>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11.140</w:t>
            </w:r>
          </w:p>
        </w:tc>
        <w:tc>
          <w:tcPr>
            <w:tcW w:w="391" w:type="pct"/>
            <w:tcBorders>
              <w:top w:val="single" w:sz="8" w:space="0" w:color="auto"/>
              <w:bottom w:val="single" w:sz="8" w:space="0" w:color="auto"/>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233</w:t>
            </w:r>
            <w:r w:rsidR="001D75AB">
              <w:rPr>
                <w:rFonts w:ascii="Arial" w:hAnsi="Arial" w:cs="Arial"/>
                <w:b/>
                <w:color w:val="auto"/>
                <w:sz w:val="18"/>
                <w:szCs w:val="18"/>
                <w:lang w:val="es-MX"/>
              </w:rPr>
              <w:t>,</w:t>
            </w:r>
            <w:r w:rsidRPr="000B3909">
              <w:rPr>
                <w:rFonts w:ascii="Arial" w:hAnsi="Arial" w:cs="Arial"/>
                <w:b/>
                <w:color w:val="auto"/>
                <w:sz w:val="18"/>
                <w:szCs w:val="18"/>
                <w:lang w:val="es-MX"/>
              </w:rPr>
              <w:t>4</w:t>
            </w:r>
          </w:p>
        </w:tc>
        <w:tc>
          <w:tcPr>
            <w:tcW w:w="449" w:type="pct"/>
            <w:tcBorders>
              <w:top w:val="single" w:sz="8" w:space="0" w:color="auto"/>
              <w:bottom w:val="single" w:sz="8" w:space="0" w:color="auto"/>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17.439</w:t>
            </w:r>
          </w:p>
        </w:tc>
        <w:tc>
          <w:tcPr>
            <w:tcW w:w="450" w:type="pct"/>
            <w:tcBorders>
              <w:top w:val="single" w:sz="8" w:space="0" w:color="auto"/>
              <w:bottom w:val="single" w:sz="8" w:space="0" w:color="auto"/>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360</w:t>
            </w:r>
            <w:r w:rsidR="001D75AB">
              <w:rPr>
                <w:rFonts w:ascii="Arial" w:hAnsi="Arial" w:cs="Arial"/>
                <w:b/>
                <w:color w:val="auto"/>
                <w:sz w:val="18"/>
                <w:szCs w:val="18"/>
                <w:lang w:val="es-MX"/>
              </w:rPr>
              <w:t>,</w:t>
            </w:r>
            <w:r w:rsidRPr="000B3909">
              <w:rPr>
                <w:rFonts w:ascii="Arial" w:hAnsi="Arial" w:cs="Arial"/>
                <w:b/>
                <w:color w:val="auto"/>
                <w:sz w:val="18"/>
                <w:szCs w:val="18"/>
                <w:lang w:val="es-MX"/>
              </w:rPr>
              <w:t>9</w:t>
            </w:r>
          </w:p>
        </w:tc>
        <w:tc>
          <w:tcPr>
            <w:tcW w:w="449" w:type="pct"/>
            <w:tcBorders>
              <w:top w:val="single" w:sz="8" w:space="0" w:color="auto"/>
              <w:bottom w:val="single" w:sz="8" w:space="0" w:color="auto"/>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23.319</w:t>
            </w:r>
          </w:p>
        </w:tc>
        <w:tc>
          <w:tcPr>
            <w:tcW w:w="450" w:type="pct"/>
            <w:tcBorders>
              <w:top w:val="single" w:sz="8" w:space="0" w:color="auto"/>
              <w:bottom w:val="single" w:sz="8" w:space="0" w:color="auto"/>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476</w:t>
            </w:r>
            <w:r w:rsidR="001D75AB">
              <w:rPr>
                <w:rFonts w:ascii="Arial" w:hAnsi="Arial" w:cs="Arial"/>
                <w:b/>
                <w:color w:val="auto"/>
                <w:sz w:val="18"/>
                <w:szCs w:val="18"/>
                <w:lang w:val="es-MX"/>
              </w:rPr>
              <w:t>,</w:t>
            </w:r>
            <w:r w:rsidRPr="000B3909">
              <w:rPr>
                <w:rFonts w:ascii="Arial" w:hAnsi="Arial" w:cs="Arial"/>
                <w:b/>
                <w:color w:val="auto"/>
                <w:sz w:val="18"/>
                <w:szCs w:val="18"/>
                <w:lang w:val="es-MX"/>
              </w:rPr>
              <w:t>8</w:t>
            </w:r>
          </w:p>
        </w:tc>
        <w:tc>
          <w:tcPr>
            <w:tcW w:w="443" w:type="pct"/>
            <w:tcBorders>
              <w:top w:val="single" w:sz="8" w:space="0" w:color="auto"/>
              <w:bottom w:val="single" w:sz="8" w:space="0" w:color="auto"/>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5</w:t>
            </w:r>
            <w:r w:rsidR="006D1D00">
              <w:rPr>
                <w:rFonts w:ascii="Arial" w:hAnsi="Arial" w:cs="Arial"/>
                <w:b/>
                <w:color w:val="auto"/>
                <w:sz w:val="18"/>
                <w:szCs w:val="18"/>
                <w:lang w:val="es-MX"/>
              </w:rPr>
              <w:t>.</w:t>
            </w:r>
            <w:r w:rsidRPr="000B3909">
              <w:rPr>
                <w:rFonts w:ascii="Arial" w:hAnsi="Arial" w:cs="Arial"/>
                <w:b/>
                <w:color w:val="auto"/>
                <w:sz w:val="18"/>
                <w:szCs w:val="18"/>
                <w:lang w:val="es-MX"/>
              </w:rPr>
              <w:t>661</w:t>
            </w:r>
          </w:p>
        </w:tc>
        <w:tc>
          <w:tcPr>
            <w:tcW w:w="391" w:type="pct"/>
            <w:tcBorders>
              <w:top w:val="single" w:sz="8" w:space="0" w:color="auto"/>
              <w:bottom w:val="single" w:sz="8" w:space="0" w:color="auto"/>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112</w:t>
            </w:r>
            <w:r w:rsidR="001D75AB">
              <w:rPr>
                <w:rFonts w:ascii="Arial" w:hAnsi="Arial" w:cs="Arial"/>
                <w:b/>
                <w:color w:val="auto"/>
                <w:sz w:val="18"/>
                <w:szCs w:val="18"/>
                <w:lang w:val="es-MX"/>
              </w:rPr>
              <w:t>,</w:t>
            </w:r>
            <w:r w:rsidRPr="000B3909">
              <w:rPr>
                <w:rFonts w:ascii="Arial" w:hAnsi="Arial" w:cs="Arial"/>
                <w:b/>
                <w:color w:val="auto"/>
                <w:sz w:val="18"/>
                <w:szCs w:val="18"/>
                <w:lang w:val="es-MX"/>
              </w:rPr>
              <w:t>4</w:t>
            </w:r>
          </w:p>
        </w:tc>
        <w:tc>
          <w:tcPr>
            <w:tcW w:w="443" w:type="pct"/>
            <w:tcBorders>
              <w:top w:val="single" w:sz="8" w:space="0" w:color="auto"/>
              <w:bottom w:val="single" w:sz="8" w:space="0" w:color="auto"/>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2</w:t>
            </w:r>
            <w:r w:rsidR="006D1D00">
              <w:rPr>
                <w:rFonts w:ascii="Arial" w:hAnsi="Arial" w:cs="Arial"/>
                <w:b/>
                <w:color w:val="auto"/>
                <w:sz w:val="18"/>
                <w:szCs w:val="18"/>
                <w:lang w:val="es-MX"/>
              </w:rPr>
              <w:t>.</w:t>
            </w:r>
            <w:r w:rsidRPr="000B3909">
              <w:rPr>
                <w:rFonts w:ascii="Arial" w:hAnsi="Arial" w:cs="Arial"/>
                <w:b/>
                <w:color w:val="auto"/>
                <w:sz w:val="18"/>
                <w:szCs w:val="18"/>
                <w:lang w:val="es-MX"/>
              </w:rPr>
              <w:t>735</w:t>
            </w:r>
          </w:p>
        </w:tc>
        <w:tc>
          <w:tcPr>
            <w:tcW w:w="391" w:type="pct"/>
            <w:tcBorders>
              <w:top w:val="single" w:sz="8" w:space="0" w:color="auto"/>
              <w:bottom w:val="single" w:sz="8" w:space="0" w:color="auto"/>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18"/>
                <w:szCs w:val="18"/>
                <w:lang w:val="es-MX"/>
              </w:rPr>
            </w:pPr>
            <w:r w:rsidRPr="000B3909">
              <w:rPr>
                <w:rFonts w:ascii="Arial" w:hAnsi="Arial" w:cs="Arial"/>
                <w:b/>
                <w:color w:val="auto"/>
                <w:sz w:val="18"/>
                <w:szCs w:val="18"/>
                <w:lang w:val="es-MX"/>
              </w:rPr>
              <w:t>54</w:t>
            </w:r>
            <w:r w:rsidR="001D75AB">
              <w:rPr>
                <w:rFonts w:ascii="Arial" w:hAnsi="Arial" w:cs="Arial"/>
                <w:b/>
                <w:color w:val="auto"/>
                <w:sz w:val="18"/>
                <w:szCs w:val="18"/>
                <w:lang w:val="es-MX"/>
              </w:rPr>
              <w:t>,</w:t>
            </w:r>
            <w:r w:rsidRPr="000B3909">
              <w:rPr>
                <w:rFonts w:ascii="Arial" w:hAnsi="Arial" w:cs="Arial"/>
                <w:b/>
                <w:color w:val="auto"/>
                <w:sz w:val="18"/>
                <w:szCs w:val="18"/>
                <w:lang w:val="es-MX"/>
              </w:rPr>
              <w:t>7</w:t>
            </w:r>
          </w:p>
        </w:tc>
      </w:tr>
      <w:tr w:rsidR="00475BBF" w:rsidRPr="000B3909" w:rsidTr="00475BBF">
        <w:trPr>
          <w:cnfStyle w:val="000000100000" w:firstRow="0" w:lastRow="0" w:firstColumn="0" w:lastColumn="0" w:oddVBand="0" w:evenVBand="0" w:oddHBand="1" w:evenHBand="0" w:firstRowFirstColumn="0" w:firstRowLastColumn="0" w:lastRowFirstColumn="0" w:lastRowLastColumn="0"/>
          <w:trHeight w:val="427"/>
          <w:jc w:val="center"/>
        </w:trPr>
        <w:tc>
          <w:tcPr>
            <w:cnfStyle w:val="001000000000" w:firstRow="0" w:lastRow="0" w:firstColumn="1" w:lastColumn="0" w:oddVBand="0" w:evenVBand="0" w:oddHBand="0" w:evenHBand="0" w:firstRowFirstColumn="0" w:firstRowLastColumn="0" w:lastRowFirstColumn="0" w:lastRowLastColumn="0"/>
            <w:tcW w:w="694" w:type="pct"/>
            <w:tcBorders>
              <w:top w:val="single" w:sz="8" w:space="0" w:color="auto"/>
            </w:tcBorders>
            <w:shd w:val="clear" w:color="auto" w:fill="FFFFFF" w:themeFill="background1"/>
          </w:tcPr>
          <w:p w:rsidR="00475BBF" w:rsidRPr="000B3909" w:rsidRDefault="00475BBF" w:rsidP="00475BBF">
            <w:pPr>
              <w:spacing w:line="360" w:lineRule="auto"/>
              <w:jc w:val="both"/>
              <w:rPr>
                <w:rFonts w:ascii="Arial" w:hAnsi="Arial" w:cs="Arial"/>
                <w:b w:val="0"/>
                <w:color w:val="auto"/>
                <w:sz w:val="18"/>
                <w:szCs w:val="18"/>
                <w:lang w:val="es-MX"/>
              </w:rPr>
            </w:pPr>
            <w:r w:rsidRPr="000B3909">
              <w:rPr>
                <w:rFonts w:ascii="Arial" w:hAnsi="Arial" w:cs="Arial"/>
                <w:b w:val="0"/>
                <w:color w:val="auto"/>
                <w:sz w:val="18"/>
                <w:szCs w:val="18"/>
                <w:lang w:val="es-MX"/>
              </w:rPr>
              <w:t>Puntarenas</w:t>
            </w:r>
          </w:p>
        </w:tc>
        <w:tc>
          <w:tcPr>
            <w:tcW w:w="449" w:type="pct"/>
            <w:tcBorders>
              <w:top w:val="single" w:sz="8"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3</w:t>
            </w:r>
            <w:r w:rsidR="006D1D00">
              <w:rPr>
                <w:rFonts w:ascii="Arial" w:hAnsi="Arial" w:cs="Arial"/>
                <w:color w:val="auto"/>
                <w:sz w:val="18"/>
                <w:szCs w:val="18"/>
                <w:lang w:val="es-MX"/>
              </w:rPr>
              <w:t>.</w:t>
            </w:r>
            <w:r w:rsidRPr="000B3909">
              <w:rPr>
                <w:rFonts w:ascii="Arial" w:hAnsi="Arial" w:cs="Arial"/>
                <w:color w:val="auto"/>
                <w:sz w:val="18"/>
                <w:szCs w:val="18"/>
                <w:lang w:val="es-MX"/>
              </w:rPr>
              <w:t>805</w:t>
            </w:r>
          </w:p>
        </w:tc>
        <w:tc>
          <w:tcPr>
            <w:tcW w:w="391" w:type="pct"/>
            <w:tcBorders>
              <w:top w:val="single" w:sz="8" w:space="0" w:color="auto"/>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844</w:t>
            </w:r>
            <w:r w:rsidR="001D75AB">
              <w:rPr>
                <w:rFonts w:ascii="Arial" w:hAnsi="Arial" w:cs="Arial"/>
                <w:color w:val="auto"/>
                <w:sz w:val="18"/>
                <w:szCs w:val="18"/>
                <w:lang w:val="es-MX"/>
              </w:rPr>
              <w:t>,</w:t>
            </w:r>
            <w:r w:rsidRPr="000B3909">
              <w:rPr>
                <w:rFonts w:ascii="Arial" w:hAnsi="Arial" w:cs="Arial"/>
                <w:color w:val="auto"/>
                <w:sz w:val="18"/>
                <w:szCs w:val="18"/>
                <w:lang w:val="es-MX"/>
              </w:rPr>
              <w:t>6</w:t>
            </w:r>
          </w:p>
        </w:tc>
        <w:tc>
          <w:tcPr>
            <w:tcW w:w="449" w:type="pct"/>
            <w:tcBorders>
              <w:top w:val="single" w:sz="8"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5</w:t>
            </w:r>
            <w:r w:rsidR="001D75AB">
              <w:rPr>
                <w:rFonts w:ascii="Arial" w:hAnsi="Arial" w:cs="Arial"/>
                <w:color w:val="auto"/>
                <w:sz w:val="18"/>
                <w:szCs w:val="18"/>
                <w:lang w:val="es-MX"/>
              </w:rPr>
              <w:t>.</w:t>
            </w:r>
            <w:r w:rsidRPr="000B3909">
              <w:rPr>
                <w:rFonts w:ascii="Arial" w:hAnsi="Arial" w:cs="Arial"/>
                <w:color w:val="auto"/>
                <w:sz w:val="18"/>
                <w:szCs w:val="18"/>
                <w:lang w:val="es-MX"/>
              </w:rPr>
              <w:t>529</w:t>
            </w:r>
          </w:p>
        </w:tc>
        <w:tc>
          <w:tcPr>
            <w:tcW w:w="450" w:type="pct"/>
            <w:tcBorders>
              <w:top w:val="single" w:sz="8" w:space="0" w:color="auto"/>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w:t>
            </w:r>
            <w:r w:rsidR="001D75AB">
              <w:rPr>
                <w:rFonts w:ascii="Arial" w:hAnsi="Arial" w:cs="Arial"/>
                <w:color w:val="auto"/>
                <w:sz w:val="18"/>
                <w:szCs w:val="18"/>
                <w:lang w:val="es-MX"/>
              </w:rPr>
              <w:t>.</w:t>
            </w:r>
            <w:r w:rsidRPr="000B3909">
              <w:rPr>
                <w:rFonts w:ascii="Arial" w:hAnsi="Arial" w:cs="Arial"/>
                <w:color w:val="auto"/>
                <w:sz w:val="18"/>
                <w:szCs w:val="18"/>
                <w:lang w:val="es-MX"/>
              </w:rPr>
              <w:t>181</w:t>
            </w:r>
            <w:r w:rsidR="001D75AB">
              <w:rPr>
                <w:rFonts w:ascii="Arial" w:hAnsi="Arial" w:cs="Arial"/>
                <w:color w:val="auto"/>
                <w:sz w:val="18"/>
                <w:szCs w:val="18"/>
                <w:lang w:val="es-MX"/>
              </w:rPr>
              <w:t>,</w:t>
            </w:r>
            <w:r w:rsidRPr="000B3909">
              <w:rPr>
                <w:rFonts w:ascii="Arial" w:hAnsi="Arial" w:cs="Arial"/>
                <w:color w:val="auto"/>
                <w:sz w:val="18"/>
                <w:szCs w:val="18"/>
                <w:lang w:val="es-MX"/>
              </w:rPr>
              <w:t>5</w:t>
            </w:r>
          </w:p>
        </w:tc>
        <w:tc>
          <w:tcPr>
            <w:tcW w:w="449" w:type="pct"/>
            <w:tcBorders>
              <w:top w:val="single" w:sz="8"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6</w:t>
            </w:r>
            <w:r w:rsidR="001D75AB">
              <w:rPr>
                <w:rFonts w:ascii="Arial" w:hAnsi="Arial" w:cs="Arial"/>
                <w:color w:val="auto"/>
                <w:sz w:val="18"/>
                <w:szCs w:val="18"/>
                <w:lang w:val="es-MX"/>
              </w:rPr>
              <w:t>.</w:t>
            </w:r>
            <w:r w:rsidRPr="000B3909">
              <w:rPr>
                <w:rFonts w:ascii="Arial" w:hAnsi="Arial" w:cs="Arial"/>
                <w:color w:val="auto"/>
                <w:sz w:val="18"/>
                <w:szCs w:val="18"/>
                <w:lang w:val="es-MX"/>
              </w:rPr>
              <w:t>508</w:t>
            </w:r>
          </w:p>
        </w:tc>
        <w:tc>
          <w:tcPr>
            <w:tcW w:w="450" w:type="pct"/>
            <w:tcBorders>
              <w:top w:val="single" w:sz="8" w:space="0" w:color="auto"/>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w:t>
            </w:r>
            <w:r w:rsidR="001D75AB">
              <w:rPr>
                <w:rFonts w:ascii="Arial" w:hAnsi="Arial" w:cs="Arial"/>
                <w:color w:val="auto"/>
                <w:sz w:val="18"/>
                <w:szCs w:val="18"/>
                <w:lang w:val="es-MX"/>
              </w:rPr>
              <w:t>.</w:t>
            </w:r>
            <w:r w:rsidRPr="000B3909">
              <w:rPr>
                <w:rFonts w:ascii="Arial" w:hAnsi="Arial" w:cs="Arial"/>
                <w:color w:val="auto"/>
                <w:sz w:val="18"/>
                <w:szCs w:val="18"/>
                <w:lang w:val="es-MX"/>
              </w:rPr>
              <w:t>372</w:t>
            </w:r>
            <w:r w:rsidR="001D75AB">
              <w:rPr>
                <w:rFonts w:ascii="Arial" w:hAnsi="Arial" w:cs="Arial"/>
                <w:color w:val="auto"/>
                <w:sz w:val="18"/>
                <w:szCs w:val="18"/>
                <w:lang w:val="es-MX"/>
              </w:rPr>
              <w:t>,</w:t>
            </w:r>
            <w:r w:rsidRPr="000B3909">
              <w:rPr>
                <w:rFonts w:ascii="Arial" w:hAnsi="Arial" w:cs="Arial"/>
                <w:color w:val="auto"/>
                <w:sz w:val="18"/>
                <w:szCs w:val="18"/>
                <w:lang w:val="es-MX"/>
              </w:rPr>
              <w:t>2</w:t>
            </w:r>
          </w:p>
        </w:tc>
        <w:tc>
          <w:tcPr>
            <w:tcW w:w="443" w:type="pct"/>
            <w:tcBorders>
              <w:top w:val="single" w:sz="8"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805</w:t>
            </w:r>
          </w:p>
        </w:tc>
        <w:tc>
          <w:tcPr>
            <w:tcW w:w="391" w:type="pct"/>
            <w:tcBorders>
              <w:top w:val="single" w:sz="8" w:space="0" w:color="auto"/>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167</w:t>
            </w:r>
            <w:r w:rsidR="001D75AB">
              <w:rPr>
                <w:rFonts w:ascii="Arial" w:hAnsi="Arial" w:cs="Arial"/>
                <w:color w:val="auto"/>
                <w:sz w:val="18"/>
                <w:szCs w:val="18"/>
                <w:lang w:val="es-MX"/>
              </w:rPr>
              <w:t>,</w:t>
            </w:r>
            <w:r w:rsidRPr="000B3909">
              <w:rPr>
                <w:rFonts w:ascii="Arial" w:hAnsi="Arial" w:cs="Arial"/>
                <w:color w:val="auto"/>
                <w:sz w:val="18"/>
                <w:szCs w:val="18"/>
                <w:lang w:val="es-MX"/>
              </w:rPr>
              <w:t>5</w:t>
            </w:r>
          </w:p>
        </w:tc>
        <w:tc>
          <w:tcPr>
            <w:tcW w:w="443" w:type="pct"/>
            <w:tcBorders>
              <w:top w:val="single" w:sz="8"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348</w:t>
            </w:r>
          </w:p>
        </w:tc>
        <w:tc>
          <w:tcPr>
            <w:tcW w:w="391" w:type="pct"/>
            <w:tcBorders>
              <w:top w:val="single" w:sz="8" w:space="0" w:color="auto"/>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71</w:t>
            </w:r>
            <w:r w:rsidR="001D75AB">
              <w:rPr>
                <w:rFonts w:ascii="Arial" w:hAnsi="Arial" w:cs="Arial"/>
                <w:color w:val="auto"/>
                <w:sz w:val="18"/>
                <w:szCs w:val="18"/>
                <w:lang w:val="es-MX"/>
              </w:rPr>
              <w:t>,</w:t>
            </w:r>
            <w:r w:rsidRPr="000B3909">
              <w:rPr>
                <w:rFonts w:ascii="Arial" w:hAnsi="Arial" w:cs="Arial"/>
                <w:color w:val="auto"/>
                <w:sz w:val="18"/>
                <w:szCs w:val="18"/>
                <w:lang w:val="es-MX"/>
              </w:rPr>
              <w:t>5</w:t>
            </w:r>
          </w:p>
        </w:tc>
      </w:tr>
      <w:tr w:rsidR="00475BBF" w:rsidRPr="000B3909" w:rsidTr="00475BBF">
        <w:trPr>
          <w:trHeight w:val="370"/>
          <w:jc w:val="center"/>
        </w:trPr>
        <w:tc>
          <w:tcPr>
            <w:cnfStyle w:val="001000000000" w:firstRow="0" w:lastRow="0" w:firstColumn="1" w:lastColumn="0" w:oddVBand="0" w:evenVBand="0" w:oddHBand="0" w:evenHBand="0" w:firstRowFirstColumn="0" w:firstRowLastColumn="0" w:lastRowFirstColumn="0" w:lastRowLastColumn="0"/>
            <w:tcW w:w="694" w:type="pct"/>
            <w:shd w:val="clear" w:color="auto" w:fill="FFFFFF" w:themeFill="background1"/>
          </w:tcPr>
          <w:p w:rsidR="00475BBF" w:rsidRPr="000B3909" w:rsidRDefault="00475BBF" w:rsidP="00475BBF">
            <w:pPr>
              <w:spacing w:line="360" w:lineRule="auto"/>
              <w:jc w:val="both"/>
              <w:rPr>
                <w:rFonts w:ascii="Arial" w:hAnsi="Arial" w:cs="Arial"/>
                <w:b w:val="0"/>
                <w:color w:val="auto"/>
                <w:sz w:val="18"/>
                <w:szCs w:val="18"/>
                <w:lang w:val="es-MX"/>
              </w:rPr>
            </w:pPr>
            <w:r w:rsidRPr="000B3909">
              <w:rPr>
                <w:rFonts w:ascii="Arial" w:hAnsi="Arial" w:cs="Arial"/>
                <w:b w:val="0"/>
                <w:color w:val="auto"/>
                <w:sz w:val="18"/>
                <w:szCs w:val="18"/>
                <w:lang w:val="es-MX"/>
              </w:rPr>
              <w:t>Guanacaste</w:t>
            </w:r>
          </w:p>
        </w:tc>
        <w:tc>
          <w:tcPr>
            <w:tcW w:w="449"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w:t>
            </w:r>
            <w:r w:rsidR="006D1D00">
              <w:rPr>
                <w:rFonts w:ascii="Arial" w:hAnsi="Arial" w:cs="Arial"/>
                <w:color w:val="auto"/>
                <w:sz w:val="18"/>
                <w:szCs w:val="18"/>
                <w:lang w:val="es-MX"/>
              </w:rPr>
              <w:t>.</w:t>
            </w:r>
            <w:r w:rsidRPr="000B3909">
              <w:rPr>
                <w:rFonts w:ascii="Arial" w:hAnsi="Arial" w:cs="Arial"/>
                <w:color w:val="auto"/>
                <w:sz w:val="18"/>
                <w:szCs w:val="18"/>
                <w:lang w:val="es-MX"/>
              </w:rPr>
              <w:t>054</w:t>
            </w:r>
          </w:p>
        </w:tc>
        <w:tc>
          <w:tcPr>
            <w:tcW w:w="391"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574</w:t>
            </w:r>
            <w:r w:rsidR="001D75AB">
              <w:rPr>
                <w:rFonts w:ascii="Arial" w:hAnsi="Arial" w:cs="Arial"/>
                <w:color w:val="auto"/>
                <w:sz w:val="18"/>
                <w:szCs w:val="18"/>
                <w:lang w:val="es-MX"/>
              </w:rPr>
              <w:t>,</w:t>
            </w:r>
            <w:r w:rsidRPr="000B3909">
              <w:rPr>
                <w:rFonts w:ascii="Arial" w:hAnsi="Arial" w:cs="Arial"/>
                <w:color w:val="auto"/>
                <w:sz w:val="18"/>
                <w:szCs w:val="18"/>
                <w:lang w:val="es-MX"/>
              </w:rPr>
              <w:t>1</w:t>
            </w:r>
          </w:p>
        </w:tc>
        <w:tc>
          <w:tcPr>
            <w:tcW w:w="449"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6</w:t>
            </w:r>
            <w:r w:rsidR="001D75AB">
              <w:rPr>
                <w:rFonts w:ascii="Arial" w:hAnsi="Arial" w:cs="Arial"/>
                <w:color w:val="auto"/>
                <w:sz w:val="18"/>
                <w:szCs w:val="18"/>
                <w:lang w:val="es-MX"/>
              </w:rPr>
              <w:t>.</w:t>
            </w:r>
            <w:r w:rsidRPr="000B3909">
              <w:rPr>
                <w:rFonts w:ascii="Arial" w:hAnsi="Arial" w:cs="Arial"/>
                <w:color w:val="auto"/>
                <w:sz w:val="18"/>
                <w:szCs w:val="18"/>
                <w:lang w:val="es-MX"/>
              </w:rPr>
              <w:t>951</w:t>
            </w:r>
          </w:p>
        </w:tc>
        <w:tc>
          <w:tcPr>
            <w:tcW w:w="450"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w:t>
            </w:r>
            <w:r w:rsidR="001D75AB">
              <w:rPr>
                <w:rFonts w:ascii="Arial" w:hAnsi="Arial" w:cs="Arial"/>
                <w:color w:val="auto"/>
                <w:sz w:val="18"/>
                <w:szCs w:val="18"/>
                <w:lang w:val="es-MX"/>
              </w:rPr>
              <w:t>.</w:t>
            </w:r>
            <w:r w:rsidRPr="000B3909">
              <w:rPr>
                <w:rFonts w:ascii="Arial" w:hAnsi="Arial" w:cs="Arial"/>
                <w:color w:val="auto"/>
                <w:sz w:val="18"/>
                <w:szCs w:val="18"/>
                <w:lang w:val="es-MX"/>
              </w:rPr>
              <w:t>901</w:t>
            </w:r>
            <w:r w:rsidR="001D75AB">
              <w:rPr>
                <w:rFonts w:ascii="Arial" w:hAnsi="Arial" w:cs="Arial"/>
                <w:color w:val="auto"/>
                <w:sz w:val="18"/>
                <w:szCs w:val="18"/>
                <w:lang w:val="es-MX"/>
              </w:rPr>
              <w:t>,</w:t>
            </w:r>
            <w:r w:rsidRPr="000B3909">
              <w:rPr>
                <w:rFonts w:ascii="Arial" w:hAnsi="Arial" w:cs="Arial"/>
                <w:color w:val="auto"/>
                <w:sz w:val="18"/>
                <w:szCs w:val="18"/>
                <w:lang w:val="es-MX"/>
              </w:rPr>
              <w:t>6</w:t>
            </w:r>
          </w:p>
        </w:tc>
        <w:tc>
          <w:tcPr>
            <w:tcW w:w="449"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w:t>
            </w:r>
            <w:r w:rsidR="001D75AB">
              <w:rPr>
                <w:rFonts w:ascii="Arial" w:hAnsi="Arial" w:cs="Arial"/>
                <w:color w:val="auto"/>
                <w:sz w:val="18"/>
                <w:szCs w:val="18"/>
                <w:lang w:val="es-MX"/>
              </w:rPr>
              <w:t>.</w:t>
            </w:r>
            <w:r w:rsidRPr="000B3909">
              <w:rPr>
                <w:rFonts w:ascii="Arial" w:hAnsi="Arial" w:cs="Arial"/>
                <w:color w:val="auto"/>
                <w:sz w:val="18"/>
                <w:szCs w:val="18"/>
                <w:lang w:val="es-MX"/>
              </w:rPr>
              <w:t>794</w:t>
            </w:r>
          </w:p>
        </w:tc>
        <w:tc>
          <w:tcPr>
            <w:tcW w:w="450"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752</w:t>
            </w:r>
            <w:r w:rsidR="001D75AB">
              <w:rPr>
                <w:rFonts w:ascii="Arial" w:hAnsi="Arial" w:cs="Arial"/>
                <w:color w:val="auto"/>
                <w:sz w:val="18"/>
                <w:szCs w:val="18"/>
                <w:lang w:val="es-MX"/>
              </w:rPr>
              <w:t>,</w:t>
            </w:r>
            <w:r w:rsidRPr="000B3909">
              <w:rPr>
                <w:rFonts w:ascii="Arial" w:hAnsi="Arial" w:cs="Arial"/>
                <w:color w:val="auto"/>
                <w:sz w:val="18"/>
                <w:szCs w:val="18"/>
                <w:lang w:val="es-MX"/>
              </w:rPr>
              <w:t>3</w:t>
            </w:r>
          </w:p>
        </w:tc>
        <w:tc>
          <w:tcPr>
            <w:tcW w:w="443"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397</w:t>
            </w:r>
          </w:p>
        </w:tc>
        <w:tc>
          <w:tcPr>
            <w:tcW w:w="391"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105</w:t>
            </w:r>
            <w:r w:rsidR="001D75AB">
              <w:rPr>
                <w:rFonts w:ascii="Arial" w:hAnsi="Arial" w:cs="Arial"/>
                <w:color w:val="auto"/>
                <w:sz w:val="18"/>
                <w:szCs w:val="18"/>
                <w:lang w:val="es-MX"/>
              </w:rPr>
              <w:t>,</w:t>
            </w:r>
            <w:r w:rsidRPr="000B3909">
              <w:rPr>
                <w:rFonts w:ascii="Arial" w:hAnsi="Arial" w:cs="Arial"/>
                <w:color w:val="auto"/>
                <w:sz w:val="18"/>
                <w:szCs w:val="18"/>
                <w:lang w:val="es-MX"/>
              </w:rPr>
              <w:t>3</w:t>
            </w:r>
          </w:p>
        </w:tc>
        <w:tc>
          <w:tcPr>
            <w:tcW w:w="443"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304</w:t>
            </w:r>
          </w:p>
        </w:tc>
        <w:tc>
          <w:tcPr>
            <w:tcW w:w="391"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79</w:t>
            </w:r>
            <w:r w:rsidR="001D75AB">
              <w:rPr>
                <w:rFonts w:ascii="Arial" w:hAnsi="Arial" w:cs="Arial"/>
                <w:color w:val="auto"/>
                <w:sz w:val="18"/>
                <w:szCs w:val="18"/>
                <w:lang w:val="es-MX"/>
              </w:rPr>
              <w:t>,</w:t>
            </w:r>
            <w:r w:rsidRPr="000B3909">
              <w:rPr>
                <w:rFonts w:ascii="Arial" w:hAnsi="Arial" w:cs="Arial"/>
                <w:color w:val="auto"/>
                <w:sz w:val="18"/>
                <w:szCs w:val="18"/>
                <w:lang w:val="es-MX"/>
              </w:rPr>
              <w:t>4</w:t>
            </w:r>
          </w:p>
        </w:tc>
      </w:tr>
      <w:tr w:rsidR="00475BBF" w:rsidRPr="000B3909" w:rsidTr="006D1D00">
        <w:trPr>
          <w:cnfStyle w:val="000000100000" w:firstRow="0" w:lastRow="0" w:firstColumn="0" w:lastColumn="0" w:oddVBand="0" w:evenVBand="0" w:oddHBand="1" w:evenHBand="0" w:firstRowFirstColumn="0" w:firstRowLastColumn="0" w:lastRowFirstColumn="0" w:lastRowLastColumn="0"/>
          <w:trHeight w:val="364"/>
          <w:jc w:val="center"/>
        </w:trPr>
        <w:tc>
          <w:tcPr>
            <w:cnfStyle w:val="001000000000" w:firstRow="0" w:lastRow="0" w:firstColumn="1" w:lastColumn="0" w:oddVBand="0" w:evenVBand="0" w:oddHBand="0" w:evenHBand="0" w:firstRowFirstColumn="0" w:firstRowLastColumn="0" w:lastRowFirstColumn="0" w:lastRowLastColumn="0"/>
            <w:tcW w:w="694" w:type="pct"/>
            <w:shd w:val="clear" w:color="auto" w:fill="FFFFFF" w:themeFill="background1"/>
          </w:tcPr>
          <w:p w:rsidR="00475BBF" w:rsidRPr="000B3909" w:rsidRDefault="00475BBF" w:rsidP="00475BBF">
            <w:pPr>
              <w:spacing w:line="360" w:lineRule="auto"/>
              <w:jc w:val="both"/>
              <w:rPr>
                <w:rFonts w:ascii="Arial" w:hAnsi="Arial" w:cs="Arial"/>
                <w:b w:val="0"/>
                <w:color w:val="auto"/>
                <w:sz w:val="18"/>
                <w:szCs w:val="18"/>
                <w:lang w:val="es-MX"/>
              </w:rPr>
            </w:pPr>
            <w:r w:rsidRPr="000B3909">
              <w:rPr>
                <w:rFonts w:ascii="Arial" w:hAnsi="Arial" w:cs="Arial"/>
                <w:b w:val="0"/>
                <w:color w:val="auto"/>
                <w:sz w:val="18"/>
                <w:szCs w:val="18"/>
                <w:lang w:val="es-MX"/>
              </w:rPr>
              <w:t>Alajuela</w:t>
            </w:r>
          </w:p>
        </w:tc>
        <w:tc>
          <w:tcPr>
            <w:tcW w:w="449" w:type="pct"/>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w:t>
            </w:r>
            <w:r w:rsidR="006D1D00">
              <w:rPr>
                <w:rFonts w:ascii="Arial" w:hAnsi="Arial" w:cs="Arial"/>
                <w:color w:val="auto"/>
                <w:sz w:val="18"/>
                <w:szCs w:val="18"/>
                <w:lang w:val="es-MX"/>
              </w:rPr>
              <w:t>.</w:t>
            </w:r>
            <w:r w:rsidRPr="000B3909">
              <w:rPr>
                <w:rFonts w:ascii="Arial" w:hAnsi="Arial" w:cs="Arial"/>
                <w:color w:val="auto"/>
                <w:sz w:val="18"/>
                <w:szCs w:val="18"/>
                <w:lang w:val="es-MX"/>
              </w:rPr>
              <w:t>306</w:t>
            </w:r>
          </w:p>
        </w:tc>
        <w:tc>
          <w:tcPr>
            <w:tcW w:w="391" w:type="pct"/>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140</w:t>
            </w:r>
            <w:r w:rsidR="001D75AB">
              <w:rPr>
                <w:rFonts w:ascii="Arial" w:hAnsi="Arial" w:cs="Arial"/>
                <w:color w:val="auto"/>
                <w:sz w:val="18"/>
                <w:szCs w:val="18"/>
                <w:lang w:val="es-MX"/>
              </w:rPr>
              <w:t>,</w:t>
            </w:r>
            <w:r w:rsidRPr="000B3909">
              <w:rPr>
                <w:rFonts w:ascii="Arial" w:hAnsi="Arial" w:cs="Arial"/>
                <w:color w:val="auto"/>
                <w:sz w:val="18"/>
                <w:szCs w:val="18"/>
                <w:lang w:val="es-MX"/>
              </w:rPr>
              <w:t>8</w:t>
            </w:r>
          </w:p>
        </w:tc>
        <w:tc>
          <w:tcPr>
            <w:tcW w:w="449" w:type="pct"/>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w:t>
            </w:r>
            <w:r w:rsidR="001D75AB">
              <w:rPr>
                <w:rFonts w:ascii="Arial" w:hAnsi="Arial" w:cs="Arial"/>
                <w:color w:val="auto"/>
                <w:sz w:val="18"/>
                <w:szCs w:val="18"/>
                <w:lang w:val="es-MX"/>
              </w:rPr>
              <w:t>.</w:t>
            </w:r>
            <w:r w:rsidRPr="000B3909">
              <w:rPr>
                <w:rFonts w:ascii="Arial" w:hAnsi="Arial" w:cs="Arial"/>
                <w:color w:val="auto"/>
                <w:sz w:val="18"/>
                <w:szCs w:val="18"/>
                <w:lang w:val="es-MX"/>
              </w:rPr>
              <w:t>683</w:t>
            </w:r>
          </w:p>
        </w:tc>
        <w:tc>
          <w:tcPr>
            <w:tcW w:w="450" w:type="pct"/>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279</w:t>
            </w:r>
            <w:r w:rsidR="001D75AB">
              <w:rPr>
                <w:rFonts w:ascii="Arial" w:hAnsi="Arial" w:cs="Arial"/>
                <w:color w:val="auto"/>
                <w:sz w:val="18"/>
                <w:szCs w:val="18"/>
                <w:lang w:val="es-MX"/>
              </w:rPr>
              <w:t>,</w:t>
            </w:r>
            <w:r w:rsidRPr="000B3909">
              <w:rPr>
                <w:rFonts w:ascii="Arial" w:hAnsi="Arial" w:cs="Arial"/>
                <w:color w:val="auto"/>
                <w:sz w:val="18"/>
                <w:szCs w:val="18"/>
                <w:lang w:val="es-MX"/>
              </w:rPr>
              <w:t>3</w:t>
            </w:r>
          </w:p>
        </w:tc>
        <w:tc>
          <w:tcPr>
            <w:tcW w:w="449" w:type="pct"/>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6</w:t>
            </w:r>
            <w:r w:rsidR="001D75AB">
              <w:rPr>
                <w:rFonts w:ascii="Arial" w:hAnsi="Arial" w:cs="Arial"/>
                <w:color w:val="auto"/>
                <w:sz w:val="18"/>
                <w:szCs w:val="18"/>
                <w:lang w:val="es-MX"/>
              </w:rPr>
              <w:t>.</w:t>
            </w:r>
            <w:r w:rsidRPr="000B3909">
              <w:rPr>
                <w:rFonts w:ascii="Arial" w:hAnsi="Arial" w:cs="Arial"/>
                <w:color w:val="auto"/>
                <w:sz w:val="18"/>
                <w:szCs w:val="18"/>
                <w:lang w:val="es-MX"/>
              </w:rPr>
              <w:t>662</w:t>
            </w:r>
          </w:p>
        </w:tc>
        <w:tc>
          <w:tcPr>
            <w:tcW w:w="450" w:type="pct"/>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683</w:t>
            </w:r>
            <w:r w:rsidR="001D75AB">
              <w:rPr>
                <w:rFonts w:ascii="Arial" w:hAnsi="Arial" w:cs="Arial"/>
                <w:color w:val="auto"/>
                <w:sz w:val="18"/>
                <w:szCs w:val="18"/>
                <w:lang w:val="es-MX"/>
              </w:rPr>
              <w:t>,</w:t>
            </w:r>
            <w:r w:rsidRPr="000B3909">
              <w:rPr>
                <w:rFonts w:ascii="Arial" w:hAnsi="Arial" w:cs="Arial"/>
                <w:color w:val="auto"/>
                <w:sz w:val="18"/>
                <w:szCs w:val="18"/>
                <w:lang w:val="es-MX"/>
              </w:rPr>
              <w:t>3</w:t>
            </w:r>
          </w:p>
        </w:tc>
        <w:tc>
          <w:tcPr>
            <w:tcW w:w="443" w:type="pct"/>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w:t>
            </w:r>
            <w:r w:rsidR="001D75AB">
              <w:rPr>
                <w:rFonts w:ascii="Arial" w:hAnsi="Arial" w:cs="Arial"/>
                <w:color w:val="auto"/>
                <w:sz w:val="18"/>
                <w:szCs w:val="18"/>
                <w:lang w:val="es-MX"/>
              </w:rPr>
              <w:t>.</w:t>
            </w:r>
            <w:r w:rsidRPr="000B3909">
              <w:rPr>
                <w:rFonts w:ascii="Arial" w:hAnsi="Arial" w:cs="Arial"/>
                <w:color w:val="auto"/>
                <w:sz w:val="18"/>
                <w:szCs w:val="18"/>
                <w:lang w:val="es-MX"/>
              </w:rPr>
              <w:t>111</w:t>
            </w:r>
          </w:p>
        </w:tc>
        <w:tc>
          <w:tcPr>
            <w:tcW w:w="391" w:type="pct"/>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112</w:t>
            </w:r>
            <w:r w:rsidR="001D75AB">
              <w:rPr>
                <w:rFonts w:ascii="Arial" w:hAnsi="Arial" w:cs="Arial"/>
                <w:color w:val="auto"/>
                <w:sz w:val="18"/>
                <w:szCs w:val="18"/>
                <w:lang w:val="es-MX"/>
              </w:rPr>
              <w:t>,</w:t>
            </w:r>
            <w:r w:rsidRPr="000B3909">
              <w:rPr>
                <w:rFonts w:ascii="Arial" w:hAnsi="Arial" w:cs="Arial"/>
                <w:color w:val="auto"/>
                <w:sz w:val="18"/>
                <w:szCs w:val="18"/>
                <w:lang w:val="es-MX"/>
              </w:rPr>
              <w:t>3</w:t>
            </w:r>
          </w:p>
        </w:tc>
        <w:tc>
          <w:tcPr>
            <w:tcW w:w="443" w:type="pct"/>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362</w:t>
            </w:r>
          </w:p>
        </w:tc>
        <w:tc>
          <w:tcPr>
            <w:tcW w:w="391" w:type="pct"/>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36</w:t>
            </w:r>
            <w:r w:rsidR="001D75AB">
              <w:rPr>
                <w:rFonts w:ascii="Arial" w:hAnsi="Arial" w:cs="Arial"/>
                <w:color w:val="auto"/>
                <w:sz w:val="18"/>
                <w:szCs w:val="18"/>
                <w:lang w:val="es-MX"/>
              </w:rPr>
              <w:t>,</w:t>
            </w:r>
            <w:r w:rsidRPr="000B3909">
              <w:rPr>
                <w:rFonts w:ascii="Arial" w:hAnsi="Arial" w:cs="Arial"/>
                <w:color w:val="auto"/>
                <w:sz w:val="18"/>
                <w:szCs w:val="18"/>
                <w:lang w:val="es-MX"/>
              </w:rPr>
              <w:t>1</w:t>
            </w:r>
          </w:p>
        </w:tc>
      </w:tr>
      <w:tr w:rsidR="00475BBF" w:rsidRPr="000B3909" w:rsidTr="006D1D00">
        <w:trPr>
          <w:trHeight w:val="426"/>
          <w:jc w:val="center"/>
        </w:trPr>
        <w:tc>
          <w:tcPr>
            <w:cnfStyle w:val="001000000000" w:firstRow="0" w:lastRow="0" w:firstColumn="1" w:lastColumn="0" w:oddVBand="0" w:evenVBand="0" w:oddHBand="0" w:evenHBand="0" w:firstRowFirstColumn="0" w:firstRowLastColumn="0" w:lastRowFirstColumn="0" w:lastRowLastColumn="0"/>
            <w:tcW w:w="694" w:type="pct"/>
            <w:shd w:val="clear" w:color="auto" w:fill="FFFFFF" w:themeFill="background1"/>
          </w:tcPr>
          <w:p w:rsidR="00475BBF" w:rsidRPr="000B3909" w:rsidRDefault="00475BBF" w:rsidP="00475BBF">
            <w:pPr>
              <w:spacing w:line="360" w:lineRule="auto"/>
              <w:jc w:val="both"/>
              <w:rPr>
                <w:rFonts w:ascii="Arial" w:hAnsi="Arial" w:cs="Arial"/>
                <w:b w:val="0"/>
                <w:color w:val="auto"/>
                <w:sz w:val="18"/>
                <w:szCs w:val="18"/>
                <w:lang w:val="es-MX"/>
              </w:rPr>
            </w:pPr>
            <w:r w:rsidRPr="000B3909">
              <w:rPr>
                <w:rFonts w:ascii="Arial" w:hAnsi="Arial" w:cs="Arial"/>
                <w:b w:val="0"/>
                <w:color w:val="auto"/>
                <w:sz w:val="18"/>
                <w:szCs w:val="18"/>
                <w:lang w:val="es-MX"/>
              </w:rPr>
              <w:t>Limón</w:t>
            </w:r>
          </w:p>
        </w:tc>
        <w:tc>
          <w:tcPr>
            <w:tcW w:w="449"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w:t>
            </w:r>
            <w:r w:rsidR="006D1D00">
              <w:rPr>
                <w:rFonts w:ascii="Arial" w:hAnsi="Arial" w:cs="Arial"/>
                <w:color w:val="auto"/>
                <w:sz w:val="18"/>
                <w:szCs w:val="18"/>
                <w:lang w:val="es-MX"/>
              </w:rPr>
              <w:t>.</w:t>
            </w:r>
            <w:r w:rsidRPr="000B3909">
              <w:rPr>
                <w:rFonts w:ascii="Arial" w:hAnsi="Arial" w:cs="Arial"/>
                <w:color w:val="auto"/>
                <w:sz w:val="18"/>
                <w:szCs w:val="18"/>
                <w:lang w:val="es-MX"/>
              </w:rPr>
              <w:t>215</w:t>
            </w:r>
          </w:p>
        </w:tc>
        <w:tc>
          <w:tcPr>
            <w:tcW w:w="391"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519</w:t>
            </w:r>
            <w:r w:rsidR="001D75AB">
              <w:rPr>
                <w:rFonts w:ascii="Arial" w:hAnsi="Arial" w:cs="Arial"/>
                <w:color w:val="auto"/>
                <w:sz w:val="18"/>
                <w:szCs w:val="18"/>
                <w:lang w:val="es-MX"/>
              </w:rPr>
              <w:t>,</w:t>
            </w:r>
            <w:r w:rsidRPr="000B3909">
              <w:rPr>
                <w:rFonts w:ascii="Arial" w:hAnsi="Arial" w:cs="Arial"/>
                <w:color w:val="auto"/>
                <w:sz w:val="18"/>
                <w:szCs w:val="18"/>
                <w:lang w:val="es-MX"/>
              </w:rPr>
              <w:t>2</w:t>
            </w:r>
          </w:p>
        </w:tc>
        <w:tc>
          <w:tcPr>
            <w:tcW w:w="449"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637</w:t>
            </w:r>
          </w:p>
        </w:tc>
        <w:tc>
          <w:tcPr>
            <w:tcW w:w="450"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146</w:t>
            </w:r>
            <w:r w:rsidR="001D75AB">
              <w:rPr>
                <w:rFonts w:ascii="Arial" w:hAnsi="Arial" w:cs="Arial"/>
                <w:color w:val="auto"/>
                <w:sz w:val="18"/>
                <w:szCs w:val="18"/>
                <w:lang w:val="es-MX"/>
              </w:rPr>
              <w:t>,</w:t>
            </w:r>
            <w:r w:rsidRPr="000B3909">
              <w:rPr>
                <w:rFonts w:ascii="Arial" w:hAnsi="Arial" w:cs="Arial"/>
                <w:color w:val="auto"/>
                <w:sz w:val="18"/>
                <w:szCs w:val="18"/>
                <w:lang w:val="es-MX"/>
              </w:rPr>
              <w:t>9</w:t>
            </w:r>
          </w:p>
        </w:tc>
        <w:tc>
          <w:tcPr>
            <w:tcW w:w="449"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w:t>
            </w:r>
            <w:r w:rsidR="001D75AB">
              <w:rPr>
                <w:rFonts w:ascii="Arial" w:hAnsi="Arial" w:cs="Arial"/>
                <w:color w:val="auto"/>
                <w:sz w:val="18"/>
                <w:szCs w:val="18"/>
                <w:lang w:val="es-MX"/>
              </w:rPr>
              <w:t>.</w:t>
            </w:r>
            <w:r w:rsidRPr="000B3909">
              <w:rPr>
                <w:rFonts w:ascii="Arial" w:hAnsi="Arial" w:cs="Arial"/>
                <w:color w:val="auto"/>
                <w:sz w:val="18"/>
                <w:szCs w:val="18"/>
                <w:lang w:val="es-MX"/>
              </w:rPr>
              <w:t>601</w:t>
            </w:r>
          </w:p>
        </w:tc>
        <w:tc>
          <w:tcPr>
            <w:tcW w:w="450"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364</w:t>
            </w:r>
            <w:r w:rsidR="001D75AB">
              <w:rPr>
                <w:rFonts w:ascii="Arial" w:hAnsi="Arial" w:cs="Arial"/>
                <w:color w:val="auto"/>
                <w:sz w:val="18"/>
                <w:szCs w:val="18"/>
                <w:lang w:val="es-MX"/>
              </w:rPr>
              <w:t>,</w:t>
            </w:r>
            <w:r w:rsidRPr="000B3909">
              <w:rPr>
                <w:rFonts w:ascii="Arial" w:hAnsi="Arial" w:cs="Arial"/>
                <w:color w:val="auto"/>
                <w:sz w:val="18"/>
                <w:szCs w:val="18"/>
                <w:lang w:val="es-MX"/>
              </w:rPr>
              <w:t>7</w:t>
            </w:r>
          </w:p>
        </w:tc>
        <w:tc>
          <w:tcPr>
            <w:tcW w:w="443"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w:t>
            </w:r>
            <w:r w:rsidR="001D75AB">
              <w:rPr>
                <w:rFonts w:ascii="Arial" w:hAnsi="Arial" w:cs="Arial"/>
                <w:color w:val="auto"/>
                <w:sz w:val="18"/>
                <w:szCs w:val="18"/>
                <w:lang w:val="es-MX"/>
              </w:rPr>
              <w:t>.</w:t>
            </w:r>
            <w:r w:rsidRPr="000B3909">
              <w:rPr>
                <w:rFonts w:ascii="Arial" w:hAnsi="Arial" w:cs="Arial"/>
                <w:color w:val="auto"/>
                <w:sz w:val="18"/>
                <w:szCs w:val="18"/>
                <w:lang w:val="es-MX"/>
              </w:rPr>
              <w:t>223</w:t>
            </w:r>
          </w:p>
        </w:tc>
        <w:tc>
          <w:tcPr>
            <w:tcW w:w="391"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502</w:t>
            </w:r>
            <w:r w:rsidR="001D75AB">
              <w:rPr>
                <w:rFonts w:ascii="Arial" w:hAnsi="Arial" w:cs="Arial"/>
                <w:color w:val="auto"/>
                <w:sz w:val="18"/>
                <w:szCs w:val="18"/>
                <w:lang w:val="es-MX"/>
              </w:rPr>
              <w:t>,</w:t>
            </w:r>
            <w:r w:rsidRPr="000B3909">
              <w:rPr>
                <w:rFonts w:ascii="Arial" w:hAnsi="Arial" w:cs="Arial"/>
                <w:color w:val="auto"/>
                <w:sz w:val="18"/>
                <w:szCs w:val="18"/>
                <w:lang w:val="es-MX"/>
              </w:rPr>
              <w:t>0</w:t>
            </w:r>
          </w:p>
        </w:tc>
        <w:tc>
          <w:tcPr>
            <w:tcW w:w="443" w:type="pct"/>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688</w:t>
            </w:r>
          </w:p>
        </w:tc>
        <w:tc>
          <w:tcPr>
            <w:tcW w:w="391" w:type="pct"/>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153</w:t>
            </w:r>
            <w:r w:rsidR="001D75AB">
              <w:rPr>
                <w:rFonts w:ascii="Arial" w:hAnsi="Arial" w:cs="Arial"/>
                <w:color w:val="auto"/>
                <w:sz w:val="18"/>
                <w:szCs w:val="18"/>
                <w:lang w:val="es-MX"/>
              </w:rPr>
              <w:t>,</w:t>
            </w:r>
            <w:r w:rsidRPr="000B3909">
              <w:rPr>
                <w:rFonts w:ascii="Arial" w:hAnsi="Arial" w:cs="Arial"/>
                <w:color w:val="auto"/>
                <w:sz w:val="18"/>
                <w:szCs w:val="18"/>
                <w:lang w:val="es-MX"/>
              </w:rPr>
              <w:t>0</w:t>
            </w:r>
          </w:p>
        </w:tc>
      </w:tr>
      <w:tr w:rsidR="00475BBF" w:rsidRPr="000B3909" w:rsidTr="001D75AB">
        <w:trPr>
          <w:cnfStyle w:val="000000100000" w:firstRow="0" w:lastRow="0" w:firstColumn="0" w:lastColumn="0" w:oddVBand="0" w:evenVBand="0" w:oddHBand="1" w:evenHBand="0" w:firstRowFirstColumn="0" w:firstRowLastColumn="0" w:lastRowFirstColumn="0" w:lastRowLastColumn="0"/>
          <w:trHeight w:val="328"/>
          <w:jc w:val="center"/>
        </w:trPr>
        <w:tc>
          <w:tcPr>
            <w:cnfStyle w:val="001000000000" w:firstRow="0" w:lastRow="0" w:firstColumn="1" w:lastColumn="0" w:oddVBand="0" w:evenVBand="0" w:oddHBand="0" w:evenHBand="0" w:firstRowFirstColumn="0" w:firstRowLastColumn="0" w:lastRowFirstColumn="0" w:lastRowLastColumn="0"/>
            <w:tcW w:w="694" w:type="pct"/>
            <w:tcBorders>
              <w:bottom w:val="nil"/>
            </w:tcBorders>
            <w:shd w:val="clear" w:color="auto" w:fill="FFFFFF" w:themeFill="background1"/>
          </w:tcPr>
          <w:p w:rsidR="00475BBF" w:rsidRPr="000B3909" w:rsidRDefault="00475BBF" w:rsidP="00475BBF">
            <w:pPr>
              <w:spacing w:line="360" w:lineRule="auto"/>
              <w:jc w:val="both"/>
              <w:rPr>
                <w:rFonts w:ascii="Arial" w:hAnsi="Arial" w:cs="Arial"/>
                <w:b w:val="0"/>
                <w:color w:val="auto"/>
                <w:sz w:val="18"/>
                <w:szCs w:val="18"/>
                <w:lang w:val="es-MX"/>
              </w:rPr>
            </w:pPr>
            <w:r w:rsidRPr="000B3909">
              <w:rPr>
                <w:rFonts w:ascii="Arial" w:hAnsi="Arial" w:cs="Arial"/>
                <w:b w:val="0"/>
                <w:color w:val="auto"/>
                <w:sz w:val="18"/>
                <w:szCs w:val="18"/>
                <w:lang w:val="es-MX"/>
              </w:rPr>
              <w:t>San José</w:t>
            </w:r>
          </w:p>
        </w:tc>
        <w:tc>
          <w:tcPr>
            <w:tcW w:w="449" w:type="pct"/>
            <w:tcBorders>
              <w:bottom w:val="nil"/>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771</w:t>
            </w:r>
          </w:p>
        </w:tc>
        <w:tc>
          <w:tcPr>
            <w:tcW w:w="391" w:type="pct"/>
            <w:tcBorders>
              <w:bottom w:val="nil"/>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50</w:t>
            </w:r>
            <w:r w:rsidR="001D75AB">
              <w:rPr>
                <w:rFonts w:ascii="Arial" w:hAnsi="Arial" w:cs="Arial"/>
                <w:color w:val="auto"/>
                <w:sz w:val="18"/>
                <w:szCs w:val="18"/>
                <w:lang w:val="es-MX"/>
              </w:rPr>
              <w:t>,</w:t>
            </w:r>
            <w:r w:rsidRPr="000B3909">
              <w:rPr>
                <w:rFonts w:ascii="Arial" w:hAnsi="Arial" w:cs="Arial"/>
                <w:color w:val="auto"/>
                <w:sz w:val="18"/>
                <w:szCs w:val="18"/>
                <w:lang w:val="es-MX"/>
              </w:rPr>
              <w:t>4</w:t>
            </w:r>
          </w:p>
        </w:tc>
        <w:tc>
          <w:tcPr>
            <w:tcW w:w="449" w:type="pct"/>
            <w:tcBorders>
              <w:bottom w:val="nil"/>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w:t>
            </w:r>
            <w:r w:rsidR="001D75AB">
              <w:rPr>
                <w:rFonts w:ascii="Arial" w:hAnsi="Arial" w:cs="Arial"/>
                <w:color w:val="auto"/>
                <w:sz w:val="18"/>
                <w:szCs w:val="18"/>
                <w:lang w:val="es-MX"/>
              </w:rPr>
              <w:t>.</w:t>
            </w:r>
            <w:r w:rsidRPr="000B3909">
              <w:rPr>
                <w:rFonts w:ascii="Arial" w:hAnsi="Arial" w:cs="Arial"/>
                <w:color w:val="auto"/>
                <w:sz w:val="18"/>
                <w:szCs w:val="18"/>
                <w:lang w:val="es-MX"/>
              </w:rPr>
              <w:t>193</w:t>
            </w:r>
          </w:p>
        </w:tc>
        <w:tc>
          <w:tcPr>
            <w:tcW w:w="450" w:type="pct"/>
            <w:tcBorders>
              <w:bottom w:val="nil"/>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74</w:t>
            </w:r>
            <w:r w:rsidR="001D75AB">
              <w:rPr>
                <w:rFonts w:ascii="Arial" w:hAnsi="Arial" w:cs="Arial"/>
                <w:color w:val="auto"/>
                <w:sz w:val="18"/>
                <w:szCs w:val="18"/>
                <w:lang w:val="es-MX"/>
              </w:rPr>
              <w:t>,</w:t>
            </w:r>
            <w:r w:rsidRPr="000B3909">
              <w:rPr>
                <w:rFonts w:ascii="Arial" w:hAnsi="Arial" w:cs="Arial"/>
                <w:color w:val="auto"/>
                <w:sz w:val="18"/>
                <w:szCs w:val="18"/>
                <w:lang w:val="es-MX"/>
              </w:rPr>
              <w:t>9</w:t>
            </w:r>
          </w:p>
        </w:tc>
        <w:tc>
          <w:tcPr>
            <w:tcW w:w="449" w:type="pct"/>
            <w:tcBorders>
              <w:bottom w:val="nil"/>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4</w:t>
            </w:r>
            <w:r w:rsidR="001D75AB">
              <w:rPr>
                <w:rFonts w:ascii="Arial" w:hAnsi="Arial" w:cs="Arial"/>
                <w:color w:val="auto"/>
                <w:sz w:val="18"/>
                <w:szCs w:val="18"/>
                <w:lang w:val="es-MX"/>
              </w:rPr>
              <w:t>.</w:t>
            </w:r>
            <w:r w:rsidRPr="000B3909">
              <w:rPr>
                <w:rFonts w:ascii="Arial" w:hAnsi="Arial" w:cs="Arial"/>
                <w:color w:val="auto"/>
                <w:sz w:val="18"/>
                <w:szCs w:val="18"/>
                <w:lang w:val="es-MX"/>
              </w:rPr>
              <w:t>579</w:t>
            </w:r>
          </w:p>
        </w:tc>
        <w:tc>
          <w:tcPr>
            <w:tcW w:w="450" w:type="pct"/>
            <w:tcBorders>
              <w:bottom w:val="nil"/>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284</w:t>
            </w:r>
            <w:r w:rsidR="001D75AB">
              <w:rPr>
                <w:rFonts w:ascii="Arial" w:hAnsi="Arial" w:cs="Arial"/>
                <w:color w:val="auto"/>
                <w:sz w:val="18"/>
                <w:szCs w:val="18"/>
                <w:lang w:val="es-MX"/>
              </w:rPr>
              <w:t>,</w:t>
            </w:r>
            <w:r w:rsidRPr="000B3909">
              <w:rPr>
                <w:rFonts w:ascii="Arial" w:hAnsi="Arial" w:cs="Arial"/>
                <w:color w:val="auto"/>
                <w:sz w:val="18"/>
                <w:szCs w:val="18"/>
                <w:lang w:val="es-MX"/>
              </w:rPr>
              <w:t>9</w:t>
            </w:r>
          </w:p>
        </w:tc>
        <w:tc>
          <w:tcPr>
            <w:tcW w:w="443" w:type="pct"/>
            <w:tcBorders>
              <w:bottom w:val="nil"/>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526</w:t>
            </w:r>
          </w:p>
        </w:tc>
        <w:tc>
          <w:tcPr>
            <w:tcW w:w="391" w:type="pct"/>
            <w:tcBorders>
              <w:bottom w:val="nil"/>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32</w:t>
            </w:r>
            <w:r w:rsidR="001D75AB">
              <w:rPr>
                <w:rFonts w:ascii="Arial" w:hAnsi="Arial" w:cs="Arial"/>
                <w:color w:val="auto"/>
                <w:sz w:val="18"/>
                <w:szCs w:val="18"/>
                <w:lang w:val="es-MX"/>
              </w:rPr>
              <w:t>,</w:t>
            </w:r>
            <w:r w:rsidRPr="000B3909">
              <w:rPr>
                <w:rFonts w:ascii="Arial" w:hAnsi="Arial" w:cs="Arial"/>
                <w:color w:val="auto"/>
                <w:sz w:val="18"/>
                <w:szCs w:val="18"/>
                <w:lang w:val="es-MX"/>
              </w:rPr>
              <w:t>4</w:t>
            </w:r>
          </w:p>
        </w:tc>
        <w:tc>
          <w:tcPr>
            <w:tcW w:w="443" w:type="pct"/>
            <w:tcBorders>
              <w:bottom w:val="nil"/>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170</w:t>
            </w:r>
          </w:p>
        </w:tc>
        <w:tc>
          <w:tcPr>
            <w:tcW w:w="391" w:type="pct"/>
            <w:tcBorders>
              <w:bottom w:val="nil"/>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10</w:t>
            </w:r>
            <w:r w:rsidR="001D75AB">
              <w:rPr>
                <w:rFonts w:ascii="Arial" w:hAnsi="Arial" w:cs="Arial"/>
                <w:color w:val="auto"/>
                <w:sz w:val="18"/>
                <w:szCs w:val="18"/>
                <w:lang w:val="es-MX"/>
              </w:rPr>
              <w:t>,</w:t>
            </w:r>
            <w:r w:rsidRPr="000B3909">
              <w:rPr>
                <w:rFonts w:ascii="Arial" w:hAnsi="Arial" w:cs="Arial"/>
                <w:color w:val="auto"/>
                <w:sz w:val="18"/>
                <w:szCs w:val="18"/>
                <w:lang w:val="es-MX"/>
              </w:rPr>
              <w:t>4</w:t>
            </w:r>
          </w:p>
        </w:tc>
      </w:tr>
      <w:tr w:rsidR="00475BBF" w:rsidRPr="000B3909" w:rsidTr="001D75AB">
        <w:trPr>
          <w:trHeight w:val="378"/>
          <w:jc w:val="center"/>
        </w:trPr>
        <w:tc>
          <w:tcPr>
            <w:cnfStyle w:val="001000000000" w:firstRow="0" w:lastRow="0" w:firstColumn="1" w:lastColumn="0" w:oddVBand="0" w:evenVBand="0" w:oddHBand="0" w:evenHBand="0" w:firstRowFirstColumn="0" w:firstRowLastColumn="0" w:lastRowFirstColumn="0" w:lastRowLastColumn="0"/>
            <w:tcW w:w="694" w:type="pct"/>
            <w:tcBorders>
              <w:top w:val="nil"/>
              <w:bottom w:val="nil"/>
            </w:tcBorders>
            <w:shd w:val="clear" w:color="auto" w:fill="FFFFFF" w:themeFill="background1"/>
          </w:tcPr>
          <w:p w:rsidR="00475BBF" w:rsidRPr="000B3909" w:rsidRDefault="00475BBF" w:rsidP="00475BBF">
            <w:pPr>
              <w:spacing w:line="360" w:lineRule="auto"/>
              <w:jc w:val="both"/>
              <w:rPr>
                <w:rFonts w:ascii="Arial" w:hAnsi="Arial" w:cs="Arial"/>
                <w:b w:val="0"/>
                <w:color w:val="auto"/>
                <w:sz w:val="18"/>
                <w:szCs w:val="18"/>
                <w:lang w:val="es-MX"/>
              </w:rPr>
            </w:pPr>
            <w:r w:rsidRPr="000B3909">
              <w:rPr>
                <w:rFonts w:ascii="Arial" w:hAnsi="Arial" w:cs="Arial"/>
                <w:b w:val="0"/>
                <w:color w:val="auto"/>
                <w:sz w:val="18"/>
                <w:szCs w:val="18"/>
                <w:lang w:val="es-MX"/>
              </w:rPr>
              <w:t>Heredia</w:t>
            </w:r>
          </w:p>
        </w:tc>
        <w:tc>
          <w:tcPr>
            <w:tcW w:w="449" w:type="pct"/>
            <w:tcBorders>
              <w:top w:val="nil"/>
              <w:bottom w:val="nil"/>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896</w:t>
            </w:r>
          </w:p>
        </w:tc>
        <w:tc>
          <w:tcPr>
            <w:tcW w:w="391" w:type="pct"/>
            <w:tcBorders>
              <w:top w:val="nil"/>
              <w:bottom w:val="nil"/>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189</w:t>
            </w:r>
            <w:r w:rsidR="001D75AB">
              <w:rPr>
                <w:rFonts w:ascii="Arial" w:hAnsi="Arial" w:cs="Arial"/>
                <w:color w:val="auto"/>
                <w:sz w:val="18"/>
                <w:szCs w:val="18"/>
                <w:lang w:val="es-MX"/>
              </w:rPr>
              <w:t>,</w:t>
            </w:r>
            <w:r w:rsidRPr="000B3909">
              <w:rPr>
                <w:rFonts w:ascii="Arial" w:hAnsi="Arial" w:cs="Arial"/>
                <w:color w:val="auto"/>
                <w:sz w:val="18"/>
                <w:szCs w:val="18"/>
                <w:lang w:val="es-MX"/>
              </w:rPr>
              <w:t>6</w:t>
            </w:r>
          </w:p>
        </w:tc>
        <w:tc>
          <w:tcPr>
            <w:tcW w:w="449" w:type="pct"/>
            <w:tcBorders>
              <w:top w:val="nil"/>
              <w:bottom w:val="nil"/>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378</w:t>
            </w:r>
          </w:p>
        </w:tc>
        <w:tc>
          <w:tcPr>
            <w:tcW w:w="450" w:type="pct"/>
            <w:tcBorders>
              <w:top w:val="nil"/>
              <w:bottom w:val="nil"/>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77</w:t>
            </w:r>
            <w:r w:rsidR="001D75AB">
              <w:rPr>
                <w:rFonts w:ascii="Arial" w:hAnsi="Arial" w:cs="Arial"/>
                <w:color w:val="auto"/>
                <w:sz w:val="18"/>
                <w:szCs w:val="18"/>
                <w:lang w:val="es-MX"/>
              </w:rPr>
              <w:t>,</w:t>
            </w:r>
            <w:r w:rsidRPr="000B3909">
              <w:rPr>
                <w:rFonts w:ascii="Arial" w:hAnsi="Arial" w:cs="Arial"/>
                <w:color w:val="auto"/>
                <w:sz w:val="18"/>
                <w:szCs w:val="18"/>
                <w:lang w:val="es-MX"/>
              </w:rPr>
              <w:t>1</w:t>
            </w:r>
          </w:p>
        </w:tc>
        <w:tc>
          <w:tcPr>
            <w:tcW w:w="449" w:type="pct"/>
            <w:tcBorders>
              <w:top w:val="nil"/>
              <w:bottom w:val="nil"/>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w:t>
            </w:r>
            <w:r w:rsidR="001D75AB">
              <w:rPr>
                <w:rFonts w:ascii="Arial" w:hAnsi="Arial" w:cs="Arial"/>
                <w:color w:val="auto"/>
                <w:sz w:val="18"/>
                <w:szCs w:val="18"/>
                <w:lang w:val="es-MX"/>
              </w:rPr>
              <w:t>.</w:t>
            </w:r>
            <w:r w:rsidRPr="000B3909">
              <w:rPr>
                <w:rFonts w:ascii="Arial" w:hAnsi="Arial" w:cs="Arial"/>
                <w:color w:val="auto"/>
                <w:sz w:val="18"/>
                <w:szCs w:val="18"/>
                <w:lang w:val="es-MX"/>
              </w:rPr>
              <w:t>091</w:t>
            </w:r>
          </w:p>
        </w:tc>
        <w:tc>
          <w:tcPr>
            <w:tcW w:w="450" w:type="pct"/>
            <w:tcBorders>
              <w:top w:val="nil"/>
              <w:bottom w:val="nil"/>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219</w:t>
            </w:r>
            <w:r w:rsidR="001D75AB">
              <w:rPr>
                <w:rFonts w:ascii="Arial" w:hAnsi="Arial" w:cs="Arial"/>
                <w:color w:val="auto"/>
                <w:sz w:val="18"/>
                <w:szCs w:val="18"/>
                <w:lang w:val="es-MX"/>
              </w:rPr>
              <w:t>,</w:t>
            </w:r>
            <w:r w:rsidRPr="000B3909">
              <w:rPr>
                <w:rFonts w:ascii="Arial" w:hAnsi="Arial" w:cs="Arial"/>
                <w:color w:val="auto"/>
                <w:sz w:val="18"/>
                <w:szCs w:val="18"/>
                <w:lang w:val="es-MX"/>
              </w:rPr>
              <w:t>2</w:t>
            </w:r>
          </w:p>
        </w:tc>
        <w:tc>
          <w:tcPr>
            <w:tcW w:w="443" w:type="pct"/>
            <w:tcBorders>
              <w:top w:val="nil"/>
              <w:bottom w:val="nil"/>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413</w:t>
            </w:r>
          </w:p>
        </w:tc>
        <w:tc>
          <w:tcPr>
            <w:tcW w:w="391" w:type="pct"/>
            <w:tcBorders>
              <w:top w:val="nil"/>
              <w:bottom w:val="nil"/>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81</w:t>
            </w:r>
            <w:r w:rsidR="001D75AB">
              <w:rPr>
                <w:rFonts w:ascii="Arial" w:hAnsi="Arial" w:cs="Arial"/>
                <w:color w:val="auto"/>
                <w:sz w:val="18"/>
                <w:szCs w:val="18"/>
                <w:lang w:val="es-MX"/>
              </w:rPr>
              <w:t>,</w:t>
            </w:r>
            <w:r w:rsidRPr="000B3909">
              <w:rPr>
                <w:rFonts w:ascii="Arial" w:hAnsi="Arial" w:cs="Arial"/>
                <w:color w:val="auto"/>
                <w:sz w:val="18"/>
                <w:szCs w:val="18"/>
                <w:lang w:val="es-MX"/>
              </w:rPr>
              <w:t>8</w:t>
            </w:r>
          </w:p>
        </w:tc>
        <w:tc>
          <w:tcPr>
            <w:tcW w:w="443" w:type="pct"/>
            <w:tcBorders>
              <w:top w:val="nil"/>
              <w:bottom w:val="nil"/>
            </w:tcBorders>
            <w:shd w:val="clear" w:color="auto" w:fill="FFFFFF" w:themeFill="background1"/>
          </w:tcPr>
          <w:p w:rsidR="00475BBF" w:rsidRPr="000B3909"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788</w:t>
            </w:r>
          </w:p>
        </w:tc>
        <w:tc>
          <w:tcPr>
            <w:tcW w:w="391" w:type="pct"/>
            <w:tcBorders>
              <w:top w:val="nil"/>
              <w:bottom w:val="nil"/>
            </w:tcBorders>
            <w:shd w:val="clear" w:color="auto" w:fill="FFFFFF" w:themeFill="background1"/>
          </w:tcPr>
          <w:p w:rsidR="00475BBF" w:rsidRPr="000B3909" w:rsidRDefault="00475BBF" w:rsidP="001D75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153</w:t>
            </w:r>
            <w:r w:rsidR="001D75AB">
              <w:rPr>
                <w:rFonts w:ascii="Arial" w:hAnsi="Arial" w:cs="Arial"/>
                <w:color w:val="auto"/>
                <w:sz w:val="18"/>
                <w:szCs w:val="18"/>
                <w:lang w:val="es-MX"/>
              </w:rPr>
              <w:t>,</w:t>
            </w:r>
            <w:r w:rsidRPr="000B3909">
              <w:rPr>
                <w:rFonts w:ascii="Arial" w:hAnsi="Arial" w:cs="Arial"/>
                <w:color w:val="auto"/>
                <w:sz w:val="18"/>
                <w:szCs w:val="18"/>
                <w:lang w:val="es-MX"/>
              </w:rPr>
              <w:t>9</w:t>
            </w:r>
          </w:p>
        </w:tc>
      </w:tr>
      <w:tr w:rsidR="00475BBF" w:rsidRPr="000B3909" w:rsidTr="001D75AB">
        <w:trPr>
          <w:cnfStyle w:val="000000100000" w:firstRow="0" w:lastRow="0" w:firstColumn="0" w:lastColumn="0" w:oddVBand="0" w:evenVBand="0" w:oddHBand="1" w:evenHBand="0" w:firstRowFirstColumn="0" w:firstRowLastColumn="0" w:lastRowFirstColumn="0" w:lastRowLastColumn="0"/>
          <w:trHeight w:val="226"/>
          <w:jc w:val="center"/>
        </w:trPr>
        <w:tc>
          <w:tcPr>
            <w:cnfStyle w:val="001000000000" w:firstRow="0" w:lastRow="0" w:firstColumn="1" w:lastColumn="0" w:oddVBand="0" w:evenVBand="0" w:oddHBand="0" w:evenHBand="0" w:firstRowFirstColumn="0" w:firstRowLastColumn="0" w:lastRowFirstColumn="0" w:lastRowLastColumn="0"/>
            <w:tcW w:w="694" w:type="pct"/>
            <w:tcBorders>
              <w:top w:val="nil"/>
              <w:bottom w:val="single" w:sz="4" w:space="0" w:color="auto"/>
            </w:tcBorders>
            <w:shd w:val="clear" w:color="auto" w:fill="FFFFFF" w:themeFill="background1"/>
          </w:tcPr>
          <w:p w:rsidR="00475BBF" w:rsidRPr="000B3909" w:rsidRDefault="00475BBF" w:rsidP="00475BBF">
            <w:pPr>
              <w:spacing w:line="360" w:lineRule="auto"/>
              <w:jc w:val="both"/>
              <w:rPr>
                <w:rFonts w:ascii="Arial" w:hAnsi="Arial" w:cs="Arial"/>
                <w:b w:val="0"/>
                <w:color w:val="auto"/>
                <w:sz w:val="18"/>
                <w:szCs w:val="18"/>
                <w:lang w:val="es-MX"/>
              </w:rPr>
            </w:pPr>
            <w:r w:rsidRPr="000B3909">
              <w:rPr>
                <w:rFonts w:ascii="Arial" w:hAnsi="Arial" w:cs="Arial"/>
                <w:b w:val="0"/>
                <w:color w:val="auto"/>
                <w:sz w:val="18"/>
                <w:szCs w:val="18"/>
                <w:lang w:val="es-MX"/>
              </w:rPr>
              <w:t>Cartago</w:t>
            </w:r>
          </w:p>
        </w:tc>
        <w:tc>
          <w:tcPr>
            <w:tcW w:w="449" w:type="pct"/>
            <w:tcBorders>
              <w:top w:val="nil"/>
              <w:bottom w:val="single" w:sz="4"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93</w:t>
            </w:r>
          </w:p>
        </w:tc>
        <w:tc>
          <w:tcPr>
            <w:tcW w:w="391" w:type="pct"/>
            <w:tcBorders>
              <w:top w:val="nil"/>
              <w:bottom w:val="single" w:sz="4"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17.4</w:t>
            </w:r>
          </w:p>
        </w:tc>
        <w:tc>
          <w:tcPr>
            <w:tcW w:w="449" w:type="pct"/>
            <w:tcBorders>
              <w:top w:val="nil"/>
              <w:bottom w:val="single" w:sz="4"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68</w:t>
            </w:r>
          </w:p>
        </w:tc>
        <w:tc>
          <w:tcPr>
            <w:tcW w:w="450" w:type="pct"/>
            <w:tcBorders>
              <w:top w:val="nil"/>
              <w:bottom w:val="single" w:sz="4" w:space="0" w:color="auto"/>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13</w:t>
            </w:r>
            <w:r w:rsidR="001D75AB">
              <w:rPr>
                <w:rFonts w:ascii="Arial" w:hAnsi="Arial" w:cs="Arial"/>
                <w:color w:val="auto"/>
                <w:sz w:val="18"/>
                <w:szCs w:val="18"/>
                <w:lang w:val="es-MX"/>
              </w:rPr>
              <w:t>,</w:t>
            </w:r>
            <w:r w:rsidRPr="000B3909">
              <w:rPr>
                <w:rFonts w:ascii="Arial" w:hAnsi="Arial" w:cs="Arial"/>
                <w:color w:val="auto"/>
                <w:sz w:val="18"/>
                <w:szCs w:val="18"/>
                <w:lang w:val="es-MX"/>
              </w:rPr>
              <w:t>0</w:t>
            </w:r>
          </w:p>
        </w:tc>
        <w:tc>
          <w:tcPr>
            <w:tcW w:w="449" w:type="pct"/>
            <w:tcBorders>
              <w:top w:val="nil"/>
              <w:bottom w:val="single" w:sz="4"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84</w:t>
            </w:r>
          </w:p>
        </w:tc>
        <w:tc>
          <w:tcPr>
            <w:tcW w:w="450" w:type="pct"/>
            <w:tcBorders>
              <w:top w:val="nil"/>
              <w:bottom w:val="single" w:sz="4" w:space="0" w:color="auto"/>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16</w:t>
            </w:r>
            <w:r w:rsidR="001D75AB">
              <w:rPr>
                <w:rFonts w:ascii="Arial" w:hAnsi="Arial" w:cs="Arial"/>
                <w:color w:val="auto"/>
                <w:sz w:val="18"/>
                <w:szCs w:val="18"/>
                <w:lang w:val="es-MX"/>
              </w:rPr>
              <w:t>,</w:t>
            </w:r>
            <w:r w:rsidRPr="000B3909">
              <w:rPr>
                <w:rFonts w:ascii="Arial" w:hAnsi="Arial" w:cs="Arial"/>
                <w:color w:val="auto"/>
                <w:sz w:val="18"/>
                <w:szCs w:val="18"/>
                <w:lang w:val="es-MX"/>
              </w:rPr>
              <w:t>0</w:t>
            </w:r>
          </w:p>
        </w:tc>
        <w:tc>
          <w:tcPr>
            <w:tcW w:w="443" w:type="pct"/>
            <w:tcBorders>
              <w:top w:val="nil"/>
              <w:bottom w:val="single" w:sz="4"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86</w:t>
            </w:r>
          </w:p>
        </w:tc>
        <w:tc>
          <w:tcPr>
            <w:tcW w:w="391" w:type="pct"/>
            <w:tcBorders>
              <w:top w:val="nil"/>
              <w:bottom w:val="single" w:sz="4" w:space="0" w:color="auto"/>
            </w:tcBorders>
            <w:shd w:val="clear" w:color="auto" w:fill="FFFFFF" w:themeFill="background1"/>
          </w:tcPr>
          <w:p w:rsidR="00475BBF" w:rsidRPr="000B3909" w:rsidRDefault="00475BBF" w:rsidP="001D75A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16</w:t>
            </w:r>
            <w:r w:rsidR="001D75AB">
              <w:rPr>
                <w:rFonts w:ascii="Arial" w:hAnsi="Arial" w:cs="Arial"/>
                <w:color w:val="auto"/>
                <w:sz w:val="18"/>
                <w:szCs w:val="18"/>
                <w:lang w:val="es-MX"/>
              </w:rPr>
              <w:t>,</w:t>
            </w:r>
            <w:r w:rsidRPr="000B3909">
              <w:rPr>
                <w:rFonts w:ascii="Arial" w:hAnsi="Arial" w:cs="Arial"/>
                <w:color w:val="auto"/>
                <w:sz w:val="18"/>
                <w:szCs w:val="18"/>
                <w:lang w:val="es-MX"/>
              </w:rPr>
              <w:t>2</w:t>
            </w:r>
          </w:p>
        </w:tc>
        <w:tc>
          <w:tcPr>
            <w:tcW w:w="443" w:type="pct"/>
            <w:tcBorders>
              <w:top w:val="nil"/>
              <w:bottom w:val="single" w:sz="4"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75</w:t>
            </w:r>
          </w:p>
        </w:tc>
        <w:tc>
          <w:tcPr>
            <w:tcW w:w="391" w:type="pct"/>
            <w:tcBorders>
              <w:top w:val="nil"/>
              <w:bottom w:val="single" w:sz="4" w:space="0" w:color="auto"/>
            </w:tcBorders>
            <w:shd w:val="clear" w:color="auto" w:fill="FFFFFF" w:themeFill="background1"/>
          </w:tcPr>
          <w:p w:rsidR="00475BBF" w:rsidRPr="000B3909"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8"/>
                <w:szCs w:val="18"/>
                <w:lang w:val="es-MX"/>
              </w:rPr>
            </w:pPr>
            <w:r w:rsidRPr="000B3909">
              <w:rPr>
                <w:rFonts w:ascii="Arial" w:hAnsi="Arial" w:cs="Arial"/>
                <w:color w:val="auto"/>
                <w:sz w:val="18"/>
                <w:szCs w:val="18"/>
                <w:lang w:val="es-MX"/>
              </w:rPr>
              <w:t>14,1</w:t>
            </w:r>
          </w:p>
        </w:tc>
      </w:tr>
    </w:tbl>
    <w:p w:rsidR="00475BBF" w:rsidRPr="00976B84" w:rsidRDefault="00475BBF" w:rsidP="006D1D00">
      <w:pPr>
        <w:jc w:val="right"/>
        <w:rPr>
          <w:rFonts w:ascii="Arial" w:hAnsi="Arial" w:cs="Arial"/>
          <w:sz w:val="20"/>
          <w:szCs w:val="20"/>
          <w:lang w:val="es-MX"/>
        </w:rPr>
      </w:pPr>
      <w:r w:rsidRPr="006D1D00">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 xml:space="preserve">Dirección de Vigilancia de la Salud. </w:t>
      </w:r>
      <w:r w:rsidRPr="00976B84">
        <w:rPr>
          <w:rFonts w:ascii="Arial" w:hAnsi="Arial" w:cs="Arial"/>
          <w:sz w:val="20"/>
          <w:szCs w:val="20"/>
          <w:lang w:val="es-MX"/>
        </w:rPr>
        <w:t>Ministerio de Salud</w:t>
      </w:r>
      <w:r w:rsidR="006D1D00">
        <w:rPr>
          <w:rFonts w:ascii="Arial" w:hAnsi="Arial" w:cs="Arial"/>
          <w:sz w:val="20"/>
          <w:szCs w:val="20"/>
          <w:lang w:val="es-MX"/>
        </w:rPr>
        <w:t>, 2019.</w:t>
      </w:r>
    </w:p>
    <w:p w:rsidR="00475BBF" w:rsidRDefault="00475BBF" w:rsidP="00475BBF">
      <w:pPr>
        <w:spacing w:line="360" w:lineRule="auto"/>
        <w:jc w:val="both"/>
        <w:rPr>
          <w:rFonts w:ascii="Arial" w:hAnsi="Arial" w:cs="Arial"/>
          <w:lang w:val="es-MX"/>
        </w:rPr>
      </w:pPr>
    </w:p>
    <w:p w:rsidR="00475BBF" w:rsidRDefault="00475BBF" w:rsidP="00741022">
      <w:pPr>
        <w:spacing w:after="240" w:line="276" w:lineRule="auto"/>
        <w:jc w:val="both"/>
        <w:rPr>
          <w:rFonts w:ascii="Arial" w:hAnsi="Arial" w:cs="Arial"/>
          <w:lang w:val="es-MX"/>
        </w:rPr>
      </w:pPr>
      <w:r>
        <w:rPr>
          <w:rFonts w:ascii="Arial" w:hAnsi="Arial" w:cs="Arial"/>
          <w:lang w:val="es-MX"/>
        </w:rPr>
        <w:t>Durante el año 2018 se registraron 2</w:t>
      </w:r>
      <w:r w:rsidR="00741022">
        <w:rPr>
          <w:rFonts w:ascii="Arial" w:hAnsi="Arial" w:cs="Arial"/>
          <w:lang w:val="es-MX"/>
        </w:rPr>
        <w:t>.</w:t>
      </w:r>
      <w:r>
        <w:rPr>
          <w:rFonts w:ascii="Arial" w:hAnsi="Arial" w:cs="Arial"/>
          <w:lang w:val="es-MX"/>
        </w:rPr>
        <w:t xml:space="preserve">735 casos, lo que representa una disminución de casos del 51,7%   comparado con los casos del año 2017.  </w:t>
      </w:r>
      <w:r w:rsidR="00741022">
        <w:rPr>
          <w:rFonts w:ascii="Arial" w:hAnsi="Arial" w:cs="Arial"/>
          <w:lang w:val="es-MX"/>
        </w:rPr>
        <w:t>Cuadro 2</w:t>
      </w:r>
      <w:r w:rsidR="00472E6D">
        <w:rPr>
          <w:rFonts w:ascii="Arial" w:hAnsi="Arial" w:cs="Arial"/>
          <w:lang w:val="es-MX"/>
        </w:rPr>
        <w:t>4</w:t>
      </w:r>
      <w:r w:rsidR="00741022">
        <w:rPr>
          <w:rFonts w:ascii="Arial" w:hAnsi="Arial" w:cs="Arial"/>
          <w:lang w:val="es-MX"/>
        </w:rPr>
        <w:t>.</w:t>
      </w:r>
    </w:p>
    <w:p w:rsidR="00741022" w:rsidRDefault="00741022" w:rsidP="00741022">
      <w:pPr>
        <w:spacing w:line="276" w:lineRule="auto"/>
        <w:jc w:val="both"/>
        <w:rPr>
          <w:rFonts w:ascii="Arial" w:hAnsi="Arial" w:cs="Arial"/>
          <w:lang w:val="es-MX"/>
        </w:rPr>
      </w:pPr>
    </w:p>
    <w:p w:rsidR="00475BBF" w:rsidRDefault="00475BBF" w:rsidP="00741022">
      <w:pPr>
        <w:spacing w:after="240" w:line="276" w:lineRule="auto"/>
        <w:jc w:val="both"/>
        <w:rPr>
          <w:rFonts w:ascii="Arial" w:hAnsi="Arial" w:cs="Arial"/>
          <w:lang w:val="es-MX"/>
        </w:rPr>
      </w:pPr>
      <w:r>
        <w:rPr>
          <w:rFonts w:ascii="Arial" w:hAnsi="Arial" w:cs="Arial"/>
          <w:lang w:val="es-MX"/>
        </w:rPr>
        <w:t xml:space="preserve">En general se observó una disminución de casos en todas las </w:t>
      </w:r>
      <w:r w:rsidR="00741022">
        <w:rPr>
          <w:rFonts w:ascii="Arial" w:hAnsi="Arial" w:cs="Arial"/>
          <w:lang w:val="es-MX"/>
        </w:rPr>
        <w:t>r</w:t>
      </w:r>
      <w:r>
        <w:rPr>
          <w:rFonts w:ascii="Arial" w:hAnsi="Arial" w:cs="Arial"/>
          <w:lang w:val="es-MX"/>
        </w:rPr>
        <w:t xml:space="preserve">egiones de </w:t>
      </w:r>
      <w:r w:rsidR="00741022">
        <w:rPr>
          <w:rFonts w:ascii="Arial" w:hAnsi="Arial" w:cs="Arial"/>
          <w:lang w:val="es-MX"/>
        </w:rPr>
        <w:t>s</w:t>
      </w:r>
      <w:r>
        <w:rPr>
          <w:rFonts w:ascii="Arial" w:hAnsi="Arial" w:cs="Arial"/>
          <w:lang w:val="es-MX"/>
        </w:rPr>
        <w:t>alud del país.</w:t>
      </w:r>
      <w:r w:rsidR="00891050">
        <w:rPr>
          <w:rFonts w:ascii="Arial" w:hAnsi="Arial" w:cs="Arial"/>
          <w:lang w:val="es-MX"/>
        </w:rPr>
        <w:t xml:space="preserve"> Cuadro 2</w:t>
      </w:r>
      <w:r w:rsidR="00472E6D">
        <w:rPr>
          <w:rFonts w:ascii="Arial" w:hAnsi="Arial" w:cs="Arial"/>
          <w:lang w:val="es-MX"/>
        </w:rPr>
        <w:t>5</w:t>
      </w:r>
      <w:r w:rsidR="00891050">
        <w:rPr>
          <w:rFonts w:ascii="Arial" w:hAnsi="Arial" w:cs="Arial"/>
          <w:lang w:val="es-MX"/>
        </w:rPr>
        <w:t>.</w:t>
      </w:r>
    </w:p>
    <w:p w:rsidR="00475BBF" w:rsidRDefault="00475BBF" w:rsidP="00475BBF">
      <w:pPr>
        <w:tabs>
          <w:tab w:val="left" w:pos="8789"/>
        </w:tabs>
        <w:spacing w:line="360" w:lineRule="auto"/>
        <w:jc w:val="both"/>
        <w:rPr>
          <w:rFonts w:ascii="Arial" w:hAnsi="Arial" w:cs="Arial"/>
          <w:lang w:val="es-MX"/>
        </w:rPr>
      </w:pPr>
      <w:r w:rsidRPr="00D12EE7">
        <w:rPr>
          <w:rFonts w:ascii="Arial" w:hAnsi="Arial" w:cs="Arial"/>
          <w:lang w:val="es-MX"/>
        </w:rPr>
        <w:lastRenderedPageBreak/>
        <w:t xml:space="preserve">La relación </w:t>
      </w:r>
      <w:r>
        <w:rPr>
          <w:rFonts w:ascii="Arial" w:hAnsi="Arial" w:cs="Arial"/>
          <w:lang w:val="es-MX"/>
        </w:rPr>
        <w:t>hombre-mujer</w:t>
      </w:r>
      <w:r w:rsidRPr="00D12EE7">
        <w:rPr>
          <w:rFonts w:ascii="Arial" w:hAnsi="Arial" w:cs="Arial"/>
          <w:lang w:val="es-MX"/>
        </w:rPr>
        <w:t xml:space="preserve"> </w:t>
      </w:r>
      <w:r w:rsidR="00741022">
        <w:rPr>
          <w:rFonts w:ascii="Arial" w:hAnsi="Arial" w:cs="Arial"/>
          <w:lang w:val="es-MX"/>
        </w:rPr>
        <w:t>fue</w:t>
      </w:r>
      <w:r w:rsidRPr="00D12EE7">
        <w:rPr>
          <w:rFonts w:ascii="Arial" w:hAnsi="Arial" w:cs="Arial"/>
          <w:lang w:val="es-MX"/>
        </w:rPr>
        <w:t xml:space="preserve"> 1:1</w:t>
      </w:r>
      <w:r w:rsidR="00741022">
        <w:rPr>
          <w:rFonts w:ascii="Arial" w:hAnsi="Arial" w:cs="Arial"/>
          <w:lang w:val="es-MX"/>
        </w:rPr>
        <w:t>;</w:t>
      </w:r>
      <w:r w:rsidRPr="00D12EE7">
        <w:rPr>
          <w:rFonts w:ascii="Arial" w:hAnsi="Arial" w:cs="Arial"/>
          <w:lang w:val="es-MX"/>
        </w:rPr>
        <w:t xml:space="preserve"> todos los grupos de edad </w:t>
      </w:r>
      <w:r w:rsidR="00741022">
        <w:rPr>
          <w:rFonts w:ascii="Arial" w:hAnsi="Arial" w:cs="Arial"/>
          <w:lang w:val="es-MX"/>
        </w:rPr>
        <w:t>fueron</w:t>
      </w:r>
      <w:r w:rsidRPr="00D12EE7">
        <w:rPr>
          <w:rFonts w:ascii="Arial" w:hAnsi="Arial" w:cs="Arial"/>
          <w:lang w:val="es-MX"/>
        </w:rPr>
        <w:t xml:space="preserve"> afectados, encontrándose la mayor cantidad de casos en el grupo d</w:t>
      </w:r>
      <w:r>
        <w:rPr>
          <w:rFonts w:ascii="Arial" w:hAnsi="Arial" w:cs="Arial"/>
          <w:lang w:val="es-MX"/>
        </w:rPr>
        <w:t xml:space="preserve">e 20 a 54 años, </w:t>
      </w:r>
      <w:r w:rsidR="00741022">
        <w:rPr>
          <w:rFonts w:ascii="Arial" w:hAnsi="Arial" w:cs="Arial"/>
          <w:lang w:val="es-MX"/>
        </w:rPr>
        <w:t>(</w:t>
      </w:r>
      <w:r>
        <w:rPr>
          <w:rFonts w:ascii="Arial" w:hAnsi="Arial" w:cs="Arial"/>
          <w:lang w:val="es-MX"/>
        </w:rPr>
        <w:t>63,</w:t>
      </w:r>
      <w:r w:rsidR="00741022">
        <w:rPr>
          <w:rFonts w:ascii="Arial" w:hAnsi="Arial" w:cs="Arial"/>
          <w:lang w:val="es-MX"/>
        </w:rPr>
        <w:t>7%).</w:t>
      </w:r>
    </w:p>
    <w:p w:rsidR="00475BBF" w:rsidRPr="006400B3" w:rsidRDefault="00475BBF" w:rsidP="00475BBF">
      <w:pPr>
        <w:spacing w:line="360" w:lineRule="auto"/>
        <w:jc w:val="both"/>
        <w:rPr>
          <w:rFonts w:ascii="Arial" w:hAnsi="Arial" w:cs="Arial"/>
          <w:lang w:val="es-MX"/>
        </w:rPr>
      </w:pPr>
    </w:p>
    <w:p w:rsidR="00741022" w:rsidRDefault="00741022" w:rsidP="00475BBF">
      <w:pPr>
        <w:jc w:val="center"/>
        <w:rPr>
          <w:rFonts w:ascii="Arial" w:hAnsi="Arial" w:cs="Arial"/>
          <w:b/>
          <w:lang w:val="es-MX"/>
        </w:rPr>
      </w:pPr>
      <w:r>
        <w:rPr>
          <w:rFonts w:ascii="Arial" w:hAnsi="Arial" w:cs="Arial"/>
          <w:b/>
          <w:lang w:val="es-MX"/>
        </w:rPr>
        <w:t>Cuadro 2</w:t>
      </w:r>
      <w:r w:rsidR="00472E6D">
        <w:rPr>
          <w:rFonts w:ascii="Arial" w:hAnsi="Arial" w:cs="Arial"/>
          <w:b/>
          <w:lang w:val="es-MX"/>
        </w:rPr>
        <w:t>5</w:t>
      </w:r>
    </w:p>
    <w:p w:rsidR="00475BBF" w:rsidRPr="00522FAB" w:rsidRDefault="00475BBF" w:rsidP="00475BBF">
      <w:pPr>
        <w:jc w:val="center"/>
        <w:rPr>
          <w:rFonts w:ascii="Arial" w:hAnsi="Arial" w:cs="Arial"/>
          <w:b/>
          <w:lang w:val="es-MX"/>
        </w:rPr>
      </w:pPr>
      <w:r w:rsidRPr="00522FAB">
        <w:rPr>
          <w:rFonts w:ascii="Arial" w:hAnsi="Arial" w:cs="Arial"/>
          <w:b/>
          <w:lang w:val="es-MX"/>
        </w:rPr>
        <w:t xml:space="preserve">Costa Rica: Porcentaje de variación relativa de casos de dengue según </w:t>
      </w:r>
      <w:r w:rsidR="00741022">
        <w:rPr>
          <w:rFonts w:ascii="Arial" w:hAnsi="Arial" w:cs="Arial"/>
          <w:b/>
          <w:lang w:val="es-MX"/>
        </w:rPr>
        <w:t>r</w:t>
      </w:r>
      <w:r w:rsidRPr="00522FAB">
        <w:rPr>
          <w:rFonts w:ascii="Arial" w:hAnsi="Arial" w:cs="Arial"/>
          <w:b/>
          <w:lang w:val="es-MX"/>
        </w:rPr>
        <w:t>egión</w:t>
      </w:r>
      <w:r>
        <w:rPr>
          <w:rFonts w:ascii="Arial" w:hAnsi="Arial" w:cs="Arial"/>
          <w:b/>
          <w:lang w:val="es-MX"/>
        </w:rPr>
        <w:t xml:space="preserve"> de </w:t>
      </w:r>
      <w:r w:rsidR="00741022">
        <w:rPr>
          <w:rFonts w:ascii="Arial" w:hAnsi="Arial" w:cs="Arial"/>
          <w:b/>
          <w:lang w:val="es-MX"/>
        </w:rPr>
        <w:t>s</w:t>
      </w:r>
      <w:r>
        <w:rPr>
          <w:rFonts w:ascii="Arial" w:hAnsi="Arial" w:cs="Arial"/>
          <w:b/>
          <w:lang w:val="es-MX"/>
        </w:rPr>
        <w:t>alud</w:t>
      </w:r>
      <w:r w:rsidR="00741022">
        <w:rPr>
          <w:rFonts w:ascii="Arial" w:hAnsi="Arial" w:cs="Arial"/>
          <w:b/>
          <w:lang w:val="es-MX"/>
        </w:rPr>
        <w:t>,</w:t>
      </w:r>
      <w:r w:rsidRPr="00522FAB">
        <w:rPr>
          <w:rFonts w:ascii="Arial" w:hAnsi="Arial" w:cs="Arial"/>
          <w:b/>
          <w:lang w:val="es-MX"/>
        </w:rPr>
        <w:t xml:space="preserve"> 201</w:t>
      </w:r>
      <w:r>
        <w:rPr>
          <w:rFonts w:ascii="Arial" w:hAnsi="Arial" w:cs="Arial"/>
          <w:b/>
          <w:lang w:val="es-MX"/>
        </w:rPr>
        <w:t>7-2018</w:t>
      </w:r>
    </w:p>
    <w:p w:rsidR="00475BBF" w:rsidRPr="00DC7D31" w:rsidRDefault="00475BBF" w:rsidP="00475BBF">
      <w:pPr>
        <w:jc w:val="both"/>
        <w:rPr>
          <w:rFonts w:ascii="Arial" w:hAnsi="Arial" w:cs="Arial"/>
          <w:b/>
          <w:lang w:val="es-MX"/>
        </w:rPr>
      </w:pPr>
    </w:p>
    <w:tbl>
      <w:tblPr>
        <w:tblStyle w:val="Sombreadoclaro-nfasis1"/>
        <w:tblW w:w="0" w:type="auto"/>
        <w:jc w:val="center"/>
        <w:shd w:val="clear" w:color="auto" w:fill="FFFFFF" w:themeFill="background1"/>
        <w:tblLook w:val="04A0" w:firstRow="1" w:lastRow="0" w:firstColumn="1" w:lastColumn="0" w:noHBand="0" w:noVBand="1"/>
      </w:tblPr>
      <w:tblGrid>
        <w:gridCol w:w="2040"/>
        <w:gridCol w:w="937"/>
        <w:gridCol w:w="1242"/>
        <w:gridCol w:w="1276"/>
        <w:gridCol w:w="1134"/>
        <w:gridCol w:w="1843"/>
      </w:tblGrid>
      <w:tr w:rsidR="00475BBF" w:rsidRPr="009121B4" w:rsidTr="0074102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40" w:type="dxa"/>
            <w:vMerge w:val="restart"/>
            <w:tcBorders>
              <w:top w:val="single" w:sz="8" w:space="0" w:color="auto"/>
              <w:left w:val="none" w:sz="0" w:space="0" w:color="auto"/>
              <w:bottom w:val="single" w:sz="8" w:space="0" w:color="auto"/>
              <w:right w:val="none" w:sz="0" w:space="0" w:color="auto"/>
            </w:tcBorders>
            <w:shd w:val="clear" w:color="auto" w:fill="D5DCE4" w:themeFill="text2" w:themeFillTint="33"/>
          </w:tcPr>
          <w:p w:rsidR="00741022" w:rsidRDefault="00741022" w:rsidP="00475BBF">
            <w:pPr>
              <w:jc w:val="both"/>
              <w:rPr>
                <w:rFonts w:ascii="Arial" w:hAnsi="Arial" w:cs="Arial"/>
                <w:color w:val="auto"/>
                <w:sz w:val="22"/>
                <w:szCs w:val="22"/>
                <w:lang w:val="es-MX"/>
              </w:rPr>
            </w:pPr>
            <w:r>
              <w:rPr>
                <w:rFonts w:ascii="Arial" w:hAnsi="Arial" w:cs="Arial"/>
                <w:color w:val="auto"/>
                <w:sz w:val="22"/>
                <w:szCs w:val="22"/>
                <w:lang w:val="es-MX"/>
              </w:rPr>
              <w:t xml:space="preserve">Región de </w:t>
            </w:r>
          </w:p>
          <w:p w:rsidR="00475BBF" w:rsidRPr="009121B4" w:rsidRDefault="00741022" w:rsidP="00475BBF">
            <w:pPr>
              <w:jc w:val="both"/>
              <w:rPr>
                <w:rFonts w:ascii="Arial" w:hAnsi="Arial" w:cs="Arial"/>
                <w:color w:val="auto"/>
                <w:sz w:val="22"/>
                <w:szCs w:val="22"/>
                <w:lang w:val="es-MX"/>
              </w:rPr>
            </w:pPr>
            <w:r>
              <w:rPr>
                <w:rFonts w:ascii="Arial" w:hAnsi="Arial" w:cs="Arial"/>
                <w:color w:val="auto"/>
                <w:sz w:val="22"/>
                <w:szCs w:val="22"/>
                <w:lang w:val="es-MX"/>
              </w:rPr>
              <w:t>salud</w:t>
            </w:r>
          </w:p>
        </w:tc>
        <w:tc>
          <w:tcPr>
            <w:tcW w:w="2179" w:type="dxa"/>
            <w:gridSpan w:val="2"/>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9121B4" w:rsidRDefault="00475BBF" w:rsidP="00475BB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2017</w:t>
            </w:r>
          </w:p>
        </w:tc>
        <w:tc>
          <w:tcPr>
            <w:tcW w:w="2410" w:type="dxa"/>
            <w:gridSpan w:val="2"/>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9121B4" w:rsidRDefault="00475BBF" w:rsidP="00475BB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2018</w:t>
            </w:r>
          </w:p>
        </w:tc>
        <w:tc>
          <w:tcPr>
            <w:tcW w:w="1843" w:type="dxa"/>
            <w:vMerge w:val="restart"/>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9121B4" w:rsidRDefault="00475BBF" w:rsidP="00475BB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 Variación</w:t>
            </w:r>
          </w:p>
          <w:p w:rsidR="00475BBF" w:rsidRPr="009121B4" w:rsidRDefault="00475BBF" w:rsidP="00475BB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Relativa</w:t>
            </w:r>
          </w:p>
        </w:tc>
      </w:tr>
      <w:tr w:rsidR="00475BBF" w:rsidRPr="009121B4" w:rsidTr="000D59B6">
        <w:trPr>
          <w:cnfStyle w:val="000000100000" w:firstRow="0" w:lastRow="0" w:firstColumn="0" w:lastColumn="0" w:oddVBand="0" w:evenVBand="0" w:oddHBand="1" w:evenHBand="0" w:firstRowFirstColumn="0" w:firstRowLastColumn="0" w:lastRowFirstColumn="0" w:lastRowLastColumn="0"/>
          <w:trHeight w:val="308"/>
          <w:jc w:val="center"/>
        </w:trPr>
        <w:tc>
          <w:tcPr>
            <w:cnfStyle w:val="001000000000" w:firstRow="0" w:lastRow="0" w:firstColumn="1" w:lastColumn="0" w:oddVBand="0" w:evenVBand="0" w:oddHBand="0" w:evenHBand="0" w:firstRowFirstColumn="0" w:firstRowLastColumn="0" w:lastRowFirstColumn="0" w:lastRowLastColumn="0"/>
            <w:tcW w:w="2040" w:type="dxa"/>
            <w:vMerge/>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9121B4" w:rsidRDefault="00475BBF" w:rsidP="00475BBF">
            <w:pPr>
              <w:jc w:val="both"/>
              <w:rPr>
                <w:rFonts w:ascii="Arial" w:hAnsi="Arial" w:cs="Arial"/>
                <w:color w:val="auto"/>
                <w:sz w:val="22"/>
                <w:szCs w:val="22"/>
                <w:lang w:val="es-MX"/>
              </w:rPr>
            </w:pPr>
          </w:p>
        </w:tc>
        <w:tc>
          <w:tcPr>
            <w:tcW w:w="937" w:type="dxa"/>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9121B4"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2"/>
                <w:szCs w:val="22"/>
                <w:lang w:val="es-MX"/>
              </w:rPr>
            </w:pPr>
            <w:r w:rsidRPr="009121B4">
              <w:rPr>
                <w:rFonts w:ascii="Arial" w:hAnsi="Arial" w:cs="Arial"/>
                <w:b/>
                <w:color w:val="auto"/>
                <w:sz w:val="22"/>
                <w:szCs w:val="22"/>
                <w:lang w:val="es-MX"/>
              </w:rPr>
              <w:t>Casos</w:t>
            </w:r>
          </w:p>
        </w:tc>
        <w:tc>
          <w:tcPr>
            <w:tcW w:w="1242" w:type="dxa"/>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9121B4"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2"/>
                <w:szCs w:val="22"/>
                <w:lang w:val="es-MX"/>
              </w:rPr>
            </w:pPr>
            <w:r w:rsidRPr="009121B4">
              <w:rPr>
                <w:rFonts w:ascii="Arial" w:hAnsi="Arial" w:cs="Arial"/>
                <w:b/>
                <w:color w:val="auto"/>
                <w:sz w:val="22"/>
                <w:szCs w:val="22"/>
                <w:lang w:val="es-MX"/>
              </w:rPr>
              <w:t>Tasa</w:t>
            </w:r>
          </w:p>
        </w:tc>
        <w:tc>
          <w:tcPr>
            <w:tcW w:w="1276" w:type="dxa"/>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9121B4"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2"/>
                <w:szCs w:val="22"/>
                <w:lang w:val="es-MX"/>
              </w:rPr>
            </w:pPr>
            <w:r w:rsidRPr="009121B4">
              <w:rPr>
                <w:rFonts w:ascii="Arial" w:hAnsi="Arial" w:cs="Arial"/>
                <w:b/>
                <w:color w:val="auto"/>
                <w:sz w:val="22"/>
                <w:szCs w:val="22"/>
                <w:lang w:val="es-MX"/>
              </w:rPr>
              <w:t>Casos</w:t>
            </w:r>
          </w:p>
        </w:tc>
        <w:tc>
          <w:tcPr>
            <w:tcW w:w="1134" w:type="dxa"/>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9121B4"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2"/>
                <w:szCs w:val="22"/>
                <w:lang w:val="es-MX"/>
              </w:rPr>
            </w:pPr>
            <w:r w:rsidRPr="009121B4">
              <w:rPr>
                <w:rFonts w:ascii="Arial" w:hAnsi="Arial" w:cs="Arial"/>
                <w:b/>
                <w:color w:val="auto"/>
                <w:sz w:val="22"/>
                <w:szCs w:val="22"/>
                <w:lang w:val="es-MX"/>
              </w:rPr>
              <w:t>Tasa</w:t>
            </w:r>
          </w:p>
        </w:tc>
        <w:tc>
          <w:tcPr>
            <w:tcW w:w="1843" w:type="dxa"/>
            <w:vMerge/>
            <w:tcBorders>
              <w:top w:val="single" w:sz="8" w:space="0" w:color="auto"/>
              <w:left w:val="none" w:sz="0" w:space="0" w:color="auto"/>
              <w:bottom w:val="single" w:sz="8" w:space="0" w:color="auto"/>
              <w:right w:val="none" w:sz="0" w:space="0" w:color="auto"/>
            </w:tcBorders>
            <w:shd w:val="clear" w:color="auto" w:fill="D5DCE4" w:themeFill="text2" w:themeFillTint="33"/>
          </w:tcPr>
          <w:p w:rsidR="00475BBF" w:rsidRPr="009121B4" w:rsidRDefault="00475BBF" w:rsidP="00475BBF">
            <w:pPr>
              <w:jc w:val="both"/>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2"/>
                <w:szCs w:val="22"/>
                <w:lang w:val="es-MX"/>
              </w:rPr>
            </w:pPr>
          </w:p>
        </w:tc>
      </w:tr>
      <w:tr w:rsidR="00475BBF" w:rsidRPr="009121B4" w:rsidTr="000D59B6">
        <w:trPr>
          <w:trHeight w:val="326"/>
          <w:jc w:val="center"/>
        </w:trPr>
        <w:tc>
          <w:tcPr>
            <w:cnfStyle w:val="001000000000" w:firstRow="0" w:lastRow="0" w:firstColumn="1" w:lastColumn="0" w:oddVBand="0" w:evenVBand="0" w:oddHBand="0" w:evenHBand="0" w:firstRowFirstColumn="0" w:firstRowLastColumn="0" w:lastRowFirstColumn="0" w:lastRowLastColumn="0"/>
            <w:tcW w:w="2040" w:type="dxa"/>
            <w:tcBorders>
              <w:top w:val="single" w:sz="8" w:space="0" w:color="auto"/>
              <w:bottom w:val="single" w:sz="4" w:space="0" w:color="auto"/>
            </w:tcBorders>
            <w:shd w:val="clear" w:color="auto" w:fill="D5DCE4" w:themeFill="text2" w:themeFillTint="33"/>
          </w:tcPr>
          <w:p w:rsidR="00475BBF" w:rsidRPr="009121B4" w:rsidRDefault="00475BBF" w:rsidP="00475BBF">
            <w:pPr>
              <w:jc w:val="both"/>
              <w:rPr>
                <w:rFonts w:ascii="Arial" w:hAnsi="Arial" w:cs="Arial"/>
                <w:color w:val="auto"/>
                <w:sz w:val="22"/>
                <w:szCs w:val="22"/>
                <w:lang w:val="es-MX"/>
              </w:rPr>
            </w:pPr>
            <w:r w:rsidRPr="009121B4">
              <w:rPr>
                <w:rFonts w:ascii="Arial" w:hAnsi="Arial" w:cs="Arial"/>
                <w:color w:val="auto"/>
                <w:sz w:val="22"/>
                <w:szCs w:val="22"/>
                <w:lang w:val="es-MX"/>
              </w:rPr>
              <w:t>Total</w:t>
            </w:r>
          </w:p>
        </w:tc>
        <w:tc>
          <w:tcPr>
            <w:tcW w:w="937" w:type="dxa"/>
            <w:tcBorders>
              <w:top w:val="single" w:sz="8" w:space="0" w:color="auto"/>
              <w:bottom w:val="single" w:sz="4" w:space="0" w:color="auto"/>
            </w:tcBorders>
            <w:shd w:val="clear" w:color="auto" w:fill="D5DCE4" w:themeFill="text2" w:themeFillTint="33"/>
          </w:tcPr>
          <w:p w:rsidR="00475BBF" w:rsidRPr="009121B4"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2"/>
                <w:szCs w:val="22"/>
                <w:lang w:val="es-MX"/>
              </w:rPr>
            </w:pPr>
            <w:r w:rsidRPr="009121B4">
              <w:rPr>
                <w:rFonts w:ascii="Arial" w:hAnsi="Arial" w:cs="Arial"/>
                <w:b/>
                <w:color w:val="auto"/>
                <w:sz w:val="22"/>
                <w:szCs w:val="22"/>
                <w:lang w:val="es-MX"/>
              </w:rPr>
              <w:t>5</w:t>
            </w:r>
            <w:r w:rsidR="00741022">
              <w:rPr>
                <w:rFonts w:ascii="Arial" w:hAnsi="Arial" w:cs="Arial"/>
                <w:b/>
                <w:color w:val="auto"/>
                <w:sz w:val="22"/>
                <w:szCs w:val="22"/>
                <w:lang w:val="es-MX"/>
              </w:rPr>
              <w:t>.</w:t>
            </w:r>
            <w:r w:rsidRPr="009121B4">
              <w:rPr>
                <w:rFonts w:ascii="Arial" w:hAnsi="Arial" w:cs="Arial"/>
                <w:b/>
                <w:color w:val="auto"/>
                <w:sz w:val="22"/>
                <w:szCs w:val="22"/>
                <w:lang w:val="es-MX"/>
              </w:rPr>
              <w:t>561</w:t>
            </w:r>
          </w:p>
        </w:tc>
        <w:tc>
          <w:tcPr>
            <w:tcW w:w="1242" w:type="dxa"/>
            <w:tcBorders>
              <w:top w:val="single" w:sz="8" w:space="0" w:color="auto"/>
              <w:bottom w:val="single" w:sz="4" w:space="0" w:color="auto"/>
            </w:tcBorders>
            <w:shd w:val="clear" w:color="auto" w:fill="D5DCE4" w:themeFill="text2" w:themeFillTint="33"/>
          </w:tcPr>
          <w:p w:rsidR="00475BBF" w:rsidRPr="009121B4" w:rsidRDefault="00475BBF"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2"/>
                <w:szCs w:val="22"/>
                <w:lang w:val="es-MX"/>
              </w:rPr>
            </w:pPr>
            <w:r w:rsidRPr="009121B4">
              <w:rPr>
                <w:rFonts w:ascii="Arial" w:hAnsi="Arial" w:cs="Arial"/>
                <w:b/>
                <w:color w:val="auto"/>
                <w:sz w:val="22"/>
                <w:szCs w:val="22"/>
                <w:lang w:val="es-MX"/>
              </w:rPr>
              <w:t>123</w:t>
            </w:r>
            <w:r w:rsidR="000D59B6">
              <w:rPr>
                <w:rFonts w:ascii="Arial" w:hAnsi="Arial" w:cs="Arial"/>
                <w:b/>
                <w:color w:val="auto"/>
                <w:sz w:val="22"/>
                <w:szCs w:val="22"/>
                <w:lang w:val="es-MX"/>
              </w:rPr>
              <w:t>,</w:t>
            </w:r>
            <w:r w:rsidRPr="009121B4">
              <w:rPr>
                <w:rFonts w:ascii="Arial" w:hAnsi="Arial" w:cs="Arial"/>
                <w:b/>
                <w:color w:val="auto"/>
                <w:sz w:val="22"/>
                <w:szCs w:val="22"/>
                <w:lang w:val="es-MX"/>
              </w:rPr>
              <w:t>8</w:t>
            </w:r>
          </w:p>
        </w:tc>
        <w:tc>
          <w:tcPr>
            <w:tcW w:w="1276" w:type="dxa"/>
            <w:tcBorders>
              <w:top w:val="single" w:sz="8" w:space="0" w:color="auto"/>
              <w:bottom w:val="single" w:sz="4" w:space="0" w:color="auto"/>
            </w:tcBorders>
            <w:shd w:val="clear" w:color="auto" w:fill="D5DCE4" w:themeFill="text2" w:themeFillTint="33"/>
          </w:tcPr>
          <w:p w:rsidR="00475BBF" w:rsidRPr="009121B4"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2"/>
                <w:szCs w:val="22"/>
                <w:lang w:val="es-MX"/>
              </w:rPr>
            </w:pPr>
            <w:r w:rsidRPr="009121B4">
              <w:rPr>
                <w:rFonts w:ascii="Arial" w:hAnsi="Arial" w:cs="Arial"/>
                <w:b/>
                <w:color w:val="auto"/>
                <w:sz w:val="22"/>
                <w:szCs w:val="22"/>
                <w:lang w:val="es-MX"/>
              </w:rPr>
              <w:t>2</w:t>
            </w:r>
            <w:r w:rsidR="00741022">
              <w:rPr>
                <w:rFonts w:ascii="Arial" w:hAnsi="Arial" w:cs="Arial"/>
                <w:b/>
                <w:color w:val="auto"/>
                <w:sz w:val="22"/>
                <w:szCs w:val="22"/>
                <w:lang w:val="es-MX"/>
              </w:rPr>
              <w:t>.</w:t>
            </w:r>
            <w:r w:rsidRPr="009121B4">
              <w:rPr>
                <w:rFonts w:ascii="Arial" w:hAnsi="Arial" w:cs="Arial"/>
                <w:b/>
                <w:color w:val="auto"/>
                <w:sz w:val="22"/>
                <w:szCs w:val="22"/>
                <w:lang w:val="es-MX"/>
              </w:rPr>
              <w:t>735</w:t>
            </w:r>
          </w:p>
        </w:tc>
        <w:tc>
          <w:tcPr>
            <w:tcW w:w="1134" w:type="dxa"/>
            <w:tcBorders>
              <w:top w:val="single" w:sz="8" w:space="0" w:color="auto"/>
              <w:bottom w:val="single" w:sz="4" w:space="0" w:color="auto"/>
            </w:tcBorders>
            <w:shd w:val="clear" w:color="auto" w:fill="D5DCE4" w:themeFill="text2" w:themeFillTint="33"/>
          </w:tcPr>
          <w:p w:rsidR="00475BBF" w:rsidRPr="009121B4" w:rsidRDefault="00475BBF"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2"/>
                <w:szCs w:val="22"/>
                <w:lang w:val="es-MX"/>
              </w:rPr>
            </w:pPr>
            <w:r w:rsidRPr="009121B4">
              <w:rPr>
                <w:rFonts w:ascii="Arial" w:hAnsi="Arial" w:cs="Arial"/>
                <w:b/>
                <w:color w:val="auto"/>
                <w:sz w:val="22"/>
                <w:szCs w:val="22"/>
                <w:lang w:val="es-MX"/>
              </w:rPr>
              <w:t>94</w:t>
            </w:r>
            <w:r w:rsidR="000D59B6">
              <w:rPr>
                <w:rFonts w:ascii="Arial" w:hAnsi="Arial" w:cs="Arial"/>
                <w:b/>
                <w:color w:val="auto"/>
                <w:sz w:val="22"/>
                <w:szCs w:val="22"/>
                <w:lang w:val="es-MX"/>
              </w:rPr>
              <w:t>,</w:t>
            </w:r>
            <w:r w:rsidRPr="009121B4">
              <w:rPr>
                <w:rFonts w:ascii="Arial" w:hAnsi="Arial" w:cs="Arial"/>
                <w:b/>
                <w:color w:val="auto"/>
                <w:sz w:val="22"/>
                <w:szCs w:val="22"/>
                <w:lang w:val="es-MX"/>
              </w:rPr>
              <w:t>8</w:t>
            </w:r>
          </w:p>
        </w:tc>
        <w:tc>
          <w:tcPr>
            <w:tcW w:w="1843" w:type="dxa"/>
            <w:tcBorders>
              <w:top w:val="single" w:sz="8" w:space="0" w:color="auto"/>
              <w:bottom w:val="single" w:sz="4" w:space="0" w:color="auto"/>
            </w:tcBorders>
            <w:shd w:val="clear" w:color="auto" w:fill="D5DCE4" w:themeFill="text2" w:themeFillTint="33"/>
          </w:tcPr>
          <w:p w:rsidR="00475BBF" w:rsidRPr="009121B4" w:rsidRDefault="00475BBF"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2"/>
                <w:szCs w:val="22"/>
                <w:lang w:val="es-MX"/>
              </w:rPr>
            </w:pPr>
            <w:r w:rsidRPr="009121B4">
              <w:rPr>
                <w:rFonts w:ascii="Arial" w:hAnsi="Arial" w:cs="Arial"/>
                <w:b/>
                <w:color w:val="auto"/>
                <w:sz w:val="22"/>
                <w:szCs w:val="22"/>
                <w:lang w:val="es-MX"/>
              </w:rPr>
              <w:t>-51</w:t>
            </w:r>
            <w:r w:rsidR="000D59B6">
              <w:rPr>
                <w:rFonts w:ascii="Arial" w:hAnsi="Arial" w:cs="Arial"/>
                <w:b/>
                <w:color w:val="auto"/>
                <w:sz w:val="22"/>
                <w:szCs w:val="22"/>
                <w:lang w:val="es-MX"/>
              </w:rPr>
              <w:t>,</w:t>
            </w:r>
            <w:r w:rsidRPr="009121B4">
              <w:rPr>
                <w:rFonts w:ascii="Arial" w:hAnsi="Arial" w:cs="Arial"/>
                <w:b/>
                <w:color w:val="auto"/>
                <w:sz w:val="22"/>
                <w:szCs w:val="22"/>
                <w:lang w:val="es-MX"/>
              </w:rPr>
              <w:t>7</w:t>
            </w:r>
          </w:p>
        </w:tc>
      </w:tr>
      <w:tr w:rsidR="00475BBF" w:rsidRPr="009121B4" w:rsidTr="000D59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40" w:type="dxa"/>
            <w:tcBorders>
              <w:top w:val="single" w:sz="4" w:space="0" w:color="auto"/>
              <w:left w:val="none" w:sz="0" w:space="0" w:color="auto"/>
              <w:bottom w:val="nil"/>
              <w:right w:val="none" w:sz="0" w:space="0" w:color="auto"/>
            </w:tcBorders>
            <w:shd w:val="clear" w:color="auto" w:fill="FFFFFF" w:themeFill="background1"/>
          </w:tcPr>
          <w:p w:rsidR="00475BBF" w:rsidRPr="009121B4" w:rsidRDefault="00475BBF" w:rsidP="00475BBF">
            <w:pPr>
              <w:jc w:val="both"/>
              <w:rPr>
                <w:rFonts w:ascii="Arial" w:hAnsi="Arial" w:cs="Arial"/>
                <w:b w:val="0"/>
                <w:color w:val="auto"/>
                <w:sz w:val="22"/>
                <w:szCs w:val="22"/>
                <w:lang w:val="es-MX"/>
              </w:rPr>
            </w:pPr>
            <w:r w:rsidRPr="009121B4">
              <w:rPr>
                <w:rFonts w:ascii="Arial" w:hAnsi="Arial" w:cs="Arial"/>
                <w:b w:val="0"/>
                <w:color w:val="auto"/>
                <w:sz w:val="22"/>
                <w:szCs w:val="22"/>
                <w:lang w:val="es-MX"/>
              </w:rPr>
              <w:t>Huetar Caribe</w:t>
            </w:r>
          </w:p>
        </w:tc>
        <w:tc>
          <w:tcPr>
            <w:tcW w:w="937" w:type="dxa"/>
            <w:tcBorders>
              <w:top w:val="single" w:sz="4" w:space="0" w:color="auto"/>
              <w:left w:val="none" w:sz="0" w:space="0" w:color="auto"/>
              <w:bottom w:val="nil"/>
              <w:right w:val="none" w:sz="0" w:space="0" w:color="auto"/>
            </w:tcBorders>
            <w:shd w:val="clear" w:color="auto" w:fill="FFFFFF" w:themeFill="background1"/>
          </w:tcPr>
          <w:p w:rsidR="00475BBF" w:rsidRPr="009121B4"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2</w:t>
            </w:r>
            <w:r w:rsidR="000D59B6">
              <w:rPr>
                <w:rFonts w:ascii="Arial" w:hAnsi="Arial" w:cs="Arial"/>
                <w:color w:val="auto"/>
                <w:sz w:val="22"/>
                <w:szCs w:val="22"/>
                <w:lang w:val="es-MX"/>
              </w:rPr>
              <w:t>.</w:t>
            </w:r>
            <w:r w:rsidRPr="009121B4">
              <w:rPr>
                <w:rFonts w:ascii="Arial" w:hAnsi="Arial" w:cs="Arial"/>
                <w:color w:val="auto"/>
                <w:sz w:val="22"/>
                <w:szCs w:val="22"/>
                <w:lang w:val="es-MX"/>
              </w:rPr>
              <w:t>223</w:t>
            </w:r>
          </w:p>
        </w:tc>
        <w:tc>
          <w:tcPr>
            <w:tcW w:w="1242" w:type="dxa"/>
            <w:tcBorders>
              <w:top w:val="single" w:sz="4" w:space="0" w:color="auto"/>
              <w:left w:val="none" w:sz="0" w:space="0" w:color="auto"/>
              <w:bottom w:val="nil"/>
              <w:right w:val="none" w:sz="0" w:space="0" w:color="auto"/>
            </w:tcBorders>
            <w:shd w:val="clear" w:color="auto" w:fill="FFFFFF" w:themeFill="background1"/>
          </w:tcPr>
          <w:p w:rsidR="00475BBF" w:rsidRPr="009121B4" w:rsidRDefault="00475BBF"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500</w:t>
            </w:r>
            <w:r w:rsidR="000D59B6">
              <w:rPr>
                <w:rFonts w:ascii="Arial" w:hAnsi="Arial" w:cs="Arial"/>
                <w:color w:val="auto"/>
                <w:sz w:val="22"/>
                <w:szCs w:val="22"/>
                <w:lang w:val="es-MX"/>
              </w:rPr>
              <w:t>,</w:t>
            </w:r>
            <w:r w:rsidRPr="009121B4">
              <w:rPr>
                <w:rFonts w:ascii="Arial" w:hAnsi="Arial" w:cs="Arial"/>
                <w:color w:val="auto"/>
                <w:sz w:val="22"/>
                <w:szCs w:val="22"/>
                <w:lang w:val="es-MX"/>
              </w:rPr>
              <w:t>2</w:t>
            </w:r>
          </w:p>
        </w:tc>
        <w:tc>
          <w:tcPr>
            <w:tcW w:w="1276" w:type="dxa"/>
            <w:tcBorders>
              <w:top w:val="single" w:sz="4" w:space="0" w:color="auto"/>
              <w:left w:val="none" w:sz="0" w:space="0" w:color="auto"/>
              <w:bottom w:val="nil"/>
              <w:right w:val="none" w:sz="0"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688</w:t>
            </w:r>
          </w:p>
        </w:tc>
        <w:tc>
          <w:tcPr>
            <w:tcW w:w="1134" w:type="dxa"/>
            <w:tcBorders>
              <w:top w:val="single" w:sz="4" w:space="0" w:color="auto"/>
              <w:left w:val="none" w:sz="0" w:space="0" w:color="auto"/>
              <w:bottom w:val="nil"/>
              <w:right w:val="none" w:sz="0" w:space="0" w:color="auto"/>
            </w:tcBorders>
            <w:shd w:val="clear" w:color="auto" w:fill="FFFFFF" w:themeFill="background1"/>
          </w:tcPr>
          <w:p w:rsidR="00475BBF" w:rsidRPr="009121B4" w:rsidRDefault="00475BBF" w:rsidP="000D59B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153</w:t>
            </w:r>
            <w:r w:rsidR="000D59B6">
              <w:rPr>
                <w:rFonts w:ascii="Arial" w:hAnsi="Arial" w:cs="Arial"/>
                <w:color w:val="auto"/>
                <w:sz w:val="22"/>
                <w:szCs w:val="22"/>
                <w:lang w:val="es-MX"/>
              </w:rPr>
              <w:t>,</w:t>
            </w:r>
            <w:r w:rsidRPr="009121B4">
              <w:rPr>
                <w:rFonts w:ascii="Arial" w:hAnsi="Arial" w:cs="Arial"/>
                <w:color w:val="auto"/>
                <w:sz w:val="22"/>
                <w:szCs w:val="22"/>
                <w:lang w:val="es-MX"/>
              </w:rPr>
              <w:t>0</w:t>
            </w:r>
          </w:p>
        </w:tc>
        <w:tc>
          <w:tcPr>
            <w:tcW w:w="1843" w:type="dxa"/>
            <w:tcBorders>
              <w:top w:val="single" w:sz="4" w:space="0" w:color="auto"/>
              <w:left w:val="none" w:sz="0" w:space="0" w:color="auto"/>
              <w:bottom w:val="nil"/>
              <w:right w:val="none" w:sz="0" w:space="0" w:color="auto"/>
            </w:tcBorders>
            <w:shd w:val="clear" w:color="auto" w:fill="FFFFFF" w:themeFill="background1"/>
          </w:tcPr>
          <w:p w:rsidR="00475BBF" w:rsidRPr="009121B4" w:rsidRDefault="00475BBF"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-69</w:t>
            </w:r>
            <w:r w:rsidR="000D59B6">
              <w:rPr>
                <w:rFonts w:ascii="Arial" w:hAnsi="Arial" w:cs="Arial"/>
                <w:color w:val="auto"/>
                <w:sz w:val="22"/>
                <w:szCs w:val="22"/>
                <w:lang w:val="es-MX"/>
              </w:rPr>
              <w:t>,</w:t>
            </w:r>
            <w:r w:rsidRPr="009121B4">
              <w:rPr>
                <w:rFonts w:ascii="Arial" w:hAnsi="Arial" w:cs="Arial"/>
                <w:color w:val="auto"/>
                <w:sz w:val="22"/>
                <w:szCs w:val="22"/>
                <w:lang w:val="es-MX"/>
              </w:rPr>
              <w:t>1</w:t>
            </w:r>
          </w:p>
        </w:tc>
      </w:tr>
      <w:tr w:rsidR="000D59B6" w:rsidRPr="009121B4" w:rsidTr="000D59B6">
        <w:trPr>
          <w:jc w:val="center"/>
        </w:trPr>
        <w:tc>
          <w:tcPr>
            <w:cnfStyle w:val="001000000000" w:firstRow="0" w:lastRow="0" w:firstColumn="1" w:lastColumn="0" w:oddVBand="0" w:evenVBand="0" w:oddHBand="0" w:evenHBand="0" w:firstRowFirstColumn="0" w:firstRowLastColumn="0" w:lastRowFirstColumn="0" w:lastRowLastColumn="0"/>
            <w:tcW w:w="2040" w:type="dxa"/>
            <w:tcBorders>
              <w:top w:val="nil"/>
              <w:bottom w:val="nil"/>
            </w:tcBorders>
            <w:shd w:val="clear" w:color="auto" w:fill="FFFFFF" w:themeFill="background1"/>
          </w:tcPr>
          <w:p w:rsidR="000D59B6" w:rsidRPr="009121B4" w:rsidRDefault="000D59B6" w:rsidP="000D59B6">
            <w:pPr>
              <w:jc w:val="both"/>
              <w:rPr>
                <w:rFonts w:ascii="Arial" w:hAnsi="Arial" w:cs="Arial"/>
                <w:b w:val="0"/>
                <w:color w:val="auto"/>
                <w:sz w:val="22"/>
                <w:szCs w:val="22"/>
                <w:lang w:val="es-MX"/>
              </w:rPr>
            </w:pPr>
            <w:r w:rsidRPr="009121B4">
              <w:rPr>
                <w:rFonts w:ascii="Arial" w:hAnsi="Arial" w:cs="Arial"/>
                <w:b w:val="0"/>
                <w:color w:val="auto"/>
                <w:sz w:val="22"/>
                <w:szCs w:val="22"/>
                <w:lang w:val="es-MX"/>
              </w:rPr>
              <w:t>Central Sur</w:t>
            </w:r>
          </w:p>
        </w:tc>
        <w:tc>
          <w:tcPr>
            <w:tcW w:w="937" w:type="dxa"/>
            <w:tcBorders>
              <w:top w:val="nil"/>
              <w:bottom w:val="nil"/>
            </w:tcBorders>
            <w:shd w:val="clear" w:color="auto" w:fill="FFFFFF" w:themeFill="background1"/>
          </w:tcPr>
          <w:p w:rsidR="000D59B6" w:rsidRPr="009121B4" w:rsidRDefault="000D59B6"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351</w:t>
            </w:r>
          </w:p>
        </w:tc>
        <w:tc>
          <w:tcPr>
            <w:tcW w:w="1242" w:type="dxa"/>
            <w:tcBorders>
              <w:top w:val="nil"/>
              <w:bottom w:val="nil"/>
            </w:tcBorders>
            <w:shd w:val="clear" w:color="auto" w:fill="FFFFFF" w:themeFill="background1"/>
          </w:tcPr>
          <w:p w:rsidR="000D59B6" w:rsidRPr="009121B4" w:rsidRDefault="000D59B6"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24</w:t>
            </w:r>
            <w:r>
              <w:rPr>
                <w:rFonts w:ascii="Arial" w:hAnsi="Arial" w:cs="Arial"/>
                <w:color w:val="auto"/>
                <w:sz w:val="22"/>
                <w:szCs w:val="22"/>
                <w:lang w:val="es-MX"/>
              </w:rPr>
              <w:t>,</w:t>
            </w:r>
            <w:r w:rsidRPr="009121B4">
              <w:rPr>
                <w:rFonts w:ascii="Arial" w:hAnsi="Arial" w:cs="Arial"/>
                <w:color w:val="auto"/>
                <w:sz w:val="22"/>
                <w:szCs w:val="22"/>
                <w:lang w:val="es-MX"/>
              </w:rPr>
              <w:t>4</w:t>
            </w:r>
          </w:p>
        </w:tc>
        <w:tc>
          <w:tcPr>
            <w:tcW w:w="1276" w:type="dxa"/>
            <w:tcBorders>
              <w:top w:val="nil"/>
              <w:bottom w:val="nil"/>
            </w:tcBorders>
            <w:shd w:val="clear" w:color="auto" w:fill="FFFFFF" w:themeFill="background1"/>
          </w:tcPr>
          <w:p w:rsidR="000D59B6" w:rsidRPr="009121B4" w:rsidRDefault="000D59B6" w:rsidP="000D59B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113</w:t>
            </w:r>
          </w:p>
        </w:tc>
        <w:tc>
          <w:tcPr>
            <w:tcW w:w="1134" w:type="dxa"/>
            <w:tcBorders>
              <w:top w:val="nil"/>
              <w:bottom w:val="nil"/>
            </w:tcBorders>
            <w:shd w:val="clear" w:color="auto" w:fill="FFFFFF" w:themeFill="background1"/>
          </w:tcPr>
          <w:p w:rsidR="000D59B6" w:rsidRPr="009121B4" w:rsidRDefault="000D59B6" w:rsidP="000D59B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7</w:t>
            </w:r>
            <w:r>
              <w:rPr>
                <w:rFonts w:ascii="Arial" w:hAnsi="Arial" w:cs="Arial"/>
                <w:color w:val="auto"/>
                <w:sz w:val="22"/>
                <w:szCs w:val="22"/>
                <w:lang w:val="es-MX"/>
              </w:rPr>
              <w:t>,</w:t>
            </w:r>
            <w:r w:rsidRPr="009121B4">
              <w:rPr>
                <w:rFonts w:ascii="Arial" w:hAnsi="Arial" w:cs="Arial"/>
                <w:color w:val="auto"/>
                <w:sz w:val="22"/>
                <w:szCs w:val="22"/>
                <w:lang w:val="es-MX"/>
              </w:rPr>
              <w:t>8</w:t>
            </w:r>
          </w:p>
        </w:tc>
        <w:tc>
          <w:tcPr>
            <w:tcW w:w="1843" w:type="dxa"/>
            <w:tcBorders>
              <w:top w:val="nil"/>
              <w:bottom w:val="nil"/>
            </w:tcBorders>
            <w:shd w:val="clear" w:color="auto" w:fill="FFFFFF" w:themeFill="background1"/>
          </w:tcPr>
          <w:p w:rsidR="000D59B6" w:rsidRPr="009121B4" w:rsidRDefault="000D59B6"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-67</w:t>
            </w:r>
            <w:r>
              <w:rPr>
                <w:rFonts w:ascii="Arial" w:hAnsi="Arial" w:cs="Arial"/>
                <w:color w:val="auto"/>
                <w:sz w:val="22"/>
                <w:szCs w:val="22"/>
                <w:lang w:val="es-MX"/>
              </w:rPr>
              <w:t>,</w:t>
            </w:r>
            <w:r w:rsidRPr="009121B4">
              <w:rPr>
                <w:rFonts w:ascii="Arial" w:hAnsi="Arial" w:cs="Arial"/>
                <w:color w:val="auto"/>
                <w:sz w:val="22"/>
                <w:szCs w:val="22"/>
                <w:lang w:val="es-MX"/>
              </w:rPr>
              <w:t>8</w:t>
            </w:r>
          </w:p>
        </w:tc>
      </w:tr>
      <w:tr w:rsidR="000D59B6" w:rsidRPr="009121B4" w:rsidTr="000D59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40" w:type="dxa"/>
            <w:tcBorders>
              <w:top w:val="nil"/>
              <w:bottom w:val="nil"/>
            </w:tcBorders>
            <w:shd w:val="clear" w:color="auto" w:fill="FFFFFF" w:themeFill="background1"/>
          </w:tcPr>
          <w:p w:rsidR="000D59B6" w:rsidRPr="009121B4" w:rsidRDefault="000D59B6" w:rsidP="000D59B6">
            <w:pPr>
              <w:jc w:val="both"/>
              <w:rPr>
                <w:rFonts w:ascii="Arial" w:hAnsi="Arial" w:cs="Arial"/>
                <w:b w:val="0"/>
                <w:color w:val="auto"/>
                <w:sz w:val="22"/>
                <w:szCs w:val="22"/>
                <w:lang w:val="es-MX"/>
              </w:rPr>
            </w:pPr>
            <w:r w:rsidRPr="009121B4">
              <w:rPr>
                <w:rFonts w:ascii="Arial" w:hAnsi="Arial" w:cs="Arial"/>
                <w:b w:val="0"/>
                <w:color w:val="auto"/>
                <w:sz w:val="22"/>
                <w:szCs w:val="22"/>
                <w:lang w:val="es-MX"/>
              </w:rPr>
              <w:t>Brunca</w:t>
            </w:r>
          </w:p>
        </w:tc>
        <w:tc>
          <w:tcPr>
            <w:tcW w:w="937" w:type="dxa"/>
            <w:tcBorders>
              <w:top w:val="nil"/>
              <w:bottom w:val="nil"/>
            </w:tcBorders>
            <w:shd w:val="clear" w:color="auto" w:fill="FFFFFF" w:themeFill="background1"/>
          </w:tcPr>
          <w:p w:rsidR="000D59B6" w:rsidRPr="009121B4" w:rsidRDefault="000D59B6"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306</w:t>
            </w:r>
          </w:p>
        </w:tc>
        <w:tc>
          <w:tcPr>
            <w:tcW w:w="1242" w:type="dxa"/>
            <w:tcBorders>
              <w:top w:val="nil"/>
              <w:bottom w:val="nil"/>
            </w:tcBorders>
            <w:shd w:val="clear" w:color="auto" w:fill="FFFFFF" w:themeFill="background1"/>
          </w:tcPr>
          <w:p w:rsidR="000D59B6" w:rsidRPr="009121B4" w:rsidRDefault="000D59B6"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84</w:t>
            </w:r>
            <w:r>
              <w:rPr>
                <w:rFonts w:ascii="Arial" w:hAnsi="Arial" w:cs="Arial"/>
                <w:color w:val="auto"/>
                <w:sz w:val="22"/>
                <w:szCs w:val="22"/>
                <w:lang w:val="es-MX"/>
              </w:rPr>
              <w:t>,</w:t>
            </w:r>
            <w:r w:rsidRPr="009121B4">
              <w:rPr>
                <w:rFonts w:ascii="Arial" w:hAnsi="Arial" w:cs="Arial"/>
                <w:color w:val="auto"/>
                <w:sz w:val="22"/>
                <w:szCs w:val="22"/>
                <w:lang w:val="es-MX"/>
              </w:rPr>
              <w:t>2</w:t>
            </w:r>
          </w:p>
        </w:tc>
        <w:tc>
          <w:tcPr>
            <w:tcW w:w="1276" w:type="dxa"/>
            <w:tcBorders>
              <w:top w:val="nil"/>
              <w:bottom w:val="nil"/>
            </w:tcBorders>
            <w:shd w:val="clear" w:color="auto" w:fill="FFFFFF" w:themeFill="background1"/>
          </w:tcPr>
          <w:p w:rsidR="000D59B6" w:rsidRPr="009121B4" w:rsidRDefault="000D59B6" w:rsidP="000D59B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104</w:t>
            </w:r>
          </w:p>
        </w:tc>
        <w:tc>
          <w:tcPr>
            <w:tcW w:w="1134" w:type="dxa"/>
            <w:tcBorders>
              <w:top w:val="nil"/>
              <w:bottom w:val="nil"/>
            </w:tcBorders>
            <w:shd w:val="clear" w:color="auto" w:fill="FFFFFF" w:themeFill="background1"/>
          </w:tcPr>
          <w:p w:rsidR="000D59B6" w:rsidRPr="009121B4" w:rsidRDefault="000D59B6" w:rsidP="000D59B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28</w:t>
            </w:r>
            <w:r>
              <w:rPr>
                <w:rFonts w:ascii="Arial" w:hAnsi="Arial" w:cs="Arial"/>
                <w:color w:val="auto"/>
                <w:sz w:val="22"/>
                <w:szCs w:val="22"/>
                <w:lang w:val="es-MX"/>
              </w:rPr>
              <w:t>,</w:t>
            </w:r>
            <w:r w:rsidRPr="009121B4">
              <w:rPr>
                <w:rFonts w:ascii="Arial" w:hAnsi="Arial" w:cs="Arial"/>
                <w:color w:val="auto"/>
                <w:sz w:val="22"/>
                <w:szCs w:val="22"/>
                <w:lang w:val="es-MX"/>
              </w:rPr>
              <w:t>4</w:t>
            </w:r>
          </w:p>
        </w:tc>
        <w:tc>
          <w:tcPr>
            <w:tcW w:w="1843" w:type="dxa"/>
            <w:tcBorders>
              <w:top w:val="nil"/>
              <w:bottom w:val="nil"/>
            </w:tcBorders>
            <w:shd w:val="clear" w:color="auto" w:fill="FFFFFF" w:themeFill="background1"/>
          </w:tcPr>
          <w:p w:rsidR="000D59B6" w:rsidRPr="009121B4" w:rsidRDefault="000D59B6"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-66</w:t>
            </w:r>
            <w:r>
              <w:rPr>
                <w:rFonts w:ascii="Arial" w:hAnsi="Arial" w:cs="Arial"/>
                <w:color w:val="auto"/>
                <w:sz w:val="22"/>
                <w:szCs w:val="22"/>
                <w:lang w:val="es-MX"/>
              </w:rPr>
              <w:t>,</w:t>
            </w:r>
            <w:r w:rsidRPr="009121B4">
              <w:rPr>
                <w:rFonts w:ascii="Arial" w:hAnsi="Arial" w:cs="Arial"/>
                <w:color w:val="auto"/>
                <w:sz w:val="22"/>
                <w:szCs w:val="22"/>
                <w:lang w:val="es-MX"/>
              </w:rPr>
              <w:t>0</w:t>
            </w:r>
          </w:p>
        </w:tc>
      </w:tr>
      <w:tr w:rsidR="000D59B6" w:rsidRPr="009121B4" w:rsidTr="000D59B6">
        <w:trPr>
          <w:jc w:val="center"/>
        </w:trPr>
        <w:tc>
          <w:tcPr>
            <w:cnfStyle w:val="001000000000" w:firstRow="0" w:lastRow="0" w:firstColumn="1" w:lastColumn="0" w:oddVBand="0" w:evenVBand="0" w:oddHBand="0" w:evenHBand="0" w:firstRowFirstColumn="0" w:firstRowLastColumn="0" w:lastRowFirstColumn="0" w:lastRowLastColumn="0"/>
            <w:tcW w:w="2040" w:type="dxa"/>
            <w:tcBorders>
              <w:top w:val="nil"/>
              <w:bottom w:val="nil"/>
            </w:tcBorders>
            <w:shd w:val="clear" w:color="auto" w:fill="FFFFFF" w:themeFill="background1"/>
          </w:tcPr>
          <w:p w:rsidR="000D59B6" w:rsidRPr="009121B4" w:rsidRDefault="000D59B6" w:rsidP="000D59B6">
            <w:pPr>
              <w:jc w:val="both"/>
              <w:rPr>
                <w:rFonts w:ascii="Arial" w:hAnsi="Arial" w:cs="Arial"/>
                <w:b w:val="0"/>
                <w:color w:val="auto"/>
                <w:sz w:val="22"/>
                <w:szCs w:val="22"/>
                <w:lang w:val="es-MX"/>
              </w:rPr>
            </w:pPr>
            <w:r w:rsidRPr="009121B4">
              <w:rPr>
                <w:rFonts w:ascii="Arial" w:hAnsi="Arial" w:cs="Arial"/>
                <w:b w:val="0"/>
                <w:color w:val="auto"/>
                <w:sz w:val="22"/>
                <w:szCs w:val="22"/>
                <w:lang w:val="es-MX"/>
              </w:rPr>
              <w:t>Huetar Norte</w:t>
            </w:r>
          </w:p>
        </w:tc>
        <w:tc>
          <w:tcPr>
            <w:tcW w:w="937" w:type="dxa"/>
            <w:tcBorders>
              <w:top w:val="nil"/>
              <w:bottom w:val="nil"/>
            </w:tcBorders>
            <w:shd w:val="clear" w:color="auto" w:fill="FFFFFF" w:themeFill="background1"/>
          </w:tcPr>
          <w:p w:rsidR="000D59B6" w:rsidRPr="009121B4" w:rsidRDefault="000D59B6"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35</w:t>
            </w:r>
          </w:p>
        </w:tc>
        <w:tc>
          <w:tcPr>
            <w:tcW w:w="1242" w:type="dxa"/>
            <w:tcBorders>
              <w:top w:val="nil"/>
              <w:bottom w:val="nil"/>
            </w:tcBorders>
            <w:shd w:val="clear" w:color="auto" w:fill="FFFFFF" w:themeFill="background1"/>
          </w:tcPr>
          <w:p w:rsidR="000D59B6" w:rsidRPr="009121B4" w:rsidRDefault="000D59B6"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14</w:t>
            </w:r>
            <w:r>
              <w:rPr>
                <w:rFonts w:ascii="Arial" w:hAnsi="Arial" w:cs="Arial"/>
                <w:color w:val="auto"/>
                <w:sz w:val="22"/>
                <w:szCs w:val="22"/>
                <w:lang w:val="es-MX"/>
              </w:rPr>
              <w:t>,</w:t>
            </w:r>
            <w:r w:rsidRPr="009121B4">
              <w:rPr>
                <w:rFonts w:ascii="Arial" w:hAnsi="Arial" w:cs="Arial"/>
                <w:color w:val="auto"/>
                <w:sz w:val="22"/>
                <w:szCs w:val="22"/>
                <w:lang w:val="es-MX"/>
              </w:rPr>
              <w:t>5</w:t>
            </w:r>
          </w:p>
        </w:tc>
        <w:tc>
          <w:tcPr>
            <w:tcW w:w="1276" w:type="dxa"/>
            <w:tcBorders>
              <w:top w:val="nil"/>
              <w:bottom w:val="nil"/>
            </w:tcBorders>
            <w:shd w:val="clear" w:color="auto" w:fill="FFFFFF" w:themeFill="background1"/>
          </w:tcPr>
          <w:p w:rsidR="000D59B6" w:rsidRPr="009121B4" w:rsidRDefault="000D59B6" w:rsidP="000D59B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13</w:t>
            </w:r>
          </w:p>
        </w:tc>
        <w:tc>
          <w:tcPr>
            <w:tcW w:w="1134" w:type="dxa"/>
            <w:tcBorders>
              <w:top w:val="nil"/>
              <w:bottom w:val="nil"/>
            </w:tcBorders>
            <w:shd w:val="clear" w:color="auto" w:fill="FFFFFF" w:themeFill="background1"/>
          </w:tcPr>
          <w:p w:rsidR="000D59B6" w:rsidRPr="009121B4" w:rsidRDefault="000D59B6" w:rsidP="000D59B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5</w:t>
            </w:r>
            <w:r>
              <w:rPr>
                <w:rFonts w:ascii="Arial" w:hAnsi="Arial" w:cs="Arial"/>
                <w:color w:val="auto"/>
                <w:sz w:val="22"/>
                <w:szCs w:val="22"/>
                <w:lang w:val="es-MX"/>
              </w:rPr>
              <w:t>,</w:t>
            </w:r>
            <w:r w:rsidRPr="009121B4">
              <w:rPr>
                <w:rFonts w:ascii="Arial" w:hAnsi="Arial" w:cs="Arial"/>
                <w:color w:val="auto"/>
                <w:sz w:val="22"/>
                <w:szCs w:val="22"/>
                <w:lang w:val="es-MX"/>
              </w:rPr>
              <w:t>3</w:t>
            </w:r>
          </w:p>
        </w:tc>
        <w:tc>
          <w:tcPr>
            <w:tcW w:w="1843" w:type="dxa"/>
            <w:tcBorders>
              <w:top w:val="nil"/>
              <w:bottom w:val="nil"/>
            </w:tcBorders>
            <w:shd w:val="clear" w:color="auto" w:fill="FFFFFF" w:themeFill="background1"/>
          </w:tcPr>
          <w:p w:rsidR="000D59B6" w:rsidRPr="009121B4" w:rsidRDefault="000D59B6"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-62</w:t>
            </w:r>
            <w:r>
              <w:rPr>
                <w:rFonts w:ascii="Arial" w:hAnsi="Arial" w:cs="Arial"/>
                <w:color w:val="auto"/>
                <w:sz w:val="22"/>
                <w:szCs w:val="22"/>
                <w:lang w:val="es-MX"/>
              </w:rPr>
              <w:t>,</w:t>
            </w:r>
            <w:r w:rsidRPr="009121B4">
              <w:rPr>
                <w:rFonts w:ascii="Arial" w:hAnsi="Arial" w:cs="Arial"/>
                <w:color w:val="auto"/>
                <w:sz w:val="22"/>
                <w:szCs w:val="22"/>
                <w:lang w:val="es-MX"/>
              </w:rPr>
              <w:t>8</w:t>
            </w:r>
          </w:p>
        </w:tc>
      </w:tr>
      <w:tr w:rsidR="000D59B6" w:rsidRPr="009121B4" w:rsidTr="00475BB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40" w:type="dxa"/>
            <w:tcBorders>
              <w:top w:val="nil"/>
              <w:bottom w:val="nil"/>
            </w:tcBorders>
            <w:shd w:val="clear" w:color="auto" w:fill="FFFFFF" w:themeFill="background1"/>
          </w:tcPr>
          <w:p w:rsidR="000D59B6" w:rsidRPr="009121B4" w:rsidRDefault="000D59B6" w:rsidP="000D59B6">
            <w:pPr>
              <w:jc w:val="both"/>
              <w:rPr>
                <w:rFonts w:ascii="Arial" w:hAnsi="Arial" w:cs="Arial"/>
                <w:b w:val="0"/>
                <w:color w:val="auto"/>
                <w:sz w:val="22"/>
                <w:szCs w:val="22"/>
                <w:lang w:val="es-MX"/>
              </w:rPr>
            </w:pPr>
            <w:r w:rsidRPr="009121B4">
              <w:rPr>
                <w:rFonts w:ascii="Arial" w:hAnsi="Arial" w:cs="Arial"/>
                <w:b w:val="0"/>
                <w:color w:val="auto"/>
                <w:sz w:val="22"/>
                <w:szCs w:val="22"/>
                <w:lang w:val="es-MX"/>
              </w:rPr>
              <w:t>Pacífico Central</w:t>
            </w:r>
          </w:p>
        </w:tc>
        <w:tc>
          <w:tcPr>
            <w:tcW w:w="937" w:type="dxa"/>
            <w:tcBorders>
              <w:top w:val="nil"/>
              <w:bottom w:val="nil"/>
            </w:tcBorders>
            <w:shd w:val="clear" w:color="auto" w:fill="FFFFFF" w:themeFill="background1"/>
          </w:tcPr>
          <w:p w:rsidR="000D59B6" w:rsidRPr="009121B4" w:rsidRDefault="000D59B6"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737</w:t>
            </w:r>
          </w:p>
        </w:tc>
        <w:tc>
          <w:tcPr>
            <w:tcW w:w="1242" w:type="dxa"/>
            <w:tcBorders>
              <w:top w:val="nil"/>
              <w:bottom w:val="nil"/>
            </w:tcBorders>
            <w:shd w:val="clear" w:color="auto" w:fill="FFFFFF" w:themeFill="background1"/>
          </w:tcPr>
          <w:p w:rsidR="000D59B6" w:rsidRPr="009121B4" w:rsidRDefault="000D59B6"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115</w:t>
            </w:r>
            <w:r>
              <w:rPr>
                <w:rFonts w:ascii="Arial" w:hAnsi="Arial" w:cs="Arial"/>
                <w:color w:val="auto"/>
                <w:sz w:val="22"/>
                <w:szCs w:val="22"/>
                <w:lang w:val="es-MX"/>
              </w:rPr>
              <w:t>,</w:t>
            </w:r>
            <w:r w:rsidRPr="009121B4">
              <w:rPr>
                <w:rFonts w:ascii="Arial" w:hAnsi="Arial" w:cs="Arial"/>
                <w:color w:val="auto"/>
                <w:sz w:val="22"/>
                <w:szCs w:val="22"/>
                <w:lang w:val="es-MX"/>
              </w:rPr>
              <w:t>0</w:t>
            </w:r>
          </w:p>
        </w:tc>
        <w:tc>
          <w:tcPr>
            <w:tcW w:w="1276" w:type="dxa"/>
            <w:tcBorders>
              <w:top w:val="nil"/>
              <w:bottom w:val="nil"/>
            </w:tcBorders>
            <w:shd w:val="clear" w:color="auto" w:fill="FFFFFF" w:themeFill="background1"/>
          </w:tcPr>
          <w:p w:rsidR="000D59B6" w:rsidRPr="009121B4" w:rsidRDefault="000D59B6" w:rsidP="000D59B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388</w:t>
            </w:r>
          </w:p>
        </w:tc>
        <w:tc>
          <w:tcPr>
            <w:tcW w:w="1134" w:type="dxa"/>
            <w:tcBorders>
              <w:top w:val="nil"/>
              <w:bottom w:val="nil"/>
            </w:tcBorders>
            <w:shd w:val="clear" w:color="auto" w:fill="FFFFFF" w:themeFill="background1"/>
          </w:tcPr>
          <w:p w:rsidR="000D59B6" w:rsidRPr="009121B4" w:rsidRDefault="000D59B6" w:rsidP="000D59B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115</w:t>
            </w:r>
            <w:r>
              <w:rPr>
                <w:rFonts w:ascii="Arial" w:hAnsi="Arial" w:cs="Arial"/>
                <w:color w:val="auto"/>
                <w:sz w:val="22"/>
                <w:szCs w:val="22"/>
                <w:lang w:val="es-MX"/>
              </w:rPr>
              <w:t>,</w:t>
            </w:r>
            <w:r w:rsidRPr="009121B4">
              <w:rPr>
                <w:rFonts w:ascii="Arial" w:hAnsi="Arial" w:cs="Arial"/>
                <w:color w:val="auto"/>
                <w:sz w:val="22"/>
                <w:szCs w:val="22"/>
                <w:lang w:val="es-MX"/>
              </w:rPr>
              <w:t>0</w:t>
            </w:r>
          </w:p>
        </w:tc>
        <w:tc>
          <w:tcPr>
            <w:tcW w:w="1843" w:type="dxa"/>
            <w:tcBorders>
              <w:top w:val="nil"/>
              <w:bottom w:val="nil"/>
            </w:tcBorders>
            <w:shd w:val="clear" w:color="auto" w:fill="FFFFFF" w:themeFill="background1"/>
          </w:tcPr>
          <w:p w:rsidR="000D59B6" w:rsidRPr="009121B4" w:rsidRDefault="000D59B6"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-47</w:t>
            </w:r>
            <w:r>
              <w:rPr>
                <w:rFonts w:ascii="Arial" w:hAnsi="Arial" w:cs="Arial"/>
                <w:color w:val="auto"/>
                <w:sz w:val="22"/>
                <w:szCs w:val="22"/>
                <w:lang w:val="es-MX"/>
              </w:rPr>
              <w:t>,</w:t>
            </w:r>
            <w:r w:rsidRPr="009121B4">
              <w:rPr>
                <w:rFonts w:ascii="Arial" w:hAnsi="Arial" w:cs="Arial"/>
                <w:color w:val="auto"/>
                <w:sz w:val="22"/>
                <w:szCs w:val="22"/>
                <w:lang w:val="es-MX"/>
              </w:rPr>
              <w:t>3</w:t>
            </w:r>
          </w:p>
        </w:tc>
      </w:tr>
      <w:tr w:rsidR="000D59B6" w:rsidRPr="009121B4" w:rsidTr="00475BBF">
        <w:trPr>
          <w:jc w:val="center"/>
        </w:trPr>
        <w:tc>
          <w:tcPr>
            <w:cnfStyle w:val="001000000000" w:firstRow="0" w:lastRow="0" w:firstColumn="1" w:lastColumn="0" w:oddVBand="0" w:evenVBand="0" w:oddHBand="0" w:evenHBand="0" w:firstRowFirstColumn="0" w:firstRowLastColumn="0" w:lastRowFirstColumn="0" w:lastRowLastColumn="0"/>
            <w:tcW w:w="2040" w:type="dxa"/>
            <w:tcBorders>
              <w:top w:val="nil"/>
            </w:tcBorders>
            <w:shd w:val="clear" w:color="auto" w:fill="FFFFFF" w:themeFill="background1"/>
          </w:tcPr>
          <w:p w:rsidR="000D59B6" w:rsidRPr="009121B4" w:rsidRDefault="000D59B6" w:rsidP="000D59B6">
            <w:pPr>
              <w:jc w:val="both"/>
              <w:rPr>
                <w:rFonts w:ascii="Arial" w:hAnsi="Arial" w:cs="Arial"/>
                <w:b w:val="0"/>
                <w:color w:val="auto"/>
                <w:sz w:val="22"/>
                <w:szCs w:val="22"/>
                <w:lang w:val="es-MX"/>
              </w:rPr>
            </w:pPr>
            <w:r w:rsidRPr="009121B4">
              <w:rPr>
                <w:rFonts w:ascii="Arial" w:hAnsi="Arial" w:cs="Arial"/>
                <w:b w:val="0"/>
                <w:color w:val="auto"/>
                <w:sz w:val="22"/>
                <w:szCs w:val="22"/>
                <w:lang w:val="es-MX"/>
              </w:rPr>
              <w:t>Chorotega</w:t>
            </w:r>
          </w:p>
        </w:tc>
        <w:tc>
          <w:tcPr>
            <w:tcW w:w="937" w:type="dxa"/>
            <w:tcBorders>
              <w:top w:val="nil"/>
            </w:tcBorders>
            <w:shd w:val="clear" w:color="auto" w:fill="FFFFFF" w:themeFill="background1"/>
          </w:tcPr>
          <w:p w:rsidR="000D59B6" w:rsidRPr="009121B4" w:rsidRDefault="000D59B6"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415</w:t>
            </w:r>
          </w:p>
        </w:tc>
        <w:tc>
          <w:tcPr>
            <w:tcW w:w="1242" w:type="dxa"/>
            <w:tcBorders>
              <w:top w:val="nil"/>
            </w:tcBorders>
            <w:shd w:val="clear" w:color="auto" w:fill="FFFFFF" w:themeFill="background1"/>
          </w:tcPr>
          <w:p w:rsidR="000D59B6" w:rsidRPr="009121B4" w:rsidRDefault="000D59B6"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96</w:t>
            </w:r>
            <w:r>
              <w:rPr>
                <w:rFonts w:ascii="Arial" w:hAnsi="Arial" w:cs="Arial"/>
                <w:color w:val="auto"/>
                <w:sz w:val="22"/>
                <w:szCs w:val="22"/>
                <w:lang w:val="es-MX"/>
              </w:rPr>
              <w:t>,</w:t>
            </w:r>
            <w:r w:rsidRPr="009121B4">
              <w:rPr>
                <w:rFonts w:ascii="Arial" w:hAnsi="Arial" w:cs="Arial"/>
                <w:color w:val="auto"/>
                <w:sz w:val="22"/>
                <w:szCs w:val="22"/>
                <w:lang w:val="es-MX"/>
              </w:rPr>
              <w:t>7</w:t>
            </w:r>
          </w:p>
        </w:tc>
        <w:tc>
          <w:tcPr>
            <w:tcW w:w="1276" w:type="dxa"/>
            <w:tcBorders>
              <w:top w:val="nil"/>
            </w:tcBorders>
            <w:shd w:val="clear" w:color="auto" w:fill="FFFFFF" w:themeFill="background1"/>
          </w:tcPr>
          <w:p w:rsidR="000D59B6" w:rsidRPr="009121B4" w:rsidRDefault="000D59B6" w:rsidP="000D59B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318</w:t>
            </w:r>
          </w:p>
        </w:tc>
        <w:tc>
          <w:tcPr>
            <w:tcW w:w="1134" w:type="dxa"/>
            <w:tcBorders>
              <w:top w:val="nil"/>
            </w:tcBorders>
            <w:shd w:val="clear" w:color="auto" w:fill="FFFFFF" w:themeFill="background1"/>
          </w:tcPr>
          <w:p w:rsidR="000D59B6" w:rsidRPr="009121B4" w:rsidRDefault="000D59B6" w:rsidP="000D59B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73</w:t>
            </w:r>
            <w:r>
              <w:rPr>
                <w:rFonts w:ascii="Arial" w:hAnsi="Arial" w:cs="Arial"/>
                <w:color w:val="auto"/>
                <w:sz w:val="22"/>
                <w:szCs w:val="22"/>
                <w:lang w:val="es-MX"/>
              </w:rPr>
              <w:t>,</w:t>
            </w:r>
            <w:r w:rsidRPr="009121B4">
              <w:rPr>
                <w:rFonts w:ascii="Arial" w:hAnsi="Arial" w:cs="Arial"/>
                <w:color w:val="auto"/>
                <w:sz w:val="22"/>
                <w:szCs w:val="22"/>
                <w:lang w:val="es-MX"/>
              </w:rPr>
              <w:t>0</w:t>
            </w:r>
          </w:p>
        </w:tc>
        <w:tc>
          <w:tcPr>
            <w:tcW w:w="1843" w:type="dxa"/>
            <w:tcBorders>
              <w:top w:val="nil"/>
            </w:tcBorders>
            <w:shd w:val="clear" w:color="auto" w:fill="FFFFFF" w:themeFill="background1"/>
          </w:tcPr>
          <w:p w:rsidR="000D59B6" w:rsidRPr="009121B4" w:rsidRDefault="000D59B6" w:rsidP="000D59B6">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-23</w:t>
            </w:r>
            <w:r>
              <w:rPr>
                <w:rFonts w:ascii="Arial" w:hAnsi="Arial" w:cs="Arial"/>
                <w:color w:val="auto"/>
                <w:sz w:val="22"/>
                <w:szCs w:val="22"/>
                <w:lang w:val="es-MX"/>
              </w:rPr>
              <w:t>,</w:t>
            </w:r>
            <w:r w:rsidRPr="009121B4">
              <w:rPr>
                <w:rFonts w:ascii="Arial" w:hAnsi="Arial" w:cs="Arial"/>
                <w:color w:val="auto"/>
                <w:sz w:val="22"/>
                <w:szCs w:val="22"/>
                <w:lang w:val="es-MX"/>
              </w:rPr>
              <w:t>4</w:t>
            </w:r>
          </w:p>
        </w:tc>
      </w:tr>
      <w:tr w:rsidR="000D59B6" w:rsidRPr="009121B4" w:rsidTr="00475BB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40" w:type="dxa"/>
            <w:tcBorders>
              <w:top w:val="nil"/>
            </w:tcBorders>
            <w:shd w:val="clear" w:color="auto" w:fill="FFFFFF" w:themeFill="background1"/>
          </w:tcPr>
          <w:p w:rsidR="000D59B6" w:rsidRPr="009121B4" w:rsidRDefault="000D59B6" w:rsidP="000D59B6">
            <w:pPr>
              <w:jc w:val="both"/>
              <w:rPr>
                <w:rFonts w:ascii="Arial" w:hAnsi="Arial" w:cs="Arial"/>
                <w:b w:val="0"/>
                <w:color w:val="auto"/>
                <w:sz w:val="22"/>
                <w:szCs w:val="22"/>
                <w:lang w:val="es-MX"/>
              </w:rPr>
            </w:pPr>
            <w:r w:rsidRPr="009121B4">
              <w:rPr>
                <w:rFonts w:ascii="Arial" w:hAnsi="Arial" w:cs="Arial"/>
                <w:b w:val="0"/>
                <w:color w:val="auto"/>
                <w:sz w:val="22"/>
                <w:szCs w:val="22"/>
                <w:lang w:val="es-MX"/>
              </w:rPr>
              <w:t>Central Norte</w:t>
            </w:r>
          </w:p>
        </w:tc>
        <w:tc>
          <w:tcPr>
            <w:tcW w:w="937" w:type="dxa"/>
            <w:tcBorders>
              <w:top w:val="nil"/>
            </w:tcBorders>
            <w:shd w:val="clear" w:color="auto" w:fill="FFFFFF" w:themeFill="background1"/>
          </w:tcPr>
          <w:p w:rsidR="000D59B6" w:rsidRPr="009121B4" w:rsidRDefault="000D59B6"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w:t>
            </w:r>
            <w:r>
              <w:rPr>
                <w:rFonts w:ascii="Arial" w:hAnsi="Arial" w:cs="Arial"/>
                <w:color w:val="auto"/>
                <w:sz w:val="22"/>
                <w:szCs w:val="22"/>
                <w:lang w:val="es-MX"/>
              </w:rPr>
              <w:t>.</w:t>
            </w:r>
            <w:r w:rsidRPr="009121B4">
              <w:rPr>
                <w:rFonts w:ascii="Arial" w:hAnsi="Arial" w:cs="Arial"/>
                <w:color w:val="auto"/>
                <w:sz w:val="22"/>
                <w:szCs w:val="22"/>
                <w:lang w:val="es-MX"/>
              </w:rPr>
              <w:t>382</w:t>
            </w:r>
          </w:p>
        </w:tc>
        <w:tc>
          <w:tcPr>
            <w:tcW w:w="1242" w:type="dxa"/>
            <w:tcBorders>
              <w:top w:val="nil"/>
            </w:tcBorders>
            <w:shd w:val="clear" w:color="auto" w:fill="FFFFFF" w:themeFill="background1"/>
          </w:tcPr>
          <w:p w:rsidR="000D59B6" w:rsidRPr="009121B4" w:rsidRDefault="000D59B6"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144</w:t>
            </w:r>
            <w:r>
              <w:rPr>
                <w:rFonts w:ascii="Arial" w:hAnsi="Arial" w:cs="Arial"/>
                <w:color w:val="auto"/>
                <w:sz w:val="22"/>
                <w:szCs w:val="22"/>
                <w:lang w:val="es-MX"/>
              </w:rPr>
              <w:t>,</w:t>
            </w:r>
            <w:r w:rsidRPr="009121B4">
              <w:rPr>
                <w:rFonts w:ascii="Arial" w:hAnsi="Arial" w:cs="Arial"/>
                <w:color w:val="auto"/>
                <w:sz w:val="22"/>
                <w:szCs w:val="22"/>
                <w:lang w:val="es-MX"/>
              </w:rPr>
              <w:t>2</w:t>
            </w:r>
          </w:p>
        </w:tc>
        <w:tc>
          <w:tcPr>
            <w:tcW w:w="1276" w:type="dxa"/>
            <w:tcBorders>
              <w:top w:val="nil"/>
            </w:tcBorders>
            <w:shd w:val="clear" w:color="auto" w:fill="FFFFFF" w:themeFill="background1"/>
          </w:tcPr>
          <w:p w:rsidR="000D59B6" w:rsidRPr="009121B4" w:rsidRDefault="000D59B6" w:rsidP="000D59B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w:t>
            </w:r>
            <w:r>
              <w:rPr>
                <w:rFonts w:ascii="Arial" w:hAnsi="Arial" w:cs="Arial"/>
                <w:color w:val="auto"/>
                <w:sz w:val="22"/>
                <w:szCs w:val="22"/>
                <w:lang w:val="es-MX"/>
              </w:rPr>
              <w:t>.</w:t>
            </w:r>
            <w:r w:rsidRPr="009121B4">
              <w:rPr>
                <w:rFonts w:ascii="Arial" w:hAnsi="Arial" w:cs="Arial"/>
                <w:color w:val="auto"/>
                <w:sz w:val="22"/>
                <w:szCs w:val="22"/>
                <w:lang w:val="es-MX"/>
              </w:rPr>
              <w:t>082</w:t>
            </w:r>
          </w:p>
        </w:tc>
        <w:tc>
          <w:tcPr>
            <w:tcW w:w="1134" w:type="dxa"/>
            <w:tcBorders>
              <w:top w:val="nil"/>
            </w:tcBorders>
            <w:shd w:val="clear" w:color="auto" w:fill="FFFFFF" w:themeFill="background1"/>
          </w:tcPr>
          <w:p w:rsidR="000D59B6" w:rsidRPr="009121B4" w:rsidRDefault="000D59B6" w:rsidP="000D59B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111</w:t>
            </w:r>
            <w:r>
              <w:rPr>
                <w:rFonts w:ascii="Arial" w:hAnsi="Arial" w:cs="Arial"/>
                <w:color w:val="auto"/>
                <w:sz w:val="22"/>
                <w:szCs w:val="22"/>
                <w:lang w:val="es-MX"/>
              </w:rPr>
              <w:t>,</w:t>
            </w:r>
            <w:r w:rsidRPr="009121B4">
              <w:rPr>
                <w:rFonts w:ascii="Arial" w:hAnsi="Arial" w:cs="Arial"/>
                <w:color w:val="auto"/>
                <w:sz w:val="22"/>
                <w:szCs w:val="22"/>
                <w:lang w:val="es-MX"/>
              </w:rPr>
              <w:t>4</w:t>
            </w:r>
          </w:p>
        </w:tc>
        <w:tc>
          <w:tcPr>
            <w:tcW w:w="1843" w:type="dxa"/>
            <w:tcBorders>
              <w:top w:val="nil"/>
            </w:tcBorders>
            <w:shd w:val="clear" w:color="auto" w:fill="FFFFFF" w:themeFill="background1"/>
          </w:tcPr>
          <w:p w:rsidR="000D59B6" w:rsidRPr="009121B4" w:rsidRDefault="000D59B6" w:rsidP="000D59B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2"/>
                <w:szCs w:val="22"/>
                <w:lang w:val="es-MX"/>
              </w:rPr>
            </w:pPr>
            <w:r w:rsidRPr="009121B4">
              <w:rPr>
                <w:rFonts w:ascii="Arial" w:hAnsi="Arial" w:cs="Arial"/>
                <w:color w:val="auto"/>
                <w:sz w:val="22"/>
                <w:szCs w:val="22"/>
                <w:lang w:val="es-MX"/>
              </w:rPr>
              <w:t>-21</w:t>
            </w:r>
            <w:r>
              <w:rPr>
                <w:rFonts w:ascii="Arial" w:hAnsi="Arial" w:cs="Arial"/>
                <w:color w:val="auto"/>
                <w:sz w:val="22"/>
                <w:szCs w:val="22"/>
                <w:lang w:val="es-MX"/>
              </w:rPr>
              <w:t>,</w:t>
            </w:r>
            <w:r w:rsidRPr="009121B4">
              <w:rPr>
                <w:rFonts w:ascii="Arial" w:hAnsi="Arial" w:cs="Arial"/>
                <w:color w:val="auto"/>
                <w:sz w:val="22"/>
                <w:szCs w:val="22"/>
                <w:lang w:val="es-MX"/>
              </w:rPr>
              <w:t>7</w:t>
            </w:r>
          </w:p>
        </w:tc>
      </w:tr>
      <w:tr w:rsidR="00907B73" w:rsidRPr="00907B73" w:rsidTr="00475BBF">
        <w:trPr>
          <w:jc w:val="center"/>
        </w:trPr>
        <w:tc>
          <w:tcPr>
            <w:cnfStyle w:val="001000000000" w:firstRow="0" w:lastRow="0" w:firstColumn="1" w:lastColumn="0" w:oddVBand="0" w:evenVBand="0" w:oddHBand="0" w:evenHBand="0" w:firstRowFirstColumn="0" w:firstRowLastColumn="0" w:lastRowFirstColumn="0" w:lastRowLastColumn="0"/>
            <w:tcW w:w="2040" w:type="dxa"/>
            <w:shd w:val="clear" w:color="auto" w:fill="FFFFFF" w:themeFill="background1"/>
          </w:tcPr>
          <w:p w:rsidR="00907B73" w:rsidRPr="00907B73" w:rsidRDefault="00907B73" w:rsidP="00907B73">
            <w:pPr>
              <w:jc w:val="both"/>
              <w:rPr>
                <w:rFonts w:ascii="Arial" w:hAnsi="Arial" w:cs="Arial"/>
                <w:b w:val="0"/>
                <w:color w:val="auto"/>
                <w:sz w:val="22"/>
                <w:szCs w:val="22"/>
                <w:lang w:val="es-MX"/>
              </w:rPr>
            </w:pPr>
            <w:r w:rsidRPr="00907B73">
              <w:rPr>
                <w:rFonts w:ascii="Arial" w:hAnsi="Arial" w:cs="Arial"/>
                <w:b w:val="0"/>
                <w:color w:val="auto"/>
                <w:sz w:val="22"/>
                <w:szCs w:val="22"/>
                <w:lang w:val="es-MX"/>
              </w:rPr>
              <w:t>Occidente</w:t>
            </w:r>
          </w:p>
        </w:tc>
        <w:tc>
          <w:tcPr>
            <w:tcW w:w="937" w:type="dxa"/>
            <w:shd w:val="clear" w:color="auto" w:fill="FFFFFF" w:themeFill="background1"/>
          </w:tcPr>
          <w:p w:rsidR="00907B73" w:rsidRPr="00907B73" w:rsidRDefault="00907B73" w:rsidP="00907B7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07B73">
              <w:rPr>
                <w:rFonts w:ascii="Arial" w:hAnsi="Arial" w:cs="Arial"/>
                <w:color w:val="auto"/>
                <w:sz w:val="22"/>
                <w:szCs w:val="22"/>
                <w:lang w:val="es-MX"/>
              </w:rPr>
              <w:t>21</w:t>
            </w:r>
          </w:p>
        </w:tc>
        <w:tc>
          <w:tcPr>
            <w:tcW w:w="1242" w:type="dxa"/>
            <w:shd w:val="clear" w:color="auto" w:fill="FFFFFF" w:themeFill="background1"/>
          </w:tcPr>
          <w:p w:rsidR="00907B73" w:rsidRPr="00907B73" w:rsidRDefault="00907B73" w:rsidP="00907B7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07B73">
              <w:rPr>
                <w:rFonts w:ascii="Arial" w:hAnsi="Arial" w:cs="Arial"/>
                <w:color w:val="auto"/>
                <w:sz w:val="22"/>
                <w:szCs w:val="22"/>
                <w:lang w:val="es-MX"/>
              </w:rPr>
              <w:t>9,9</w:t>
            </w:r>
          </w:p>
        </w:tc>
        <w:tc>
          <w:tcPr>
            <w:tcW w:w="1276" w:type="dxa"/>
            <w:shd w:val="clear" w:color="auto" w:fill="FFFFFF" w:themeFill="background1"/>
          </w:tcPr>
          <w:p w:rsidR="00907B73" w:rsidRPr="00907B73" w:rsidRDefault="00907B73" w:rsidP="00907B7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07B73">
              <w:rPr>
                <w:rFonts w:ascii="Arial" w:hAnsi="Arial" w:cs="Arial"/>
                <w:color w:val="auto"/>
                <w:sz w:val="22"/>
                <w:szCs w:val="22"/>
                <w:lang w:val="es-MX"/>
              </w:rPr>
              <w:t>0</w:t>
            </w:r>
          </w:p>
        </w:tc>
        <w:tc>
          <w:tcPr>
            <w:tcW w:w="1134" w:type="dxa"/>
            <w:shd w:val="clear" w:color="auto" w:fill="FFFFFF" w:themeFill="background1"/>
          </w:tcPr>
          <w:p w:rsidR="00907B73" w:rsidRPr="00907B73" w:rsidRDefault="00907B73" w:rsidP="00907B73">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07B73">
              <w:rPr>
                <w:rFonts w:ascii="Arial" w:hAnsi="Arial" w:cs="Arial"/>
                <w:color w:val="auto"/>
                <w:sz w:val="22"/>
                <w:szCs w:val="22"/>
                <w:lang w:val="es-MX"/>
              </w:rPr>
              <w:t>0</w:t>
            </w:r>
          </w:p>
        </w:tc>
        <w:tc>
          <w:tcPr>
            <w:tcW w:w="1843" w:type="dxa"/>
            <w:shd w:val="clear" w:color="auto" w:fill="FFFFFF" w:themeFill="background1"/>
          </w:tcPr>
          <w:p w:rsidR="00907B73" w:rsidRPr="00907B73" w:rsidRDefault="00907B73" w:rsidP="00907B7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2"/>
                <w:szCs w:val="22"/>
                <w:lang w:val="es-MX"/>
              </w:rPr>
            </w:pPr>
            <w:r w:rsidRPr="00907B73">
              <w:rPr>
                <w:rFonts w:ascii="Arial" w:hAnsi="Arial" w:cs="Arial"/>
                <w:color w:val="auto"/>
                <w:sz w:val="22"/>
                <w:szCs w:val="22"/>
                <w:lang w:val="es-MX"/>
              </w:rPr>
              <w:t>0</w:t>
            </w:r>
          </w:p>
        </w:tc>
      </w:tr>
    </w:tbl>
    <w:p w:rsidR="00475BBF" w:rsidRPr="00907B73" w:rsidRDefault="00475BBF" w:rsidP="00907B73">
      <w:pPr>
        <w:jc w:val="right"/>
        <w:rPr>
          <w:rFonts w:ascii="Arial" w:hAnsi="Arial" w:cs="Arial"/>
          <w:sz w:val="20"/>
          <w:szCs w:val="20"/>
          <w:lang w:val="es-MX"/>
        </w:rPr>
      </w:pPr>
      <w:r w:rsidRPr="00907B73">
        <w:rPr>
          <w:rFonts w:ascii="Arial" w:hAnsi="Arial" w:cs="Arial"/>
          <w:b/>
          <w:sz w:val="20"/>
          <w:szCs w:val="20"/>
          <w:lang w:val="es-MX"/>
        </w:rPr>
        <w:t>Fuente:</w:t>
      </w:r>
      <w:r w:rsidRPr="00907B73">
        <w:rPr>
          <w:rFonts w:ascii="Arial" w:hAnsi="Arial" w:cs="Arial"/>
          <w:sz w:val="20"/>
          <w:szCs w:val="20"/>
          <w:lang w:val="es-MX"/>
        </w:rPr>
        <w:t xml:space="preserve"> Dirección de Vigilancia de la Salud. </w:t>
      </w:r>
      <w:r w:rsidR="00907B73">
        <w:rPr>
          <w:rFonts w:ascii="Arial" w:hAnsi="Arial" w:cs="Arial"/>
          <w:sz w:val="20"/>
          <w:szCs w:val="20"/>
          <w:lang w:val="es-MX"/>
        </w:rPr>
        <w:t>Ministerio de Salud, 2019.</w:t>
      </w:r>
    </w:p>
    <w:p w:rsidR="00475BBF" w:rsidRPr="00907B73" w:rsidRDefault="00475BBF" w:rsidP="00475BBF">
      <w:pPr>
        <w:spacing w:line="276" w:lineRule="auto"/>
        <w:jc w:val="both"/>
        <w:rPr>
          <w:rFonts w:ascii="Arial" w:hAnsi="Arial" w:cs="Arial"/>
          <w:lang w:val="es-MX"/>
        </w:rPr>
      </w:pPr>
    </w:p>
    <w:p w:rsidR="00475BBF" w:rsidRDefault="00475BBF" w:rsidP="00475BBF">
      <w:pPr>
        <w:spacing w:line="276" w:lineRule="auto"/>
        <w:jc w:val="both"/>
        <w:rPr>
          <w:rFonts w:ascii="Arial" w:hAnsi="Arial" w:cs="Arial"/>
          <w:lang w:val="es-MX"/>
        </w:rPr>
      </w:pPr>
      <w:r>
        <w:rPr>
          <w:rFonts w:ascii="Arial" w:hAnsi="Arial" w:cs="Arial"/>
          <w:lang w:val="es-MX"/>
        </w:rPr>
        <w:t xml:space="preserve">Durante el 2018 el corredor endémico de dengue </w:t>
      </w:r>
      <w:r w:rsidR="00891050">
        <w:rPr>
          <w:rFonts w:ascii="Arial" w:hAnsi="Arial" w:cs="Arial"/>
          <w:lang w:val="es-MX"/>
        </w:rPr>
        <w:t xml:space="preserve">se </w:t>
      </w:r>
      <w:r>
        <w:rPr>
          <w:rFonts w:ascii="Arial" w:hAnsi="Arial" w:cs="Arial"/>
          <w:lang w:val="es-MX"/>
        </w:rPr>
        <w:t>mant</w:t>
      </w:r>
      <w:r w:rsidR="00891050">
        <w:rPr>
          <w:rFonts w:ascii="Arial" w:hAnsi="Arial" w:cs="Arial"/>
          <w:lang w:val="es-MX"/>
        </w:rPr>
        <w:t>uvo</w:t>
      </w:r>
      <w:r>
        <w:rPr>
          <w:rFonts w:ascii="Arial" w:hAnsi="Arial" w:cs="Arial"/>
          <w:lang w:val="es-MX"/>
        </w:rPr>
        <w:t xml:space="preserve"> en la zona de éxito la mayor parte del año</w:t>
      </w:r>
      <w:r w:rsidR="00891050">
        <w:rPr>
          <w:rFonts w:ascii="Arial" w:hAnsi="Arial" w:cs="Arial"/>
          <w:lang w:val="es-MX"/>
        </w:rPr>
        <w:t>.</w:t>
      </w:r>
      <w:r>
        <w:rPr>
          <w:rFonts w:ascii="Arial" w:hAnsi="Arial" w:cs="Arial"/>
          <w:lang w:val="es-MX"/>
        </w:rPr>
        <w:t xml:space="preserve"> </w:t>
      </w:r>
      <w:r w:rsidR="00891050">
        <w:rPr>
          <w:rFonts w:ascii="Arial" w:hAnsi="Arial" w:cs="Arial"/>
          <w:lang w:val="es-MX"/>
        </w:rPr>
        <w:t>L</w:t>
      </w:r>
      <w:r>
        <w:rPr>
          <w:rFonts w:ascii="Arial" w:hAnsi="Arial" w:cs="Arial"/>
          <w:lang w:val="es-MX"/>
        </w:rPr>
        <w:t xml:space="preserve">a cantidad de casos </w:t>
      </w:r>
      <w:r w:rsidR="00891050">
        <w:rPr>
          <w:rFonts w:ascii="Arial" w:hAnsi="Arial" w:cs="Arial"/>
          <w:lang w:val="es-MX"/>
        </w:rPr>
        <w:t>registrados</w:t>
      </w:r>
      <w:r>
        <w:rPr>
          <w:rFonts w:ascii="Arial" w:hAnsi="Arial" w:cs="Arial"/>
          <w:lang w:val="es-MX"/>
        </w:rPr>
        <w:t xml:space="preserve"> </w:t>
      </w:r>
      <w:r w:rsidR="00891050">
        <w:rPr>
          <w:rFonts w:ascii="Arial" w:hAnsi="Arial" w:cs="Arial"/>
          <w:lang w:val="es-MX"/>
        </w:rPr>
        <w:t xml:space="preserve">fue la </w:t>
      </w:r>
      <w:r>
        <w:rPr>
          <w:rFonts w:ascii="Arial" w:hAnsi="Arial" w:cs="Arial"/>
          <w:lang w:val="es-MX"/>
        </w:rPr>
        <w:t>esperad</w:t>
      </w:r>
      <w:r w:rsidR="00891050">
        <w:rPr>
          <w:rFonts w:ascii="Arial" w:hAnsi="Arial" w:cs="Arial"/>
          <w:lang w:val="es-MX"/>
        </w:rPr>
        <w:t>a</w:t>
      </w:r>
      <w:r>
        <w:rPr>
          <w:rFonts w:ascii="Arial" w:hAnsi="Arial" w:cs="Arial"/>
          <w:lang w:val="es-MX"/>
        </w:rPr>
        <w:t xml:space="preserve"> y el país no </w:t>
      </w:r>
      <w:r w:rsidR="00891050">
        <w:rPr>
          <w:rFonts w:ascii="Arial" w:hAnsi="Arial" w:cs="Arial"/>
          <w:lang w:val="es-MX"/>
        </w:rPr>
        <w:t>presentó</w:t>
      </w:r>
      <w:r>
        <w:rPr>
          <w:rFonts w:ascii="Arial" w:hAnsi="Arial" w:cs="Arial"/>
          <w:lang w:val="es-MX"/>
        </w:rPr>
        <w:t xml:space="preserve"> brote </w:t>
      </w:r>
      <w:r w:rsidR="00891050">
        <w:rPr>
          <w:rFonts w:ascii="Arial" w:hAnsi="Arial" w:cs="Arial"/>
          <w:lang w:val="es-MX"/>
        </w:rPr>
        <w:t>durante el</w:t>
      </w:r>
      <w:r>
        <w:rPr>
          <w:rFonts w:ascii="Arial" w:hAnsi="Arial" w:cs="Arial"/>
          <w:lang w:val="es-MX"/>
        </w:rPr>
        <w:t xml:space="preserve"> año. En las primeras 20 semanas se evidencia la estacionalidad de la transmisión, dada por la época seca y la disminución de la población del mosquito transmisor tanto en sus fases inmaduras como la adulta.</w:t>
      </w:r>
    </w:p>
    <w:p w:rsidR="00475BBF" w:rsidRDefault="00475BBF" w:rsidP="00475BBF">
      <w:pPr>
        <w:spacing w:line="276" w:lineRule="auto"/>
        <w:jc w:val="both"/>
        <w:rPr>
          <w:rFonts w:ascii="Arial" w:hAnsi="Arial" w:cs="Arial"/>
          <w:lang w:val="es-MX"/>
        </w:rPr>
      </w:pPr>
    </w:p>
    <w:p w:rsidR="00475BBF" w:rsidRPr="006C2BAB" w:rsidRDefault="00475BBF" w:rsidP="00475BBF">
      <w:pPr>
        <w:jc w:val="both"/>
        <w:rPr>
          <w:rFonts w:ascii="Arial" w:hAnsi="Arial" w:cs="Arial"/>
          <w:lang w:val="es-MX"/>
        </w:rPr>
      </w:pPr>
      <w:r w:rsidRPr="006C2BAB">
        <w:rPr>
          <w:rFonts w:ascii="Arial" w:hAnsi="Arial" w:cs="Arial"/>
          <w:lang w:val="es-MX"/>
        </w:rPr>
        <w:t xml:space="preserve">Los </w:t>
      </w:r>
      <w:r w:rsidR="00891050">
        <w:rPr>
          <w:rFonts w:ascii="Arial" w:hAnsi="Arial" w:cs="Arial"/>
          <w:lang w:val="es-MX"/>
        </w:rPr>
        <w:t>diez</w:t>
      </w:r>
      <w:r w:rsidRPr="006C2BAB">
        <w:rPr>
          <w:rFonts w:ascii="Arial" w:hAnsi="Arial" w:cs="Arial"/>
          <w:lang w:val="es-MX"/>
        </w:rPr>
        <w:t xml:space="preserve"> cantones con más alta incidencia</w:t>
      </w:r>
      <w:r>
        <w:rPr>
          <w:rFonts w:ascii="Arial" w:hAnsi="Arial" w:cs="Arial"/>
          <w:lang w:val="es-MX"/>
        </w:rPr>
        <w:t>, aporta</w:t>
      </w:r>
      <w:r w:rsidR="00891050">
        <w:rPr>
          <w:rFonts w:ascii="Arial" w:hAnsi="Arial" w:cs="Arial"/>
          <w:lang w:val="es-MX"/>
        </w:rPr>
        <w:t>ron</w:t>
      </w:r>
      <w:r>
        <w:rPr>
          <w:rFonts w:ascii="Arial" w:hAnsi="Arial" w:cs="Arial"/>
          <w:lang w:val="es-MX"/>
        </w:rPr>
        <w:t xml:space="preserve"> el 29</w:t>
      </w:r>
      <w:r w:rsidR="00891050">
        <w:rPr>
          <w:rFonts w:ascii="Arial" w:hAnsi="Arial" w:cs="Arial"/>
          <w:lang w:val="es-MX"/>
        </w:rPr>
        <w:t>,</w:t>
      </w:r>
      <w:r>
        <w:rPr>
          <w:rFonts w:ascii="Arial" w:hAnsi="Arial" w:cs="Arial"/>
          <w:lang w:val="es-MX"/>
        </w:rPr>
        <w:t>5 % del total de casos del país para el período.</w:t>
      </w:r>
      <w:r w:rsidR="00891050">
        <w:rPr>
          <w:rFonts w:ascii="Arial" w:hAnsi="Arial" w:cs="Arial"/>
          <w:lang w:val="es-MX"/>
        </w:rPr>
        <w:t xml:space="preserve"> Gráfico </w:t>
      </w:r>
      <w:r w:rsidR="002818D5">
        <w:rPr>
          <w:rFonts w:ascii="Arial" w:hAnsi="Arial" w:cs="Arial"/>
          <w:lang w:val="es-MX"/>
        </w:rPr>
        <w:t>19</w:t>
      </w:r>
      <w:r w:rsidR="00891050">
        <w:rPr>
          <w:rFonts w:ascii="Arial" w:hAnsi="Arial" w:cs="Arial"/>
          <w:lang w:val="es-MX"/>
        </w:rPr>
        <w:t>.</w:t>
      </w:r>
    </w:p>
    <w:p w:rsidR="00475BBF" w:rsidRDefault="00475BBF" w:rsidP="00475BBF">
      <w:pPr>
        <w:jc w:val="both"/>
        <w:rPr>
          <w:rFonts w:ascii="Arial" w:hAnsi="Arial" w:cs="Arial"/>
          <w:b/>
          <w:lang w:val="es-MX"/>
        </w:rPr>
      </w:pPr>
    </w:p>
    <w:p w:rsidR="00891050" w:rsidRDefault="00891050">
      <w:pPr>
        <w:spacing w:after="160" w:line="259" w:lineRule="auto"/>
        <w:rPr>
          <w:rFonts w:ascii="Arial" w:hAnsi="Arial" w:cs="Arial"/>
          <w:b/>
          <w:lang w:val="es-MX"/>
        </w:rPr>
      </w:pPr>
      <w:r>
        <w:rPr>
          <w:rFonts w:ascii="Arial" w:hAnsi="Arial" w:cs="Arial"/>
          <w:b/>
          <w:lang w:val="es-MX"/>
        </w:rPr>
        <w:br w:type="page"/>
      </w:r>
    </w:p>
    <w:p w:rsidR="00475BBF" w:rsidRDefault="00475BBF" w:rsidP="00475BBF">
      <w:pPr>
        <w:jc w:val="both"/>
        <w:rPr>
          <w:rFonts w:ascii="Arial" w:hAnsi="Arial" w:cs="Arial"/>
          <w:b/>
          <w:lang w:val="es-MX"/>
        </w:rPr>
      </w:pPr>
    </w:p>
    <w:p w:rsidR="00891050" w:rsidRPr="00F559D1" w:rsidRDefault="00475BBF" w:rsidP="00F559D1">
      <w:pPr>
        <w:jc w:val="center"/>
        <w:rPr>
          <w:rFonts w:ascii="Arial" w:hAnsi="Arial" w:cs="Arial"/>
          <w:b/>
          <w:lang w:val="es-MX"/>
        </w:rPr>
      </w:pPr>
      <w:r w:rsidRPr="00F559D1">
        <w:rPr>
          <w:rFonts w:ascii="Arial" w:hAnsi="Arial" w:cs="Arial"/>
          <w:b/>
          <w:lang w:val="es-MX"/>
        </w:rPr>
        <w:t xml:space="preserve">Gráfico </w:t>
      </w:r>
      <w:r w:rsidR="002313C3" w:rsidRPr="00F559D1">
        <w:rPr>
          <w:rFonts w:ascii="Arial" w:hAnsi="Arial" w:cs="Arial"/>
          <w:b/>
          <w:lang w:val="es-MX"/>
        </w:rPr>
        <w:t>19</w:t>
      </w:r>
      <w:r w:rsidRPr="00F559D1">
        <w:rPr>
          <w:rFonts w:ascii="Arial" w:hAnsi="Arial" w:cs="Arial"/>
          <w:b/>
          <w:lang w:val="es-MX"/>
        </w:rPr>
        <w:t>.</w:t>
      </w:r>
    </w:p>
    <w:p w:rsidR="00475BBF" w:rsidRPr="00F559D1" w:rsidRDefault="00475BBF" w:rsidP="00F559D1">
      <w:pPr>
        <w:jc w:val="center"/>
        <w:rPr>
          <w:rFonts w:ascii="Arial" w:hAnsi="Arial" w:cs="Arial"/>
          <w:b/>
          <w:lang w:val="es-MX"/>
        </w:rPr>
      </w:pPr>
      <w:r w:rsidRPr="00F559D1">
        <w:rPr>
          <w:rFonts w:ascii="Arial" w:hAnsi="Arial" w:cs="Arial"/>
          <w:b/>
          <w:lang w:val="es-MX"/>
        </w:rPr>
        <w:t>Costa Rica</w:t>
      </w:r>
      <w:r w:rsidR="00891050" w:rsidRPr="00F559D1">
        <w:rPr>
          <w:rFonts w:ascii="Arial" w:hAnsi="Arial" w:cs="Arial"/>
          <w:b/>
          <w:lang w:val="es-MX"/>
        </w:rPr>
        <w:t>:</w:t>
      </w:r>
      <w:r w:rsidRPr="00F559D1">
        <w:rPr>
          <w:rFonts w:ascii="Arial" w:hAnsi="Arial" w:cs="Arial"/>
          <w:b/>
          <w:lang w:val="es-MX"/>
        </w:rPr>
        <w:t xml:space="preserve"> Diez cantones con más alta incidencia </w:t>
      </w:r>
      <w:r w:rsidR="00891050" w:rsidRPr="00F559D1">
        <w:rPr>
          <w:rFonts w:ascii="Arial" w:hAnsi="Arial" w:cs="Arial"/>
          <w:b/>
          <w:lang w:val="es-MX"/>
        </w:rPr>
        <w:t>de</w:t>
      </w:r>
      <w:r w:rsidRPr="00F559D1">
        <w:rPr>
          <w:rFonts w:ascii="Arial" w:hAnsi="Arial" w:cs="Arial"/>
          <w:b/>
          <w:lang w:val="es-MX"/>
        </w:rPr>
        <w:t xml:space="preserve"> dengue, 2018</w:t>
      </w:r>
    </w:p>
    <w:p w:rsidR="00475BBF" w:rsidRDefault="00475BBF" w:rsidP="00F559D1">
      <w:pPr>
        <w:jc w:val="center"/>
        <w:rPr>
          <w:lang w:val="es-MX"/>
        </w:rPr>
      </w:pPr>
      <w:r>
        <w:rPr>
          <w:noProof/>
          <w:lang w:val="es-CR" w:eastAsia="es-CR"/>
        </w:rPr>
        <w:drawing>
          <wp:inline distT="0" distB="0" distL="0" distR="0" wp14:anchorId="66F78A94" wp14:editId="418C3345">
            <wp:extent cx="5295900" cy="2790825"/>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475BBF" w:rsidRPr="00C26677" w:rsidRDefault="00475BBF" w:rsidP="00F559D1">
      <w:pPr>
        <w:jc w:val="center"/>
        <w:rPr>
          <w:lang w:val="es-MX"/>
        </w:rPr>
      </w:pPr>
      <w:r w:rsidRPr="00F559D1">
        <w:rPr>
          <w:rFonts w:ascii="Arial" w:hAnsi="Arial" w:cs="Arial"/>
          <w:b/>
          <w:sz w:val="20"/>
          <w:szCs w:val="20"/>
          <w:lang w:val="es-MX"/>
        </w:rPr>
        <w:t>Fuente</w:t>
      </w:r>
      <w:r w:rsidRPr="00F559D1">
        <w:rPr>
          <w:rFonts w:ascii="Arial" w:hAnsi="Arial" w:cs="Arial"/>
          <w:sz w:val="20"/>
          <w:szCs w:val="20"/>
          <w:lang w:val="es-MX"/>
        </w:rPr>
        <w:t xml:space="preserve">: Dirección de Vigilancia de la Salud. </w:t>
      </w:r>
      <w:r w:rsidR="00891050" w:rsidRPr="00F559D1">
        <w:rPr>
          <w:rFonts w:ascii="Arial" w:hAnsi="Arial" w:cs="Arial"/>
          <w:sz w:val="20"/>
          <w:szCs w:val="20"/>
          <w:lang w:val="es-MX"/>
        </w:rPr>
        <w:t>Ministerio de Salud, 2019</w:t>
      </w:r>
      <w:r w:rsidR="00891050">
        <w:rPr>
          <w:sz w:val="20"/>
          <w:szCs w:val="20"/>
          <w:lang w:val="es-MX"/>
        </w:rPr>
        <w:t>.</w:t>
      </w:r>
    </w:p>
    <w:p w:rsidR="00FF0A70" w:rsidRDefault="00FF0A70" w:rsidP="00475BBF">
      <w:pPr>
        <w:spacing w:line="360" w:lineRule="auto"/>
        <w:jc w:val="both"/>
        <w:rPr>
          <w:rFonts w:ascii="Arial" w:hAnsi="Arial" w:cs="Arial"/>
          <w:lang w:val="es-MX"/>
        </w:rPr>
      </w:pPr>
    </w:p>
    <w:p w:rsidR="00475BBF" w:rsidRPr="00FF0A70" w:rsidRDefault="00475BBF" w:rsidP="00FF0A70">
      <w:pPr>
        <w:spacing w:line="276" w:lineRule="auto"/>
        <w:jc w:val="both"/>
        <w:rPr>
          <w:rFonts w:ascii="Arial" w:hAnsi="Arial" w:cs="Arial"/>
          <w:lang w:val="es-MX"/>
        </w:rPr>
      </w:pPr>
      <w:r w:rsidRPr="00FF0A70">
        <w:rPr>
          <w:rFonts w:ascii="Arial" w:hAnsi="Arial" w:cs="Arial"/>
          <w:lang w:val="es-MX"/>
        </w:rPr>
        <w:t xml:space="preserve">Para el período 2014 al 2018, se reportaron 60 </w:t>
      </w:r>
      <w:r w:rsidR="00BC0914" w:rsidRPr="00FF0A70">
        <w:rPr>
          <w:rFonts w:ascii="Arial" w:hAnsi="Arial" w:cs="Arial"/>
          <w:lang w:val="es-MX"/>
        </w:rPr>
        <w:t>personas con dengue</w:t>
      </w:r>
      <w:r w:rsidRPr="00FF0A70">
        <w:rPr>
          <w:rFonts w:ascii="Arial" w:hAnsi="Arial" w:cs="Arial"/>
          <w:lang w:val="es-MX"/>
        </w:rPr>
        <w:t xml:space="preserve"> grave, siendo el 2015 </w:t>
      </w:r>
      <w:r w:rsidR="00BC0914" w:rsidRPr="00FF0A70">
        <w:rPr>
          <w:rFonts w:ascii="Arial" w:hAnsi="Arial" w:cs="Arial"/>
          <w:lang w:val="es-MX"/>
        </w:rPr>
        <w:t>el que prsentó la</w:t>
      </w:r>
      <w:r w:rsidRPr="00FF0A70">
        <w:rPr>
          <w:rFonts w:ascii="Arial" w:hAnsi="Arial" w:cs="Arial"/>
          <w:lang w:val="es-MX"/>
        </w:rPr>
        <w:t xml:space="preserve"> mayor cantidad (44.8%), de éstos el 53.3% </w:t>
      </w:r>
      <w:r w:rsidR="00BC0914" w:rsidRPr="00FF0A70">
        <w:rPr>
          <w:rFonts w:ascii="Arial" w:hAnsi="Arial" w:cs="Arial"/>
          <w:lang w:val="es-MX"/>
        </w:rPr>
        <w:t>de los casos fueron de</w:t>
      </w:r>
      <w:r w:rsidRPr="00FF0A70">
        <w:rPr>
          <w:rFonts w:ascii="Arial" w:hAnsi="Arial" w:cs="Arial"/>
          <w:lang w:val="es-MX"/>
        </w:rPr>
        <w:t>l sexo masculino.</w:t>
      </w:r>
    </w:p>
    <w:p w:rsidR="00475BBF" w:rsidRDefault="00475BBF" w:rsidP="00FF0A70">
      <w:pPr>
        <w:spacing w:line="276" w:lineRule="auto"/>
        <w:jc w:val="both"/>
        <w:rPr>
          <w:rFonts w:ascii="Arial" w:hAnsi="Arial" w:cs="Arial"/>
          <w:lang w:val="es-MX"/>
        </w:rPr>
      </w:pPr>
      <w:r w:rsidRPr="00FF0A70">
        <w:rPr>
          <w:rFonts w:ascii="Arial" w:hAnsi="Arial" w:cs="Arial"/>
          <w:lang w:val="es-MX"/>
        </w:rPr>
        <w:t>Durante este período no se registró ninguna defunción por dengue grave.</w:t>
      </w:r>
    </w:p>
    <w:p w:rsidR="00FF0A70" w:rsidRPr="00FF0A70" w:rsidRDefault="00FF0A70" w:rsidP="00FF0A70">
      <w:pPr>
        <w:spacing w:line="276" w:lineRule="auto"/>
        <w:jc w:val="both"/>
        <w:rPr>
          <w:rFonts w:ascii="Arial" w:hAnsi="Arial" w:cs="Arial"/>
          <w:lang w:val="es-MX"/>
        </w:rPr>
      </w:pPr>
    </w:p>
    <w:p w:rsidR="00475BBF" w:rsidRPr="00BC0914" w:rsidRDefault="00BC0914" w:rsidP="002313C3">
      <w:pPr>
        <w:pStyle w:val="Ttulo3"/>
        <w:spacing w:after="240"/>
        <w:rPr>
          <w:rFonts w:ascii="Calibri" w:eastAsia="Calibri" w:hAnsi="Calibri" w:cs="Calibri"/>
          <w:b/>
          <w:bCs/>
          <w:color w:val="auto"/>
          <w:sz w:val="28"/>
          <w:szCs w:val="28"/>
        </w:rPr>
      </w:pPr>
      <w:bookmarkStart w:id="45" w:name="_Toc506187955"/>
      <w:bookmarkStart w:id="46" w:name="_Toc7439669"/>
      <w:r w:rsidRPr="00BC0914">
        <w:rPr>
          <w:rFonts w:ascii="Arial" w:hAnsi="Arial" w:cs="Arial"/>
          <w:b/>
          <w:color w:val="auto"/>
        </w:rPr>
        <w:t>Chikungunya</w:t>
      </w:r>
      <w:bookmarkEnd w:id="45"/>
      <w:bookmarkEnd w:id="46"/>
    </w:p>
    <w:p w:rsidR="00475BBF" w:rsidRDefault="00475BBF" w:rsidP="00BC0914">
      <w:pPr>
        <w:autoSpaceDE w:val="0"/>
        <w:autoSpaceDN w:val="0"/>
        <w:adjustRightInd w:val="0"/>
        <w:spacing w:line="276" w:lineRule="auto"/>
        <w:ind w:right="49"/>
        <w:jc w:val="both"/>
        <w:rPr>
          <w:rFonts w:ascii="Arial" w:eastAsia="Times New Roman" w:hAnsi="Arial" w:cs="Arial"/>
          <w:color w:val="000000"/>
          <w:lang w:val="es-ES" w:eastAsia="es-ES"/>
        </w:rPr>
      </w:pPr>
      <w:r w:rsidRPr="00020FFD">
        <w:rPr>
          <w:rFonts w:ascii="Arial" w:eastAsia="Times New Roman" w:hAnsi="Arial" w:cs="Arial"/>
          <w:color w:val="000000"/>
          <w:lang w:val="es-ES" w:eastAsia="es-ES"/>
        </w:rPr>
        <w:t>La fiebre chikungunya (CHIK), es una enfermedad emergente transmitida por mosquitos y causada por un alfavirus, el virus Chikungunya (CHIKV)</w:t>
      </w:r>
      <w:r w:rsidR="00BC0914">
        <w:rPr>
          <w:rFonts w:ascii="Arial" w:eastAsia="Times New Roman" w:hAnsi="Arial" w:cs="Arial"/>
          <w:color w:val="000000"/>
          <w:lang w:val="es-ES" w:eastAsia="es-ES"/>
        </w:rPr>
        <w:t xml:space="preserve"> y</w:t>
      </w:r>
      <w:r w:rsidRPr="00020FFD">
        <w:rPr>
          <w:rFonts w:ascii="Arial" w:eastAsia="Times New Roman" w:hAnsi="Arial" w:cs="Arial"/>
          <w:color w:val="000000"/>
          <w:lang w:val="es-ES" w:eastAsia="es-ES"/>
        </w:rPr>
        <w:t xml:space="preserve"> transmitida </w:t>
      </w:r>
      <w:r w:rsidR="00BC0914">
        <w:rPr>
          <w:rFonts w:ascii="Arial" w:eastAsia="Times New Roman" w:hAnsi="Arial" w:cs="Arial"/>
          <w:color w:val="000000"/>
          <w:lang w:val="es-ES" w:eastAsia="es-ES"/>
        </w:rPr>
        <w:t xml:space="preserve">principalmente </w:t>
      </w:r>
      <w:r w:rsidRPr="00020FFD">
        <w:rPr>
          <w:rFonts w:ascii="Arial" w:eastAsia="Times New Roman" w:hAnsi="Arial" w:cs="Arial"/>
          <w:color w:val="000000"/>
          <w:lang w:val="es-ES" w:eastAsia="es-ES"/>
        </w:rPr>
        <w:t xml:space="preserve">por </w:t>
      </w:r>
      <w:r w:rsidR="00BC0914">
        <w:rPr>
          <w:rFonts w:ascii="Arial" w:eastAsia="Times New Roman" w:hAnsi="Arial" w:cs="Arial"/>
          <w:color w:val="000000"/>
          <w:lang w:val="es-ES" w:eastAsia="es-ES"/>
        </w:rPr>
        <w:t xml:space="preserve">el </w:t>
      </w:r>
      <w:r w:rsidRPr="00020FFD">
        <w:rPr>
          <w:rFonts w:ascii="Arial" w:eastAsia="Times New Roman" w:hAnsi="Arial" w:cs="Arial"/>
          <w:color w:val="000000"/>
          <w:lang w:val="es-ES" w:eastAsia="es-ES"/>
        </w:rPr>
        <w:t xml:space="preserve">mosquito </w:t>
      </w:r>
      <w:r w:rsidRPr="00020FFD">
        <w:rPr>
          <w:rFonts w:ascii="Arial" w:eastAsia="Times New Roman" w:hAnsi="Arial" w:cs="Arial"/>
          <w:i/>
          <w:color w:val="000000"/>
          <w:lang w:val="es-ES" w:eastAsia="es-ES"/>
        </w:rPr>
        <w:t>Aedes aegypti</w:t>
      </w:r>
      <w:r>
        <w:rPr>
          <w:rFonts w:ascii="Arial" w:eastAsia="Times New Roman" w:hAnsi="Arial" w:cs="Arial"/>
          <w:color w:val="000000"/>
          <w:lang w:val="es-ES" w:eastAsia="es-ES"/>
        </w:rPr>
        <w:t>.</w:t>
      </w:r>
    </w:p>
    <w:p w:rsidR="00BC0914" w:rsidRPr="00020FFD" w:rsidRDefault="00BC0914" w:rsidP="00BC0914">
      <w:pPr>
        <w:autoSpaceDE w:val="0"/>
        <w:autoSpaceDN w:val="0"/>
        <w:adjustRightInd w:val="0"/>
        <w:spacing w:line="276" w:lineRule="auto"/>
        <w:ind w:right="49"/>
        <w:jc w:val="both"/>
        <w:rPr>
          <w:rFonts w:ascii="Arial" w:eastAsia="Times New Roman" w:hAnsi="Arial" w:cs="Arial"/>
          <w:color w:val="000000"/>
          <w:lang w:val="es-ES" w:eastAsia="es-ES"/>
        </w:rPr>
      </w:pPr>
    </w:p>
    <w:p w:rsidR="00475BBF" w:rsidRDefault="00475BBF" w:rsidP="00BC0914">
      <w:pPr>
        <w:shd w:val="clear" w:color="auto" w:fill="FFFFFF"/>
        <w:spacing w:line="276" w:lineRule="auto"/>
        <w:ind w:right="49"/>
        <w:jc w:val="both"/>
        <w:textAlignment w:val="baseline"/>
        <w:rPr>
          <w:rFonts w:ascii="Arial" w:hAnsi="Arial" w:cs="Arial"/>
          <w:lang w:val="es-MX"/>
        </w:rPr>
      </w:pPr>
      <w:r w:rsidRPr="003A05DB">
        <w:rPr>
          <w:rFonts w:ascii="Arial" w:eastAsia="Times New Roman" w:hAnsi="Arial" w:cs="Arial"/>
          <w:color w:val="333333"/>
          <w:lang w:val="es-ES" w:eastAsia="es-CR"/>
        </w:rPr>
        <w:t>A partir del año 2014 se inicia la transmisión en diferentes países de la Región de la Américas y ya en el 2015 se reportan grandes brotes en varios países</w:t>
      </w:r>
      <w:r w:rsidR="00BC0914" w:rsidRPr="003A05DB">
        <w:rPr>
          <w:rFonts w:ascii="Arial" w:eastAsia="Times New Roman" w:hAnsi="Arial" w:cs="Arial"/>
          <w:color w:val="333333"/>
          <w:lang w:val="es-ES" w:eastAsia="es-CR"/>
        </w:rPr>
        <w:t>.</w:t>
      </w:r>
      <w:r w:rsidRPr="003A05DB">
        <w:rPr>
          <w:rFonts w:ascii="Arial" w:eastAsia="Times New Roman" w:hAnsi="Arial" w:cs="Arial"/>
          <w:color w:val="333333"/>
          <w:lang w:val="es-ES" w:eastAsia="es-CR"/>
        </w:rPr>
        <w:t xml:space="preserve"> </w:t>
      </w:r>
      <w:r w:rsidR="00BC0914" w:rsidRPr="003A05DB">
        <w:rPr>
          <w:rFonts w:ascii="Arial" w:eastAsia="Times New Roman" w:hAnsi="Arial" w:cs="Arial"/>
          <w:color w:val="333333"/>
          <w:lang w:val="es-ES" w:eastAsia="es-CR"/>
        </w:rPr>
        <w:t xml:space="preserve">En Costa Rica </w:t>
      </w:r>
      <w:r w:rsidRPr="003A05DB">
        <w:rPr>
          <w:rFonts w:ascii="Arial" w:hAnsi="Arial" w:cs="Arial"/>
          <w:lang w:val="es-ES"/>
        </w:rPr>
        <w:t>se</w:t>
      </w:r>
      <w:r w:rsidRPr="00020FFD">
        <w:rPr>
          <w:rFonts w:ascii="Arial" w:hAnsi="Arial" w:cs="Arial"/>
          <w:lang w:val="es-MX"/>
        </w:rPr>
        <w:t xml:space="preserve"> detecta</w:t>
      </w:r>
      <w:r w:rsidR="00BC0914">
        <w:rPr>
          <w:rFonts w:ascii="Arial" w:hAnsi="Arial" w:cs="Arial"/>
          <w:lang w:val="es-MX"/>
        </w:rPr>
        <w:t xml:space="preserve">n los primeros casos importados </w:t>
      </w:r>
      <w:r w:rsidR="00BC0914" w:rsidRPr="00020FFD">
        <w:rPr>
          <w:rFonts w:ascii="Arial" w:hAnsi="Arial" w:cs="Arial"/>
          <w:lang w:val="es-MX"/>
        </w:rPr>
        <w:t>a partir de la semana 21</w:t>
      </w:r>
      <w:r w:rsidR="00BC0914">
        <w:rPr>
          <w:rFonts w:ascii="Arial" w:hAnsi="Arial" w:cs="Arial"/>
          <w:lang w:val="es-MX"/>
        </w:rPr>
        <w:t xml:space="preserve"> del</w:t>
      </w:r>
      <w:r w:rsidRPr="00020FFD">
        <w:rPr>
          <w:rFonts w:ascii="Arial" w:hAnsi="Arial" w:cs="Arial"/>
          <w:lang w:val="es-MX"/>
        </w:rPr>
        <w:t xml:space="preserve"> 2014</w:t>
      </w:r>
      <w:r w:rsidR="00BC0914">
        <w:rPr>
          <w:rFonts w:ascii="Arial" w:hAnsi="Arial" w:cs="Arial"/>
          <w:lang w:val="es-MX"/>
        </w:rPr>
        <w:t>.</w:t>
      </w:r>
      <w:r w:rsidRPr="00020FFD">
        <w:rPr>
          <w:rFonts w:ascii="Arial" w:hAnsi="Arial" w:cs="Arial"/>
          <w:lang w:val="es-MX"/>
        </w:rPr>
        <w:t xml:space="preserve"> A finales del año 2014 comienza a establecerse la transmisión autóctona y poco a poco se </w:t>
      </w:r>
      <w:r w:rsidR="00BC0914">
        <w:rPr>
          <w:rFonts w:ascii="Arial" w:hAnsi="Arial" w:cs="Arial"/>
          <w:lang w:val="es-MX"/>
        </w:rPr>
        <w:t>extendió a</w:t>
      </w:r>
      <w:r w:rsidRPr="00020FFD">
        <w:rPr>
          <w:rFonts w:ascii="Arial" w:hAnsi="Arial" w:cs="Arial"/>
          <w:lang w:val="es-MX"/>
        </w:rPr>
        <w:t xml:space="preserve"> todas las regiones del país.</w:t>
      </w:r>
    </w:p>
    <w:p w:rsidR="00BC0914" w:rsidRDefault="00BC0914" w:rsidP="00BC0914">
      <w:pPr>
        <w:shd w:val="clear" w:color="auto" w:fill="FFFFFF"/>
        <w:spacing w:line="276" w:lineRule="auto"/>
        <w:ind w:right="300"/>
        <w:jc w:val="both"/>
        <w:textAlignment w:val="baseline"/>
        <w:rPr>
          <w:rFonts w:ascii="Arial" w:eastAsia="Times New Roman" w:hAnsi="Arial" w:cs="Arial"/>
          <w:color w:val="333333"/>
          <w:lang w:eastAsia="es-CR"/>
        </w:rPr>
      </w:pPr>
    </w:p>
    <w:p w:rsidR="00224B67" w:rsidRDefault="00224B67" w:rsidP="00BC0914">
      <w:pPr>
        <w:shd w:val="clear" w:color="auto" w:fill="FFFFFF"/>
        <w:spacing w:line="276" w:lineRule="auto"/>
        <w:ind w:right="300"/>
        <w:jc w:val="both"/>
        <w:textAlignment w:val="baseline"/>
        <w:rPr>
          <w:rFonts w:ascii="Arial" w:eastAsia="Times New Roman" w:hAnsi="Arial" w:cs="Arial"/>
          <w:color w:val="333333"/>
          <w:lang w:eastAsia="es-CR"/>
        </w:rPr>
      </w:pPr>
    </w:p>
    <w:p w:rsidR="00224B67" w:rsidRDefault="00224B67" w:rsidP="00BC0914">
      <w:pPr>
        <w:shd w:val="clear" w:color="auto" w:fill="FFFFFF"/>
        <w:spacing w:line="276" w:lineRule="auto"/>
        <w:ind w:right="300"/>
        <w:jc w:val="both"/>
        <w:textAlignment w:val="baseline"/>
        <w:rPr>
          <w:rFonts w:ascii="Arial" w:eastAsia="Times New Roman" w:hAnsi="Arial" w:cs="Arial"/>
          <w:color w:val="333333"/>
          <w:lang w:eastAsia="es-CR"/>
        </w:rPr>
      </w:pPr>
    </w:p>
    <w:p w:rsidR="00224B67" w:rsidRPr="005A4B70" w:rsidRDefault="00224B67" w:rsidP="00BC0914">
      <w:pPr>
        <w:shd w:val="clear" w:color="auto" w:fill="FFFFFF"/>
        <w:spacing w:line="276" w:lineRule="auto"/>
        <w:ind w:right="300"/>
        <w:jc w:val="both"/>
        <w:textAlignment w:val="baseline"/>
        <w:rPr>
          <w:rFonts w:ascii="Arial" w:eastAsia="Times New Roman" w:hAnsi="Arial" w:cs="Arial"/>
          <w:color w:val="333333"/>
          <w:lang w:eastAsia="es-CR"/>
        </w:rPr>
      </w:pPr>
    </w:p>
    <w:p w:rsidR="00475BBF" w:rsidRDefault="00475BBF" w:rsidP="00475BBF">
      <w:pPr>
        <w:tabs>
          <w:tab w:val="left" w:pos="8789"/>
        </w:tabs>
        <w:spacing w:line="276" w:lineRule="auto"/>
        <w:jc w:val="both"/>
        <w:rPr>
          <w:rFonts w:ascii="Arial" w:hAnsi="Arial" w:cs="Arial"/>
          <w:lang w:val="es-MX"/>
        </w:rPr>
      </w:pPr>
      <w:r w:rsidRPr="00020FFD">
        <w:rPr>
          <w:rFonts w:ascii="Arial" w:hAnsi="Arial" w:cs="Arial"/>
          <w:lang w:val="es-MX"/>
        </w:rPr>
        <w:t xml:space="preserve">Durante </w:t>
      </w:r>
      <w:r w:rsidR="00BC0914">
        <w:rPr>
          <w:rFonts w:ascii="Arial" w:hAnsi="Arial" w:cs="Arial"/>
          <w:lang w:val="es-MX"/>
        </w:rPr>
        <w:t>el período</w:t>
      </w:r>
      <w:r w:rsidRPr="00020FFD">
        <w:rPr>
          <w:rFonts w:ascii="Arial" w:hAnsi="Arial" w:cs="Arial"/>
          <w:lang w:val="es-MX"/>
        </w:rPr>
        <w:t xml:space="preserve"> 2014</w:t>
      </w:r>
      <w:r w:rsidR="00BC0914">
        <w:rPr>
          <w:rFonts w:ascii="Arial" w:hAnsi="Arial" w:cs="Arial"/>
          <w:lang w:val="es-MX"/>
        </w:rPr>
        <w:t>-</w:t>
      </w:r>
      <w:r w:rsidRPr="00020FFD">
        <w:rPr>
          <w:rFonts w:ascii="Arial" w:hAnsi="Arial" w:cs="Arial"/>
          <w:lang w:val="es-MX"/>
        </w:rPr>
        <w:t xml:space="preserve">2018, se notificaron 9.214 casos de CHIKV, siendo el 2015 </w:t>
      </w:r>
      <w:r w:rsidR="00224B67">
        <w:rPr>
          <w:rFonts w:ascii="Arial" w:hAnsi="Arial" w:cs="Arial"/>
          <w:lang w:val="es-MX"/>
        </w:rPr>
        <w:t xml:space="preserve">el de </w:t>
      </w:r>
      <w:r>
        <w:rPr>
          <w:rFonts w:ascii="Arial" w:hAnsi="Arial" w:cs="Arial"/>
          <w:lang w:val="es-MX"/>
        </w:rPr>
        <w:t>mayor incidencia</w:t>
      </w:r>
      <w:r w:rsidR="00224B67">
        <w:rPr>
          <w:rFonts w:ascii="Arial" w:hAnsi="Arial" w:cs="Arial"/>
          <w:lang w:val="es-MX"/>
        </w:rPr>
        <w:t>, con una tasa</w:t>
      </w:r>
      <w:r>
        <w:rPr>
          <w:rFonts w:ascii="Arial" w:hAnsi="Arial" w:cs="Arial"/>
          <w:lang w:val="es-MX"/>
        </w:rPr>
        <w:t xml:space="preserve"> 101,</w:t>
      </w:r>
      <w:r w:rsidRPr="00020FFD">
        <w:rPr>
          <w:rFonts w:ascii="Arial" w:hAnsi="Arial" w:cs="Arial"/>
          <w:lang w:val="es-MX"/>
        </w:rPr>
        <w:t>7 por 100</w:t>
      </w:r>
      <w:r>
        <w:rPr>
          <w:rFonts w:ascii="Arial" w:hAnsi="Arial" w:cs="Arial"/>
          <w:lang w:val="es-MX"/>
        </w:rPr>
        <w:t>.</w:t>
      </w:r>
      <w:r w:rsidRPr="00020FFD">
        <w:rPr>
          <w:rFonts w:ascii="Arial" w:hAnsi="Arial" w:cs="Arial"/>
          <w:lang w:val="es-MX"/>
        </w:rPr>
        <w:t>000 habitantes.  En</w:t>
      </w:r>
      <w:r w:rsidRPr="00F74655">
        <w:rPr>
          <w:rFonts w:ascii="Arial" w:hAnsi="Arial" w:cs="Arial"/>
          <w:lang w:val="es-MX"/>
        </w:rPr>
        <w:t xml:space="preserve"> es</w:t>
      </w:r>
      <w:r w:rsidR="00224B67">
        <w:rPr>
          <w:rFonts w:ascii="Arial" w:hAnsi="Arial" w:cs="Arial"/>
          <w:lang w:val="es-MX"/>
        </w:rPr>
        <w:t>t</w:t>
      </w:r>
      <w:r w:rsidRPr="00F74655">
        <w:rPr>
          <w:rFonts w:ascii="Arial" w:hAnsi="Arial" w:cs="Arial"/>
          <w:lang w:val="es-MX"/>
        </w:rPr>
        <w:t xml:space="preserve">e período </w:t>
      </w:r>
      <w:r w:rsidRPr="00F74655">
        <w:rPr>
          <w:rFonts w:ascii="Arial" w:hAnsi="Arial" w:cs="Arial"/>
          <w:lang w:val="es-MX"/>
        </w:rPr>
        <w:lastRenderedPageBreak/>
        <w:t>las provincias de Guanacaste, Pu</w:t>
      </w:r>
      <w:r>
        <w:rPr>
          <w:rFonts w:ascii="Arial" w:hAnsi="Arial" w:cs="Arial"/>
          <w:lang w:val="es-MX"/>
        </w:rPr>
        <w:t>ntarenas y Limón aportaron el 83,6</w:t>
      </w:r>
      <w:r w:rsidRPr="00F74655">
        <w:rPr>
          <w:rFonts w:ascii="Arial" w:hAnsi="Arial" w:cs="Arial"/>
          <w:lang w:val="es-MX"/>
        </w:rPr>
        <w:t>% del total de casos del país</w:t>
      </w:r>
      <w:r w:rsidR="00224B67">
        <w:rPr>
          <w:rFonts w:ascii="Arial" w:hAnsi="Arial" w:cs="Arial"/>
          <w:lang w:val="es-MX"/>
        </w:rPr>
        <w:t>,</w:t>
      </w:r>
      <w:r w:rsidRPr="00F74655">
        <w:rPr>
          <w:rFonts w:ascii="Arial" w:hAnsi="Arial" w:cs="Arial"/>
          <w:lang w:val="es-MX"/>
        </w:rPr>
        <w:t xml:space="preserve"> con incidencias por 100.000 habitantes </w:t>
      </w:r>
      <w:r w:rsidRPr="00C47738">
        <w:rPr>
          <w:rFonts w:ascii="Arial" w:hAnsi="Arial" w:cs="Arial"/>
          <w:lang w:val="es-MX"/>
        </w:rPr>
        <w:t>de</w:t>
      </w:r>
      <w:r w:rsidR="00224B67">
        <w:rPr>
          <w:rFonts w:ascii="Arial" w:hAnsi="Arial" w:cs="Arial"/>
          <w:lang w:val="es-MX"/>
        </w:rPr>
        <w:t>:</w:t>
      </w:r>
      <w:r w:rsidRPr="00C47738">
        <w:rPr>
          <w:rFonts w:ascii="Arial" w:hAnsi="Arial" w:cs="Arial"/>
          <w:lang w:val="es-MX"/>
        </w:rPr>
        <w:t xml:space="preserve"> </w:t>
      </w:r>
      <w:r>
        <w:rPr>
          <w:rFonts w:ascii="Arial" w:hAnsi="Arial" w:cs="Arial"/>
          <w:lang w:val="es-MX"/>
        </w:rPr>
        <w:t>204,7, 102,1</w:t>
      </w:r>
      <w:r w:rsidRPr="00C47738">
        <w:rPr>
          <w:rFonts w:ascii="Arial" w:hAnsi="Arial" w:cs="Arial"/>
          <w:lang w:val="es-MX"/>
        </w:rPr>
        <w:t xml:space="preserve"> y </w:t>
      </w:r>
      <w:r>
        <w:rPr>
          <w:rFonts w:ascii="Arial" w:hAnsi="Arial" w:cs="Arial"/>
          <w:lang w:val="es-MX"/>
        </w:rPr>
        <w:t>67,6</w:t>
      </w:r>
      <w:r w:rsidRPr="00F74655">
        <w:rPr>
          <w:rFonts w:ascii="Arial" w:hAnsi="Arial" w:cs="Arial"/>
          <w:lang w:val="es-MX"/>
        </w:rPr>
        <w:t xml:space="preserve"> respectivamente.</w:t>
      </w:r>
      <w:r w:rsidR="00224B67">
        <w:rPr>
          <w:rFonts w:ascii="Arial" w:hAnsi="Arial" w:cs="Arial"/>
          <w:lang w:val="es-MX"/>
        </w:rPr>
        <w:t xml:space="preserve"> Cuadro </w:t>
      </w:r>
      <w:r w:rsidR="00472E6D">
        <w:rPr>
          <w:rFonts w:ascii="Arial" w:hAnsi="Arial" w:cs="Arial"/>
          <w:lang w:val="es-MX"/>
        </w:rPr>
        <w:t>26</w:t>
      </w:r>
    </w:p>
    <w:p w:rsidR="00475BBF" w:rsidRPr="00F74655" w:rsidRDefault="00475BBF" w:rsidP="00475BBF">
      <w:pPr>
        <w:tabs>
          <w:tab w:val="left" w:pos="8789"/>
        </w:tabs>
        <w:spacing w:line="360" w:lineRule="auto"/>
        <w:jc w:val="both"/>
        <w:rPr>
          <w:rFonts w:ascii="Arial" w:hAnsi="Arial" w:cs="Arial"/>
          <w:lang w:val="es-MX"/>
        </w:rPr>
      </w:pPr>
    </w:p>
    <w:p w:rsidR="00224B67" w:rsidRDefault="00475BBF" w:rsidP="00475BBF">
      <w:pPr>
        <w:jc w:val="center"/>
        <w:rPr>
          <w:rFonts w:ascii="Arial" w:hAnsi="Arial" w:cs="Arial"/>
          <w:lang w:val="es-MX"/>
        </w:rPr>
      </w:pPr>
      <w:r w:rsidRPr="00224B67">
        <w:rPr>
          <w:rFonts w:ascii="Arial" w:hAnsi="Arial" w:cs="Arial"/>
          <w:b/>
          <w:lang w:val="es-MX"/>
        </w:rPr>
        <w:t xml:space="preserve">Cuadro </w:t>
      </w:r>
      <w:r w:rsidR="00472E6D">
        <w:rPr>
          <w:rFonts w:ascii="Arial" w:hAnsi="Arial" w:cs="Arial"/>
          <w:b/>
          <w:lang w:val="es-MX"/>
        </w:rPr>
        <w:t>26</w:t>
      </w:r>
    </w:p>
    <w:p w:rsidR="00952DCB" w:rsidRDefault="00475BBF" w:rsidP="00475BBF">
      <w:pPr>
        <w:jc w:val="center"/>
        <w:rPr>
          <w:rFonts w:ascii="Arial" w:hAnsi="Arial" w:cs="Arial"/>
          <w:b/>
          <w:lang w:val="es-MX"/>
        </w:rPr>
      </w:pPr>
      <w:r w:rsidRPr="006A2E32">
        <w:rPr>
          <w:rFonts w:ascii="Arial" w:hAnsi="Arial" w:cs="Arial"/>
          <w:b/>
          <w:lang w:val="es-MX"/>
        </w:rPr>
        <w:t>Costa Rica</w:t>
      </w:r>
      <w:r w:rsidR="00224B67">
        <w:rPr>
          <w:rFonts w:ascii="Arial" w:hAnsi="Arial" w:cs="Arial"/>
          <w:b/>
          <w:lang w:val="es-MX"/>
        </w:rPr>
        <w:t>:</w:t>
      </w:r>
      <w:r w:rsidRPr="006A2E32">
        <w:rPr>
          <w:rFonts w:ascii="Arial" w:hAnsi="Arial" w:cs="Arial"/>
          <w:b/>
          <w:lang w:val="es-MX"/>
        </w:rPr>
        <w:t xml:space="preserve"> </w:t>
      </w:r>
      <w:r w:rsidR="00952DCB">
        <w:rPr>
          <w:rFonts w:ascii="Arial" w:hAnsi="Arial" w:cs="Arial"/>
          <w:b/>
          <w:lang w:val="es-MX"/>
        </w:rPr>
        <w:t>Número de c</w:t>
      </w:r>
      <w:r w:rsidRPr="006A2E32">
        <w:rPr>
          <w:rFonts w:ascii="Arial" w:hAnsi="Arial" w:cs="Arial"/>
          <w:b/>
          <w:lang w:val="es-MX"/>
        </w:rPr>
        <w:t>asos y tasas de chikungunya</w:t>
      </w:r>
      <w:r w:rsidR="00224B67">
        <w:rPr>
          <w:rFonts w:ascii="Arial" w:hAnsi="Arial" w:cs="Arial"/>
          <w:b/>
          <w:lang w:val="es-MX"/>
        </w:rPr>
        <w:t>,</w:t>
      </w:r>
      <w:r w:rsidRPr="006A2E32">
        <w:rPr>
          <w:rFonts w:ascii="Arial" w:hAnsi="Arial" w:cs="Arial"/>
          <w:b/>
          <w:lang w:val="es-MX"/>
        </w:rPr>
        <w:t xml:space="preserve"> </w:t>
      </w:r>
    </w:p>
    <w:p w:rsidR="00475BBF" w:rsidRDefault="00224B67" w:rsidP="00475BBF">
      <w:pPr>
        <w:jc w:val="center"/>
        <w:rPr>
          <w:rFonts w:ascii="Arial" w:hAnsi="Arial" w:cs="Arial"/>
          <w:b/>
          <w:lang w:val="es-MX"/>
        </w:rPr>
      </w:pPr>
      <w:r>
        <w:rPr>
          <w:rFonts w:ascii="Arial" w:hAnsi="Arial" w:cs="Arial"/>
          <w:b/>
          <w:lang w:val="es-MX"/>
        </w:rPr>
        <w:t>según</w:t>
      </w:r>
      <w:r w:rsidR="00475BBF" w:rsidRPr="006A2E32">
        <w:rPr>
          <w:rFonts w:ascii="Arial" w:hAnsi="Arial" w:cs="Arial"/>
          <w:b/>
          <w:lang w:val="es-MX"/>
        </w:rPr>
        <w:t xml:space="preserve"> provincia</w:t>
      </w:r>
      <w:r>
        <w:rPr>
          <w:rFonts w:ascii="Arial" w:hAnsi="Arial" w:cs="Arial"/>
          <w:b/>
          <w:lang w:val="es-MX"/>
        </w:rPr>
        <w:t>,</w:t>
      </w:r>
      <w:r w:rsidR="00475BBF" w:rsidRPr="006A2E32">
        <w:rPr>
          <w:rFonts w:ascii="Arial" w:hAnsi="Arial" w:cs="Arial"/>
          <w:b/>
          <w:lang w:val="es-MX"/>
        </w:rPr>
        <w:t xml:space="preserve"> </w:t>
      </w:r>
      <w:r w:rsidRPr="006A2E32">
        <w:rPr>
          <w:rFonts w:ascii="Arial" w:hAnsi="Arial" w:cs="Arial"/>
          <w:b/>
          <w:lang w:val="es-MX"/>
        </w:rPr>
        <w:t>2014-2017</w:t>
      </w:r>
    </w:p>
    <w:p w:rsidR="00475BBF" w:rsidRPr="006A2E32" w:rsidRDefault="00475BBF" w:rsidP="00475BBF">
      <w:pPr>
        <w:jc w:val="center"/>
        <w:rPr>
          <w:rFonts w:ascii="Arial" w:hAnsi="Arial" w:cs="Arial"/>
          <w:b/>
          <w:lang w:val="es-MX"/>
        </w:rPr>
      </w:pPr>
      <w:r>
        <w:rPr>
          <w:rFonts w:ascii="Arial" w:hAnsi="Arial" w:cs="Arial"/>
          <w:b/>
          <w:lang w:val="es-MX"/>
        </w:rPr>
        <w:t>(</w:t>
      </w:r>
      <w:r w:rsidRPr="006A2E32">
        <w:rPr>
          <w:rFonts w:ascii="Arial" w:hAnsi="Arial" w:cs="Arial"/>
          <w:b/>
          <w:i/>
          <w:sz w:val="20"/>
          <w:szCs w:val="20"/>
          <w:lang w:val="es-MX"/>
        </w:rPr>
        <w:t>Tasas por 100</w:t>
      </w:r>
      <w:r>
        <w:rPr>
          <w:rFonts w:ascii="Arial" w:hAnsi="Arial" w:cs="Arial"/>
          <w:b/>
          <w:i/>
          <w:sz w:val="20"/>
          <w:szCs w:val="20"/>
          <w:lang w:val="es-MX"/>
        </w:rPr>
        <w:t>.</w:t>
      </w:r>
      <w:r w:rsidRPr="006A2E32">
        <w:rPr>
          <w:rFonts w:ascii="Arial" w:hAnsi="Arial" w:cs="Arial"/>
          <w:b/>
          <w:i/>
          <w:sz w:val="20"/>
          <w:szCs w:val="20"/>
          <w:lang w:val="es-MX"/>
        </w:rPr>
        <w:t>000 habitantes</w:t>
      </w:r>
      <w:r>
        <w:rPr>
          <w:rFonts w:ascii="Arial" w:hAnsi="Arial" w:cs="Arial"/>
          <w:b/>
          <w:i/>
          <w:sz w:val="20"/>
          <w:szCs w:val="20"/>
          <w:lang w:val="es-MX"/>
        </w:rPr>
        <w:t>)</w:t>
      </w:r>
    </w:p>
    <w:p w:rsidR="00475BBF" w:rsidRPr="00E917D5" w:rsidRDefault="00475BBF" w:rsidP="00475BBF">
      <w:pPr>
        <w:shd w:val="clear" w:color="auto" w:fill="FFFFFF" w:themeFill="background1"/>
        <w:jc w:val="both"/>
        <w:rPr>
          <w:rFonts w:ascii="Arial" w:hAnsi="Arial" w:cs="Arial"/>
          <w:b/>
          <w:lang w:val="es-MX"/>
        </w:rPr>
      </w:pPr>
    </w:p>
    <w:tbl>
      <w:tblPr>
        <w:tblStyle w:val="Sombreadoclaro-nfasis1"/>
        <w:tblW w:w="4817" w:type="pct"/>
        <w:jc w:val="center"/>
        <w:shd w:val="clear" w:color="auto" w:fill="FFFFFF" w:themeFill="background1"/>
        <w:tblLook w:val="04A0" w:firstRow="1" w:lastRow="0" w:firstColumn="1" w:lastColumn="0" w:noHBand="0" w:noVBand="1"/>
      </w:tblPr>
      <w:tblGrid>
        <w:gridCol w:w="1295"/>
        <w:gridCol w:w="817"/>
        <w:gridCol w:w="672"/>
        <w:gridCol w:w="817"/>
        <w:gridCol w:w="717"/>
        <w:gridCol w:w="817"/>
        <w:gridCol w:w="717"/>
        <w:gridCol w:w="817"/>
        <w:gridCol w:w="672"/>
        <w:gridCol w:w="817"/>
        <w:gridCol w:w="672"/>
      </w:tblGrid>
      <w:tr w:rsidR="00475BBF" w:rsidRPr="009121B4" w:rsidTr="00224B67">
        <w:trPr>
          <w:cnfStyle w:val="100000000000" w:firstRow="1" w:lastRow="0" w:firstColumn="0" w:lastColumn="0" w:oddVBand="0" w:evenVBand="0" w:oddHBand="0" w:evenHBand="0" w:firstRowFirstColumn="0" w:firstRowLastColumn="0" w:lastRowFirstColumn="0" w:lastRowLastColumn="0"/>
          <w:trHeight w:val="378"/>
          <w:jc w:val="center"/>
        </w:trPr>
        <w:tc>
          <w:tcPr>
            <w:cnfStyle w:val="001000000000" w:firstRow="0" w:lastRow="0" w:firstColumn="1" w:lastColumn="0" w:oddVBand="0" w:evenVBand="0" w:oddHBand="0" w:evenHBand="0" w:firstRowFirstColumn="0" w:firstRowLastColumn="0" w:lastRowFirstColumn="0" w:lastRowLastColumn="0"/>
            <w:tcW w:w="733" w:type="pct"/>
            <w:tcBorders>
              <w:top w:val="single" w:sz="8" w:space="0" w:color="auto"/>
              <w:bottom w:val="nil"/>
            </w:tcBorders>
            <w:shd w:val="clear" w:color="auto" w:fill="D5DCE4" w:themeFill="text2" w:themeFillTint="33"/>
          </w:tcPr>
          <w:p w:rsidR="00475BBF" w:rsidRPr="009121B4" w:rsidRDefault="00475BBF" w:rsidP="00475BBF">
            <w:pPr>
              <w:spacing w:line="360" w:lineRule="auto"/>
              <w:jc w:val="center"/>
              <w:rPr>
                <w:rFonts w:ascii="Arial" w:hAnsi="Arial" w:cs="Arial"/>
                <w:color w:val="auto"/>
                <w:sz w:val="20"/>
                <w:szCs w:val="20"/>
                <w:lang w:val="es-MX"/>
              </w:rPr>
            </w:pPr>
            <w:r w:rsidRPr="009121B4">
              <w:rPr>
                <w:rFonts w:ascii="Arial" w:hAnsi="Arial" w:cs="Arial"/>
                <w:color w:val="auto"/>
                <w:sz w:val="20"/>
                <w:szCs w:val="20"/>
                <w:lang w:val="es-MX"/>
              </w:rPr>
              <w:t>Provincia</w:t>
            </w:r>
          </w:p>
        </w:tc>
        <w:tc>
          <w:tcPr>
            <w:tcW w:w="844" w:type="pct"/>
            <w:gridSpan w:val="2"/>
            <w:tcBorders>
              <w:top w:val="single" w:sz="8"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2014</w:t>
            </w:r>
          </w:p>
        </w:tc>
        <w:tc>
          <w:tcPr>
            <w:tcW w:w="869" w:type="pct"/>
            <w:gridSpan w:val="2"/>
            <w:tcBorders>
              <w:top w:val="single" w:sz="8"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2015</w:t>
            </w:r>
          </w:p>
        </w:tc>
        <w:tc>
          <w:tcPr>
            <w:tcW w:w="869" w:type="pct"/>
            <w:gridSpan w:val="2"/>
            <w:tcBorders>
              <w:top w:val="single" w:sz="8"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2016</w:t>
            </w:r>
          </w:p>
        </w:tc>
        <w:tc>
          <w:tcPr>
            <w:tcW w:w="844" w:type="pct"/>
            <w:gridSpan w:val="2"/>
            <w:tcBorders>
              <w:top w:val="single" w:sz="8" w:space="0" w:color="auto"/>
              <w:bottom w:val="nil"/>
            </w:tcBorders>
            <w:shd w:val="clear" w:color="auto" w:fill="D5DCE4" w:themeFill="text2" w:themeFillTint="33"/>
          </w:tcPr>
          <w:p w:rsidR="00475BBF" w:rsidRPr="009121B4"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2017</w:t>
            </w:r>
          </w:p>
        </w:tc>
        <w:tc>
          <w:tcPr>
            <w:tcW w:w="841" w:type="pct"/>
            <w:gridSpan w:val="2"/>
            <w:tcBorders>
              <w:top w:val="single" w:sz="8" w:space="0" w:color="auto"/>
              <w:bottom w:val="nil"/>
            </w:tcBorders>
            <w:shd w:val="clear" w:color="auto" w:fill="D5DCE4" w:themeFill="text2" w:themeFillTint="33"/>
          </w:tcPr>
          <w:p w:rsidR="00475BBF" w:rsidRPr="009121B4"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2018</w:t>
            </w:r>
          </w:p>
        </w:tc>
      </w:tr>
      <w:tr w:rsidR="00475BBF" w:rsidRPr="009121B4" w:rsidTr="00224B67">
        <w:trPr>
          <w:cnfStyle w:val="000000100000" w:firstRow="0" w:lastRow="0" w:firstColumn="0" w:lastColumn="0" w:oddVBand="0" w:evenVBand="0" w:oddHBand="1"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733" w:type="pct"/>
            <w:tcBorders>
              <w:top w:val="nil"/>
              <w:bottom w:val="single" w:sz="8" w:space="0" w:color="auto"/>
            </w:tcBorders>
            <w:shd w:val="clear" w:color="auto" w:fill="D5DCE4" w:themeFill="text2" w:themeFillTint="33"/>
          </w:tcPr>
          <w:p w:rsidR="00475BBF" w:rsidRPr="009121B4" w:rsidRDefault="00475BBF" w:rsidP="00475BBF">
            <w:pPr>
              <w:spacing w:line="360" w:lineRule="auto"/>
              <w:jc w:val="both"/>
              <w:rPr>
                <w:rFonts w:ascii="Arial" w:hAnsi="Arial" w:cs="Arial"/>
                <w:color w:val="auto"/>
                <w:sz w:val="20"/>
                <w:szCs w:val="20"/>
                <w:lang w:val="es-MX"/>
              </w:rPr>
            </w:pPr>
          </w:p>
        </w:tc>
        <w:tc>
          <w:tcPr>
            <w:tcW w:w="463" w:type="pct"/>
            <w:tcBorders>
              <w:top w:val="single" w:sz="8"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Casos</w:t>
            </w:r>
          </w:p>
        </w:tc>
        <w:tc>
          <w:tcPr>
            <w:tcW w:w="381" w:type="pct"/>
            <w:tcBorders>
              <w:top w:val="single" w:sz="8"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Tasa</w:t>
            </w:r>
          </w:p>
        </w:tc>
        <w:tc>
          <w:tcPr>
            <w:tcW w:w="463" w:type="pct"/>
            <w:tcBorders>
              <w:top w:val="single" w:sz="8"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Casos</w:t>
            </w:r>
          </w:p>
        </w:tc>
        <w:tc>
          <w:tcPr>
            <w:tcW w:w="406" w:type="pct"/>
            <w:tcBorders>
              <w:top w:val="single" w:sz="8"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Tasa</w:t>
            </w:r>
          </w:p>
        </w:tc>
        <w:tc>
          <w:tcPr>
            <w:tcW w:w="463" w:type="pct"/>
            <w:tcBorders>
              <w:top w:val="single" w:sz="8"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Casos</w:t>
            </w:r>
          </w:p>
        </w:tc>
        <w:tc>
          <w:tcPr>
            <w:tcW w:w="406" w:type="pct"/>
            <w:tcBorders>
              <w:top w:val="single" w:sz="8"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Tasa</w:t>
            </w:r>
          </w:p>
        </w:tc>
        <w:tc>
          <w:tcPr>
            <w:tcW w:w="463" w:type="pct"/>
            <w:tcBorders>
              <w:top w:val="single" w:sz="4"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Casos</w:t>
            </w:r>
          </w:p>
        </w:tc>
        <w:tc>
          <w:tcPr>
            <w:tcW w:w="381" w:type="pct"/>
            <w:tcBorders>
              <w:top w:val="single" w:sz="4"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Tasa</w:t>
            </w:r>
          </w:p>
        </w:tc>
        <w:tc>
          <w:tcPr>
            <w:tcW w:w="463" w:type="pct"/>
            <w:tcBorders>
              <w:top w:val="single" w:sz="4"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Casos</w:t>
            </w:r>
          </w:p>
        </w:tc>
        <w:tc>
          <w:tcPr>
            <w:tcW w:w="378" w:type="pct"/>
            <w:tcBorders>
              <w:top w:val="single" w:sz="4" w:space="0" w:color="auto"/>
              <w:bottom w:val="single" w:sz="8" w:space="0" w:color="auto"/>
            </w:tcBorders>
            <w:shd w:val="clear" w:color="auto" w:fill="D5DCE4" w:themeFill="text2" w:themeFillTint="33"/>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Tasa</w:t>
            </w:r>
          </w:p>
        </w:tc>
      </w:tr>
      <w:tr w:rsidR="00475BBF" w:rsidRPr="009121B4" w:rsidTr="00475BBF">
        <w:trPr>
          <w:trHeight w:val="378"/>
          <w:jc w:val="center"/>
        </w:trPr>
        <w:tc>
          <w:tcPr>
            <w:cnfStyle w:val="001000000000" w:firstRow="0" w:lastRow="0" w:firstColumn="1" w:lastColumn="0" w:oddVBand="0" w:evenVBand="0" w:oddHBand="0" w:evenHBand="0" w:firstRowFirstColumn="0" w:firstRowLastColumn="0" w:lastRowFirstColumn="0" w:lastRowLastColumn="0"/>
            <w:tcW w:w="733"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both"/>
              <w:rPr>
                <w:rFonts w:ascii="Arial" w:hAnsi="Arial" w:cs="Arial"/>
                <w:color w:val="auto"/>
                <w:sz w:val="20"/>
                <w:szCs w:val="20"/>
                <w:lang w:val="es-MX"/>
              </w:rPr>
            </w:pPr>
            <w:r w:rsidRPr="009121B4">
              <w:rPr>
                <w:rFonts w:ascii="Arial" w:hAnsi="Arial" w:cs="Arial"/>
                <w:color w:val="auto"/>
                <w:sz w:val="20"/>
                <w:szCs w:val="20"/>
                <w:lang w:val="es-MX"/>
              </w:rPr>
              <w:t>Total</w:t>
            </w:r>
          </w:p>
        </w:tc>
        <w:tc>
          <w:tcPr>
            <w:tcW w:w="463"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148</w:t>
            </w:r>
          </w:p>
        </w:tc>
        <w:tc>
          <w:tcPr>
            <w:tcW w:w="381"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3.1</w:t>
            </w:r>
          </w:p>
        </w:tc>
        <w:tc>
          <w:tcPr>
            <w:tcW w:w="463"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4.912</w:t>
            </w:r>
          </w:p>
        </w:tc>
        <w:tc>
          <w:tcPr>
            <w:tcW w:w="406"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101.7</w:t>
            </w:r>
          </w:p>
        </w:tc>
        <w:tc>
          <w:tcPr>
            <w:tcW w:w="463"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3.613</w:t>
            </w:r>
          </w:p>
        </w:tc>
        <w:tc>
          <w:tcPr>
            <w:tcW w:w="406"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73.9</w:t>
            </w:r>
          </w:p>
        </w:tc>
        <w:tc>
          <w:tcPr>
            <w:tcW w:w="463"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395</w:t>
            </w:r>
          </w:p>
        </w:tc>
        <w:tc>
          <w:tcPr>
            <w:tcW w:w="381"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8.0</w:t>
            </w:r>
          </w:p>
        </w:tc>
        <w:tc>
          <w:tcPr>
            <w:tcW w:w="463" w:type="pct"/>
            <w:tcBorders>
              <w:top w:val="single" w:sz="8" w:space="0" w:color="auto"/>
              <w:bottom w:val="single" w:sz="8" w:space="0" w:color="auto"/>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146</w:t>
            </w:r>
          </w:p>
        </w:tc>
        <w:tc>
          <w:tcPr>
            <w:tcW w:w="378" w:type="pct"/>
            <w:tcBorders>
              <w:top w:val="single" w:sz="8" w:space="0" w:color="auto"/>
              <w:bottom w:val="single" w:sz="8" w:space="0" w:color="auto"/>
            </w:tcBorders>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9121B4">
              <w:rPr>
                <w:rFonts w:ascii="Arial" w:hAnsi="Arial" w:cs="Arial"/>
                <w:b/>
                <w:color w:val="auto"/>
                <w:sz w:val="20"/>
                <w:szCs w:val="20"/>
                <w:lang w:val="es-MX"/>
              </w:rPr>
              <w:t>2</w:t>
            </w:r>
            <w:r w:rsidR="00952DCB">
              <w:rPr>
                <w:rFonts w:ascii="Arial" w:hAnsi="Arial" w:cs="Arial"/>
                <w:b/>
                <w:color w:val="auto"/>
                <w:sz w:val="20"/>
                <w:szCs w:val="20"/>
                <w:lang w:val="es-MX"/>
              </w:rPr>
              <w:t>,</w:t>
            </w:r>
            <w:r w:rsidRPr="009121B4">
              <w:rPr>
                <w:rFonts w:ascii="Arial" w:hAnsi="Arial" w:cs="Arial"/>
                <w:b/>
                <w:color w:val="auto"/>
                <w:sz w:val="20"/>
                <w:szCs w:val="20"/>
                <w:lang w:val="es-MX"/>
              </w:rPr>
              <w:t>9</w:t>
            </w:r>
          </w:p>
        </w:tc>
      </w:tr>
      <w:tr w:rsidR="00475BBF" w:rsidRPr="009121B4" w:rsidTr="00475BBF">
        <w:trPr>
          <w:cnfStyle w:val="000000100000" w:firstRow="0" w:lastRow="0" w:firstColumn="0" w:lastColumn="0" w:oddVBand="0" w:evenVBand="0" w:oddHBand="1" w:evenHBand="0" w:firstRowFirstColumn="0" w:firstRowLastColumn="0" w:lastRowFirstColumn="0" w:lastRowLastColumn="0"/>
          <w:trHeight w:val="378"/>
          <w:jc w:val="center"/>
        </w:trPr>
        <w:tc>
          <w:tcPr>
            <w:cnfStyle w:val="001000000000" w:firstRow="0" w:lastRow="0" w:firstColumn="1" w:lastColumn="0" w:oddVBand="0" w:evenVBand="0" w:oddHBand="0" w:evenHBand="0" w:firstRowFirstColumn="0" w:firstRowLastColumn="0" w:lastRowFirstColumn="0" w:lastRowLastColumn="0"/>
            <w:tcW w:w="733" w:type="pct"/>
            <w:tcBorders>
              <w:top w:val="single" w:sz="8" w:space="0" w:color="auto"/>
            </w:tcBorders>
            <w:shd w:val="clear" w:color="auto" w:fill="FFFFFF" w:themeFill="background1"/>
          </w:tcPr>
          <w:p w:rsidR="00475BBF" w:rsidRPr="009121B4" w:rsidRDefault="00475BBF" w:rsidP="00475BBF">
            <w:pPr>
              <w:spacing w:line="360" w:lineRule="auto"/>
              <w:jc w:val="both"/>
              <w:rPr>
                <w:rFonts w:ascii="Arial" w:hAnsi="Arial" w:cs="Arial"/>
                <w:b w:val="0"/>
                <w:color w:val="auto"/>
                <w:sz w:val="20"/>
                <w:szCs w:val="20"/>
                <w:lang w:val="es-MX"/>
              </w:rPr>
            </w:pPr>
            <w:r w:rsidRPr="009121B4">
              <w:rPr>
                <w:rFonts w:ascii="Arial" w:hAnsi="Arial" w:cs="Arial"/>
                <w:b w:val="0"/>
                <w:color w:val="auto"/>
                <w:sz w:val="20"/>
                <w:szCs w:val="20"/>
                <w:lang w:val="es-MX"/>
              </w:rPr>
              <w:t>Limón</w:t>
            </w:r>
          </w:p>
        </w:tc>
        <w:tc>
          <w:tcPr>
            <w:tcW w:w="463" w:type="pct"/>
            <w:tcBorders>
              <w:top w:val="single" w:sz="8"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0</w:t>
            </w:r>
          </w:p>
        </w:tc>
        <w:tc>
          <w:tcPr>
            <w:tcW w:w="381" w:type="pct"/>
            <w:tcBorders>
              <w:top w:val="single" w:sz="8"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0</w:t>
            </w:r>
          </w:p>
        </w:tc>
        <w:tc>
          <w:tcPr>
            <w:tcW w:w="463" w:type="pct"/>
            <w:tcBorders>
              <w:top w:val="single" w:sz="8"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917</w:t>
            </w:r>
          </w:p>
        </w:tc>
        <w:tc>
          <w:tcPr>
            <w:tcW w:w="406" w:type="pct"/>
            <w:tcBorders>
              <w:top w:val="single" w:sz="8" w:space="0" w:color="auto"/>
            </w:tcBorders>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211</w:t>
            </w:r>
            <w:r w:rsidR="00952DCB">
              <w:rPr>
                <w:rFonts w:ascii="Arial" w:hAnsi="Arial" w:cs="Arial"/>
                <w:color w:val="auto"/>
                <w:sz w:val="20"/>
                <w:szCs w:val="20"/>
                <w:lang w:val="es-MX"/>
              </w:rPr>
              <w:t>,</w:t>
            </w:r>
            <w:r w:rsidRPr="009121B4">
              <w:rPr>
                <w:rFonts w:ascii="Arial" w:hAnsi="Arial" w:cs="Arial"/>
                <w:color w:val="auto"/>
                <w:sz w:val="20"/>
                <w:szCs w:val="20"/>
                <w:lang w:val="es-MX"/>
              </w:rPr>
              <w:t>5</w:t>
            </w:r>
          </w:p>
        </w:tc>
        <w:tc>
          <w:tcPr>
            <w:tcW w:w="463" w:type="pct"/>
            <w:tcBorders>
              <w:top w:val="single" w:sz="8"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439</w:t>
            </w:r>
          </w:p>
        </w:tc>
        <w:tc>
          <w:tcPr>
            <w:tcW w:w="406" w:type="pct"/>
            <w:tcBorders>
              <w:top w:val="single" w:sz="8" w:space="0" w:color="auto"/>
            </w:tcBorders>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100</w:t>
            </w:r>
            <w:r w:rsidR="00952DCB">
              <w:rPr>
                <w:rFonts w:ascii="Arial" w:hAnsi="Arial" w:cs="Arial"/>
                <w:color w:val="auto"/>
                <w:sz w:val="20"/>
                <w:szCs w:val="20"/>
                <w:lang w:val="es-MX"/>
              </w:rPr>
              <w:t>,</w:t>
            </w:r>
            <w:r w:rsidRPr="009121B4">
              <w:rPr>
                <w:rFonts w:ascii="Arial" w:hAnsi="Arial" w:cs="Arial"/>
                <w:color w:val="auto"/>
                <w:sz w:val="20"/>
                <w:szCs w:val="20"/>
                <w:lang w:val="es-MX"/>
              </w:rPr>
              <w:t>0</w:t>
            </w:r>
          </w:p>
        </w:tc>
        <w:tc>
          <w:tcPr>
            <w:tcW w:w="463" w:type="pct"/>
            <w:tcBorders>
              <w:top w:val="single" w:sz="8"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113</w:t>
            </w:r>
          </w:p>
        </w:tc>
        <w:tc>
          <w:tcPr>
            <w:tcW w:w="381" w:type="pct"/>
            <w:tcBorders>
              <w:top w:val="single" w:sz="8" w:space="0" w:color="auto"/>
            </w:tcBorders>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25</w:t>
            </w:r>
            <w:r w:rsidR="00952DCB">
              <w:rPr>
                <w:rFonts w:ascii="Arial" w:hAnsi="Arial" w:cs="Arial"/>
                <w:color w:val="auto"/>
                <w:sz w:val="20"/>
                <w:szCs w:val="20"/>
                <w:lang w:val="es-MX"/>
              </w:rPr>
              <w:t>,</w:t>
            </w:r>
            <w:r w:rsidRPr="009121B4">
              <w:rPr>
                <w:rFonts w:ascii="Arial" w:hAnsi="Arial" w:cs="Arial"/>
                <w:color w:val="auto"/>
                <w:sz w:val="20"/>
                <w:szCs w:val="20"/>
                <w:lang w:val="es-MX"/>
              </w:rPr>
              <w:t>4</w:t>
            </w:r>
          </w:p>
        </w:tc>
        <w:tc>
          <w:tcPr>
            <w:tcW w:w="463" w:type="pct"/>
            <w:tcBorders>
              <w:top w:val="single" w:sz="8"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16</w:t>
            </w:r>
          </w:p>
        </w:tc>
        <w:tc>
          <w:tcPr>
            <w:tcW w:w="378" w:type="pct"/>
            <w:tcBorders>
              <w:top w:val="single" w:sz="8" w:space="0" w:color="auto"/>
            </w:tcBorders>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3</w:t>
            </w:r>
            <w:r w:rsidR="00952DCB">
              <w:rPr>
                <w:rFonts w:ascii="Arial" w:hAnsi="Arial" w:cs="Arial"/>
                <w:color w:val="auto"/>
                <w:sz w:val="20"/>
                <w:szCs w:val="20"/>
                <w:lang w:val="es-MX"/>
              </w:rPr>
              <w:t>,</w:t>
            </w:r>
            <w:r w:rsidRPr="009121B4">
              <w:rPr>
                <w:rFonts w:ascii="Arial" w:hAnsi="Arial" w:cs="Arial"/>
                <w:color w:val="auto"/>
                <w:sz w:val="20"/>
                <w:szCs w:val="20"/>
                <w:lang w:val="es-MX"/>
              </w:rPr>
              <w:t>6</w:t>
            </w:r>
          </w:p>
        </w:tc>
      </w:tr>
      <w:tr w:rsidR="00475BBF" w:rsidRPr="009121B4" w:rsidTr="00475BBF">
        <w:trPr>
          <w:trHeight w:val="378"/>
          <w:jc w:val="center"/>
        </w:trPr>
        <w:tc>
          <w:tcPr>
            <w:cnfStyle w:val="001000000000" w:firstRow="0" w:lastRow="0" w:firstColumn="1" w:lastColumn="0" w:oddVBand="0" w:evenVBand="0" w:oddHBand="0" w:evenHBand="0" w:firstRowFirstColumn="0" w:firstRowLastColumn="0" w:lastRowFirstColumn="0" w:lastRowLastColumn="0"/>
            <w:tcW w:w="733" w:type="pct"/>
            <w:shd w:val="clear" w:color="auto" w:fill="FFFFFF" w:themeFill="background1"/>
          </w:tcPr>
          <w:p w:rsidR="00475BBF" w:rsidRPr="009121B4" w:rsidRDefault="00475BBF" w:rsidP="00475BBF">
            <w:pPr>
              <w:spacing w:line="360" w:lineRule="auto"/>
              <w:jc w:val="both"/>
              <w:rPr>
                <w:rFonts w:ascii="Arial" w:hAnsi="Arial" w:cs="Arial"/>
                <w:b w:val="0"/>
                <w:color w:val="auto"/>
                <w:sz w:val="20"/>
                <w:szCs w:val="20"/>
                <w:lang w:val="es-MX"/>
              </w:rPr>
            </w:pPr>
            <w:r w:rsidRPr="009121B4">
              <w:rPr>
                <w:rFonts w:ascii="Arial" w:hAnsi="Arial" w:cs="Arial"/>
                <w:b w:val="0"/>
                <w:color w:val="auto"/>
                <w:sz w:val="20"/>
                <w:szCs w:val="20"/>
                <w:lang w:val="es-MX"/>
              </w:rPr>
              <w:t>Guanacaste</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29</w:t>
            </w:r>
          </w:p>
        </w:tc>
        <w:tc>
          <w:tcPr>
            <w:tcW w:w="381"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8</w:t>
            </w:r>
            <w:r w:rsidR="00952DCB">
              <w:rPr>
                <w:rFonts w:ascii="Arial" w:hAnsi="Arial" w:cs="Arial"/>
                <w:color w:val="auto"/>
                <w:sz w:val="20"/>
                <w:szCs w:val="20"/>
                <w:lang w:val="es-MX"/>
              </w:rPr>
              <w:t>,</w:t>
            </w:r>
            <w:r w:rsidRPr="009121B4">
              <w:rPr>
                <w:rFonts w:ascii="Arial" w:hAnsi="Arial" w:cs="Arial"/>
                <w:color w:val="auto"/>
                <w:sz w:val="20"/>
                <w:szCs w:val="20"/>
                <w:lang w:val="es-MX"/>
              </w:rPr>
              <w:t>1</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w:t>
            </w:r>
            <w:r w:rsidR="00952DCB">
              <w:rPr>
                <w:rFonts w:ascii="Arial" w:hAnsi="Arial" w:cs="Arial"/>
                <w:color w:val="auto"/>
                <w:sz w:val="20"/>
                <w:szCs w:val="20"/>
                <w:lang w:val="es-MX"/>
              </w:rPr>
              <w:t>.</w:t>
            </w:r>
            <w:r w:rsidRPr="009121B4">
              <w:rPr>
                <w:rFonts w:ascii="Arial" w:hAnsi="Arial" w:cs="Arial"/>
                <w:color w:val="auto"/>
                <w:sz w:val="20"/>
                <w:szCs w:val="20"/>
                <w:lang w:val="es-MX"/>
              </w:rPr>
              <w:t>514</w:t>
            </w:r>
          </w:p>
        </w:tc>
        <w:tc>
          <w:tcPr>
            <w:tcW w:w="406"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687</w:t>
            </w:r>
            <w:r w:rsidR="00952DCB">
              <w:rPr>
                <w:rFonts w:ascii="Arial" w:hAnsi="Arial" w:cs="Arial"/>
                <w:color w:val="auto"/>
                <w:sz w:val="20"/>
                <w:szCs w:val="20"/>
                <w:lang w:val="es-MX"/>
              </w:rPr>
              <w:t>,</w:t>
            </w:r>
            <w:r w:rsidRPr="009121B4">
              <w:rPr>
                <w:rFonts w:ascii="Arial" w:hAnsi="Arial" w:cs="Arial"/>
                <w:color w:val="auto"/>
                <w:sz w:val="20"/>
                <w:szCs w:val="20"/>
                <w:lang w:val="es-MX"/>
              </w:rPr>
              <w:t>7</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w:t>
            </w:r>
            <w:r w:rsidR="00952DCB">
              <w:rPr>
                <w:rFonts w:ascii="Arial" w:hAnsi="Arial" w:cs="Arial"/>
                <w:color w:val="auto"/>
                <w:sz w:val="20"/>
                <w:szCs w:val="20"/>
                <w:lang w:val="es-MX"/>
              </w:rPr>
              <w:t>.</w:t>
            </w:r>
            <w:r w:rsidRPr="009121B4">
              <w:rPr>
                <w:rFonts w:ascii="Arial" w:hAnsi="Arial" w:cs="Arial"/>
                <w:color w:val="auto"/>
                <w:sz w:val="20"/>
                <w:szCs w:val="20"/>
                <w:lang w:val="es-MX"/>
              </w:rPr>
              <w:t>175</w:t>
            </w:r>
          </w:p>
        </w:tc>
        <w:tc>
          <w:tcPr>
            <w:tcW w:w="406"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316</w:t>
            </w:r>
            <w:r w:rsidR="00952DCB">
              <w:rPr>
                <w:rFonts w:ascii="Arial" w:hAnsi="Arial" w:cs="Arial"/>
                <w:color w:val="auto"/>
                <w:sz w:val="20"/>
                <w:szCs w:val="20"/>
                <w:lang w:val="es-MX"/>
              </w:rPr>
              <w:t>,</w:t>
            </w:r>
            <w:r w:rsidRPr="009121B4">
              <w:rPr>
                <w:rFonts w:ascii="Arial" w:hAnsi="Arial" w:cs="Arial"/>
                <w:color w:val="auto"/>
                <w:sz w:val="20"/>
                <w:szCs w:val="20"/>
                <w:lang w:val="es-MX"/>
              </w:rPr>
              <w:t>4</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70</w:t>
            </w:r>
          </w:p>
        </w:tc>
        <w:tc>
          <w:tcPr>
            <w:tcW w:w="381"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18</w:t>
            </w:r>
            <w:r w:rsidR="00952DCB">
              <w:rPr>
                <w:rFonts w:ascii="Arial" w:hAnsi="Arial" w:cs="Arial"/>
                <w:color w:val="auto"/>
                <w:sz w:val="20"/>
                <w:szCs w:val="20"/>
                <w:lang w:val="es-MX"/>
              </w:rPr>
              <w:t>,</w:t>
            </w:r>
            <w:r w:rsidRPr="009121B4">
              <w:rPr>
                <w:rFonts w:ascii="Arial" w:hAnsi="Arial" w:cs="Arial"/>
                <w:color w:val="auto"/>
                <w:sz w:val="20"/>
                <w:szCs w:val="20"/>
                <w:lang w:val="es-MX"/>
              </w:rPr>
              <w:t>6</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14</w:t>
            </w:r>
          </w:p>
        </w:tc>
        <w:tc>
          <w:tcPr>
            <w:tcW w:w="378"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3</w:t>
            </w:r>
            <w:r w:rsidR="00952DCB">
              <w:rPr>
                <w:rFonts w:ascii="Arial" w:hAnsi="Arial" w:cs="Arial"/>
                <w:color w:val="auto"/>
                <w:sz w:val="20"/>
                <w:szCs w:val="20"/>
                <w:lang w:val="es-MX"/>
              </w:rPr>
              <w:t>,</w:t>
            </w:r>
            <w:r w:rsidRPr="009121B4">
              <w:rPr>
                <w:rFonts w:ascii="Arial" w:hAnsi="Arial" w:cs="Arial"/>
                <w:color w:val="auto"/>
                <w:sz w:val="20"/>
                <w:szCs w:val="20"/>
                <w:lang w:val="es-MX"/>
              </w:rPr>
              <w:t>7</w:t>
            </w:r>
          </w:p>
        </w:tc>
      </w:tr>
      <w:tr w:rsidR="00475BBF" w:rsidRPr="009121B4" w:rsidTr="00475BBF">
        <w:trPr>
          <w:cnfStyle w:val="000000100000" w:firstRow="0" w:lastRow="0" w:firstColumn="0" w:lastColumn="0" w:oddVBand="0" w:evenVBand="0" w:oddHBand="1" w:evenHBand="0" w:firstRowFirstColumn="0" w:firstRowLastColumn="0" w:lastRowFirstColumn="0" w:lastRowLastColumn="0"/>
          <w:trHeight w:val="378"/>
          <w:jc w:val="center"/>
        </w:trPr>
        <w:tc>
          <w:tcPr>
            <w:cnfStyle w:val="001000000000" w:firstRow="0" w:lastRow="0" w:firstColumn="1" w:lastColumn="0" w:oddVBand="0" w:evenVBand="0" w:oddHBand="0" w:evenHBand="0" w:firstRowFirstColumn="0" w:firstRowLastColumn="0" w:lastRowFirstColumn="0" w:lastRowLastColumn="0"/>
            <w:tcW w:w="733" w:type="pct"/>
            <w:shd w:val="clear" w:color="auto" w:fill="FFFFFF" w:themeFill="background1"/>
          </w:tcPr>
          <w:p w:rsidR="00475BBF" w:rsidRPr="009121B4" w:rsidRDefault="00475BBF" w:rsidP="00475BBF">
            <w:pPr>
              <w:spacing w:line="360" w:lineRule="auto"/>
              <w:jc w:val="both"/>
              <w:rPr>
                <w:rFonts w:ascii="Arial" w:hAnsi="Arial" w:cs="Arial"/>
                <w:b w:val="0"/>
                <w:color w:val="auto"/>
                <w:sz w:val="20"/>
                <w:szCs w:val="20"/>
                <w:lang w:val="es-MX"/>
              </w:rPr>
            </w:pPr>
            <w:r w:rsidRPr="009121B4">
              <w:rPr>
                <w:rFonts w:ascii="Arial" w:hAnsi="Arial" w:cs="Arial"/>
                <w:b w:val="0"/>
                <w:color w:val="auto"/>
                <w:sz w:val="20"/>
                <w:szCs w:val="20"/>
                <w:lang w:val="es-MX"/>
              </w:rPr>
              <w:t>Puntarenas</w:t>
            </w:r>
          </w:p>
        </w:tc>
        <w:tc>
          <w:tcPr>
            <w:tcW w:w="463" w:type="pct"/>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77</w:t>
            </w:r>
          </w:p>
        </w:tc>
        <w:tc>
          <w:tcPr>
            <w:tcW w:w="381"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16</w:t>
            </w:r>
            <w:r w:rsidR="00952DCB">
              <w:rPr>
                <w:rFonts w:ascii="Arial" w:hAnsi="Arial" w:cs="Arial"/>
                <w:color w:val="auto"/>
                <w:sz w:val="20"/>
                <w:szCs w:val="20"/>
                <w:lang w:val="es-MX"/>
              </w:rPr>
              <w:t>,</w:t>
            </w:r>
            <w:r w:rsidRPr="009121B4">
              <w:rPr>
                <w:rFonts w:ascii="Arial" w:hAnsi="Arial" w:cs="Arial"/>
                <w:color w:val="auto"/>
                <w:sz w:val="20"/>
                <w:szCs w:val="20"/>
                <w:lang w:val="es-MX"/>
              </w:rPr>
              <w:t>7</w:t>
            </w:r>
          </w:p>
        </w:tc>
        <w:tc>
          <w:tcPr>
            <w:tcW w:w="463" w:type="pct"/>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926</w:t>
            </w:r>
          </w:p>
        </w:tc>
        <w:tc>
          <w:tcPr>
            <w:tcW w:w="406"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197</w:t>
            </w:r>
            <w:r w:rsidR="00952DCB">
              <w:rPr>
                <w:rFonts w:ascii="Arial" w:hAnsi="Arial" w:cs="Arial"/>
                <w:color w:val="auto"/>
                <w:sz w:val="20"/>
                <w:szCs w:val="20"/>
                <w:lang w:val="es-MX"/>
              </w:rPr>
              <w:t>,</w:t>
            </w:r>
            <w:r w:rsidRPr="009121B4">
              <w:rPr>
                <w:rFonts w:ascii="Arial" w:hAnsi="Arial" w:cs="Arial"/>
                <w:color w:val="auto"/>
                <w:sz w:val="20"/>
                <w:szCs w:val="20"/>
                <w:lang w:val="es-MX"/>
              </w:rPr>
              <w:t>9</w:t>
            </w:r>
          </w:p>
        </w:tc>
        <w:tc>
          <w:tcPr>
            <w:tcW w:w="463" w:type="pct"/>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w:t>
            </w:r>
            <w:r w:rsidR="00952DCB">
              <w:rPr>
                <w:rFonts w:ascii="Arial" w:hAnsi="Arial" w:cs="Arial"/>
                <w:color w:val="auto"/>
                <w:sz w:val="20"/>
                <w:szCs w:val="20"/>
                <w:lang w:val="es-MX"/>
              </w:rPr>
              <w:t>.</w:t>
            </w:r>
            <w:r w:rsidRPr="009121B4">
              <w:rPr>
                <w:rFonts w:ascii="Arial" w:hAnsi="Arial" w:cs="Arial"/>
                <w:color w:val="auto"/>
                <w:sz w:val="20"/>
                <w:szCs w:val="20"/>
                <w:lang w:val="es-MX"/>
              </w:rPr>
              <w:t>339</w:t>
            </w:r>
          </w:p>
        </w:tc>
        <w:tc>
          <w:tcPr>
            <w:tcW w:w="406"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282</w:t>
            </w:r>
            <w:r w:rsidR="00952DCB">
              <w:rPr>
                <w:rFonts w:ascii="Arial" w:hAnsi="Arial" w:cs="Arial"/>
                <w:color w:val="auto"/>
                <w:sz w:val="20"/>
                <w:szCs w:val="20"/>
                <w:lang w:val="es-MX"/>
              </w:rPr>
              <w:t>,</w:t>
            </w:r>
            <w:r w:rsidRPr="009121B4">
              <w:rPr>
                <w:rFonts w:ascii="Arial" w:hAnsi="Arial" w:cs="Arial"/>
                <w:color w:val="auto"/>
                <w:sz w:val="20"/>
                <w:szCs w:val="20"/>
                <w:lang w:val="es-MX"/>
              </w:rPr>
              <w:t>3</w:t>
            </w:r>
          </w:p>
        </w:tc>
        <w:tc>
          <w:tcPr>
            <w:tcW w:w="463" w:type="pct"/>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64</w:t>
            </w:r>
          </w:p>
        </w:tc>
        <w:tc>
          <w:tcPr>
            <w:tcW w:w="381"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13</w:t>
            </w:r>
            <w:r w:rsidR="00952DCB">
              <w:rPr>
                <w:rFonts w:ascii="Arial" w:hAnsi="Arial" w:cs="Arial"/>
                <w:color w:val="auto"/>
                <w:sz w:val="20"/>
                <w:szCs w:val="20"/>
                <w:lang w:val="es-MX"/>
              </w:rPr>
              <w:t>,</w:t>
            </w:r>
            <w:r w:rsidRPr="009121B4">
              <w:rPr>
                <w:rFonts w:ascii="Arial" w:hAnsi="Arial" w:cs="Arial"/>
                <w:color w:val="auto"/>
                <w:sz w:val="20"/>
                <w:szCs w:val="20"/>
                <w:lang w:val="es-MX"/>
              </w:rPr>
              <w:t>3</w:t>
            </w:r>
          </w:p>
        </w:tc>
        <w:tc>
          <w:tcPr>
            <w:tcW w:w="463" w:type="pct"/>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15</w:t>
            </w:r>
          </w:p>
        </w:tc>
        <w:tc>
          <w:tcPr>
            <w:tcW w:w="378"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3</w:t>
            </w:r>
            <w:r w:rsidR="00952DCB">
              <w:rPr>
                <w:rFonts w:ascii="Arial" w:hAnsi="Arial" w:cs="Arial"/>
                <w:color w:val="auto"/>
                <w:sz w:val="20"/>
                <w:szCs w:val="20"/>
                <w:lang w:val="es-MX"/>
              </w:rPr>
              <w:t>,</w:t>
            </w:r>
            <w:r w:rsidRPr="009121B4">
              <w:rPr>
                <w:rFonts w:ascii="Arial" w:hAnsi="Arial" w:cs="Arial"/>
                <w:color w:val="auto"/>
                <w:sz w:val="20"/>
                <w:szCs w:val="20"/>
                <w:lang w:val="es-MX"/>
              </w:rPr>
              <w:t>1</w:t>
            </w:r>
          </w:p>
        </w:tc>
      </w:tr>
      <w:tr w:rsidR="00475BBF" w:rsidRPr="009121B4" w:rsidTr="00475BBF">
        <w:trPr>
          <w:trHeight w:val="378"/>
          <w:jc w:val="center"/>
        </w:trPr>
        <w:tc>
          <w:tcPr>
            <w:cnfStyle w:val="001000000000" w:firstRow="0" w:lastRow="0" w:firstColumn="1" w:lastColumn="0" w:oddVBand="0" w:evenVBand="0" w:oddHBand="0" w:evenHBand="0" w:firstRowFirstColumn="0" w:firstRowLastColumn="0" w:lastRowFirstColumn="0" w:lastRowLastColumn="0"/>
            <w:tcW w:w="733" w:type="pct"/>
            <w:shd w:val="clear" w:color="auto" w:fill="FFFFFF" w:themeFill="background1"/>
          </w:tcPr>
          <w:p w:rsidR="00475BBF" w:rsidRPr="009121B4" w:rsidRDefault="00475BBF" w:rsidP="00475BBF">
            <w:pPr>
              <w:spacing w:line="360" w:lineRule="auto"/>
              <w:jc w:val="both"/>
              <w:rPr>
                <w:rFonts w:ascii="Arial" w:hAnsi="Arial" w:cs="Arial"/>
                <w:b w:val="0"/>
                <w:color w:val="auto"/>
                <w:sz w:val="20"/>
                <w:szCs w:val="20"/>
                <w:lang w:val="es-MX"/>
              </w:rPr>
            </w:pPr>
            <w:r w:rsidRPr="009121B4">
              <w:rPr>
                <w:rFonts w:ascii="Arial" w:hAnsi="Arial" w:cs="Arial"/>
                <w:b w:val="0"/>
                <w:color w:val="auto"/>
                <w:sz w:val="20"/>
                <w:szCs w:val="20"/>
                <w:lang w:val="es-MX"/>
              </w:rPr>
              <w:t>Alajuela</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12</w:t>
            </w:r>
          </w:p>
        </w:tc>
        <w:tc>
          <w:tcPr>
            <w:tcW w:w="381"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w:t>
            </w:r>
            <w:r w:rsidR="00952DCB">
              <w:rPr>
                <w:rFonts w:ascii="Arial" w:hAnsi="Arial" w:cs="Arial"/>
                <w:color w:val="auto"/>
                <w:sz w:val="20"/>
                <w:szCs w:val="20"/>
                <w:lang w:val="es-MX"/>
              </w:rPr>
              <w:t>,</w:t>
            </w:r>
            <w:r w:rsidRPr="009121B4">
              <w:rPr>
                <w:rFonts w:ascii="Arial" w:hAnsi="Arial" w:cs="Arial"/>
                <w:color w:val="auto"/>
                <w:sz w:val="20"/>
                <w:szCs w:val="20"/>
                <w:lang w:val="es-MX"/>
              </w:rPr>
              <w:t>3</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295</w:t>
            </w:r>
          </w:p>
        </w:tc>
        <w:tc>
          <w:tcPr>
            <w:tcW w:w="406"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30</w:t>
            </w:r>
            <w:r w:rsidR="00952DCB">
              <w:rPr>
                <w:rFonts w:ascii="Arial" w:hAnsi="Arial" w:cs="Arial"/>
                <w:color w:val="auto"/>
                <w:sz w:val="20"/>
                <w:szCs w:val="20"/>
                <w:lang w:val="es-MX"/>
              </w:rPr>
              <w:t>,</w:t>
            </w:r>
            <w:r w:rsidRPr="009121B4">
              <w:rPr>
                <w:rFonts w:ascii="Arial" w:hAnsi="Arial" w:cs="Arial"/>
                <w:color w:val="auto"/>
                <w:sz w:val="20"/>
                <w:szCs w:val="20"/>
                <w:lang w:val="es-MX"/>
              </w:rPr>
              <w:t>7</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435</w:t>
            </w:r>
          </w:p>
        </w:tc>
        <w:tc>
          <w:tcPr>
            <w:tcW w:w="406"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44</w:t>
            </w:r>
            <w:r w:rsidR="00952DCB">
              <w:rPr>
                <w:rFonts w:ascii="Arial" w:hAnsi="Arial" w:cs="Arial"/>
                <w:color w:val="auto"/>
                <w:sz w:val="20"/>
                <w:szCs w:val="20"/>
                <w:lang w:val="es-MX"/>
              </w:rPr>
              <w:t>,</w:t>
            </w:r>
            <w:r w:rsidRPr="009121B4">
              <w:rPr>
                <w:rFonts w:ascii="Arial" w:hAnsi="Arial" w:cs="Arial"/>
                <w:color w:val="auto"/>
                <w:sz w:val="20"/>
                <w:szCs w:val="20"/>
                <w:lang w:val="es-MX"/>
              </w:rPr>
              <w:t>6</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87</w:t>
            </w:r>
          </w:p>
        </w:tc>
        <w:tc>
          <w:tcPr>
            <w:tcW w:w="381"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8</w:t>
            </w:r>
            <w:r w:rsidR="00952DCB">
              <w:rPr>
                <w:rFonts w:ascii="Arial" w:hAnsi="Arial" w:cs="Arial"/>
                <w:color w:val="auto"/>
                <w:sz w:val="20"/>
                <w:szCs w:val="20"/>
                <w:lang w:val="es-MX"/>
              </w:rPr>
              <w:t>,</w:t>
            </w:r>
            <w:r w:rsidRPr="009121B4">
              <w:rPr>
                <w:rFonts w:ascii="Arial" w:hAnsi="Arial" w:cs="Arial"/>
                <w:color w:val="auto"/>
                <w:sz w:val="20"/>
                <w:szCs w:val="20"/>
                <w:lang w:val="es-MX"/>
              </w:rPr>
              <w:t>8</w:t>
            </w:r>
          </w:p>
        </w:tc>
        <w:tc>
          <w:tcPr>
            <w:tcW w:w="463" w:type="pct"/>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55</w:t>
            </w:r>
          </w:p>
        </w:tc>
        <w:tc>
          <w:tcPr>
            <w:tcW w:w="378" w:type="pct"/>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5</w:t>
            </w:r>
            <w:r w:rsidR="00952DCB">
              <w:rPr>
                <w:rFonts w:ascii="Arial" w:hAnsi="Arial" w:cs="Arial"/>
                <w:color w:val="auto"/>
                <w:sz w:val="20"/>
                <w:szCs w:val="20"/>
                <w:lang w:val="es-MX"/>
              </w:rPr>
              <w:t>,</w:t>
            </w:r>
            <w:r w:rsidRPr="009121B4">
              <w:rPr>
                <w:rFonts w:ascii="Arial" w:hAnsi="Arial" w:cs="Arial"/>
                <w:color w:val="auto"/>
                <w:sz w:val="20"/>
                <w:szCs w:val="20"/>
                <w:lang w:val="es-MX"/>
              </w:rPr>
              <w:t>5</w:t>
            </w:r>
          </w:p>
        </w:tc>
      </w:tr>
      <w:tr w:rsidR="00475BBF" w:rsidRPr="009121B4" w:rsidTr="00475BBF">
        <w:trPr>
          <w:cnfStyle w:val="000000100000" w:firstRow="0" w:lastRow="0" w:firstColumn="0" w:lastColumn="0" w:oddVBand="0" w:evenVBand="0" w:oddHBand="1" w:evenHBand="0" w:firstRowFirstColumn="0" w:firstRowLastColumn="0" w:lastRowFirstColumn="0" w:lastRowLastColumn="0"/>
          <w:trHeight w:val="378"/>
          <w:jc w:val="center"/>
        </w:trPr>
        <w:tc>
          <w:tcPr>
            <w:cnfStyle w:val="001000000000" w:firstRow="0" w:lastRow="0" w:firstColumn="1" w:lastColumn="0" w:oddVBand="0" w:evenVBand="0" w:oddHBand="0" w:evenHBand="0" w:firstRowFirstColumn="0" w:firstRowLastColumn="0" w:lastRowFirstColumn="0" w:lastRowLastColumn="0"/>
            <w:tcW w:w="733" w:type="pct"/>
            <w:shd w:val="clear" w:color="auto" w:fill="FFFFFF" w:themeFill="background1"/>
          </w:tcPr>
          <w:p w:rsidR="00475BBF" w:rsidRPr="009121B4" w:rsidRDefault="00475BBF" w:rsidP="00475BBF">
            <w:pPr>
              <w:spacing w:line="360" w:lineRule="auto"/>
              <w:jc w:val="both"/>
              <w:rPr>
                <w:rFonts w:ascii="Arial" w:hAnsi="Arial" w:cs="Arial"/>
                <w:b w:val="0"/>
                <w:color w:val="auto"/>
                <w:sz w:val="20"/>
                <w:szCs w:val="20"/>
                <w:lang w:val="es-MX"/>
              </w:rPr>
            </w:pPr>
            <w:r w:rsidRPr="009121B4">
              <w:rPr>
                <w:rFonts w:ascii="Arial" w:hAnsi="Arial" w:cs="Arial"/>
                <w:b w:val="0"/>
                <w:color w:val="auto"/>
                <w:sz w:val="20"/>
                <w:szCs w:val="20"/>
                <w:lang w:val="es-MX"/>
              </w:rPr>
              <w:t>Heredia</w:t>
            </w:r>
          </w:p>
        </w:tc>
        <w:tc>
          <w:tcPr>
            <w:tcW w:w="463" w:type="pct"/>
            <w:shd w:val="clear" w:color="auto" w:fill="FFFFFF" w:themeFill="background1"/>
          </w:tcPr>
          <w:p w:rsidR="00475BBF" w:rsidRPr="009121B4" w:rsidRDefault="00952DCB"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Pr>
                <w:rFonts w:ascii="Arial" w:hAnsi="Arial" w:cs="Arial"/>
                <w:color w:val="auto"/>
                <w:sz w:val="20"/>
                <w:szCs w:val="20"/>
                <w:lang w:val="es-MX"/>
              </w:rPr>
              <w:t xml:space="preserve">  </w:t>
            </w:r>
            <w:r w:rsidR="00475BBF" w:rsidRPr="009121B4">
              <w:rPr>
                <w:rFonts w:ascii="Arial" w:hAnsi="Arial" w:cs="Arial"/>
                <w:color w:val="auto"/>
                <w:sz w:val="20"/>
                <w:szCs w:val="20"/>
                <w:lang w:val="es-MX"/>
              </w:rPr>
              <w:t>5</w:t>
            </w:r>
          </w:p>
        </w:tc>
        <w:tc>
          <w:tcPr>
            <w:tcW w:w="381"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w:t>
            </w:r>
            <w:r w:rsidR="00952DCB">
              <w:rPr>
                <w:rFonts w:ascii="Arial" w:hAnsi="Arial" w:cs="Arial"/>
                <w:color w:val="auto"/>
                <w:sz w:val="20"/>
                <w:szCs w:val="20"/>
                <w:lang w:val="es-MX"/>
              </w:rPr>
              <w:t>,</w:t>
            </w:r>
            <w:r w:rsidRPr="009121B4">
              <w:rPr>
                <w:rFonts w:ascii="Arial" w:hAnsi="Arial" w:cs="Arial"/>
                <w:color w:val="auto"/>
                <w:sz w:val="20"/>
                <w:szCs w:val="20"/>
                <w:lang w:val="es-MX"/>
              </w:rPr>
              <w:t>0</w:t>
            </w:r>
          </w:p>
        </w:tc>
        <w:tc>
          <w:tcPr>
            <w:tcW w:w="463" w:type="pct"/>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45</w:t>
            </w:r>
          </w:p>
        </w:tc>
        <w:tc>
          <w:tcPr>
            <w:tcW w:w="406"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9</w:t>
            </w:r>
            <w:r w:rsidR="00952DCB">
              <w:rPr>
                <w:rFonts w:ascii="Arial" w:hAnsi="Arial" w:cs="Arial"/>
                <w:color w:val="auto"/>
                <w:sz w:val="20"/>
                <w:szCs w:val="20"/>
                <w:lang w:val="es-MX"/>
              </w:rPr>
              <w:t>,</w:t>
            </w:r>
            <w:r w:rsidRPr="009121B4">
              <w:rPr>
                <w:rFonts w:ascii="Arial" w:hAnsi="Arial" w:cs="Arial"/>
                <w:color w:val="auto"/>
                <w:sz w:val="20"/>
                <w:szCs w:val="20"/>
                <w:lang w:val="es-MX"/>
              </w:rPr>
              <w:t>2</w:t>
            </w:r>
          </w:p>
        </w:tc>
        <w:tc>
          <w:tcPr>
            <w:tcW w:w="463" w:type="pct"/>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80</w:t>
            </w:r>
          </w:p>
        </w:tc>
        <w:tc>
          <w:tcPr>
            <w:tcW w:w="406"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16</w:t>
            </w:r>
            <w:r w:rsidR="00952DCB">
              <w:rPr>
                <w:rFonts w:ascii="Arial" w:hAnsi="Arial" w:cs="Arial"/>
                <w:color w:val="auto"/>
                <w:sz w:val="20"/>
                <w:szCs w:val="20"/>
                <w:lang w:val="es-MX"/>
              </w:rPr>
              <w:t>,</w:t>
            </w:r>
            <w:r w:rsidRPr="009121B4">
              <w:rPr>
                <w:rFonts w:ascii="Arial" w:hAnsi="Arial" w:cs="Arial"/>
                <w:color w:val="auto"/>
                <w:sz w:val="20"/>
                <w:szCs w:val="20"/>
                <w:lang w:val="es-MX"/>
              </w:rPr>
              <w:t>0</w:t>
            </w:r>
          </w:p>
        </w:tc>
        <w:tc>
          <w:tcPr>
            <w:tcW w:w="463" w:type="pct"/>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16</w:t>
            </w:r>
          </w:p>
        </w:tc>
        <w:tc>
          <w:tcPr>
            <w:tcW w:w="381"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3</w:t>
            </w:r>
            <w:r w:rsidR="00952DCB">
              <w:rPr>
                <w:rFonts w:ascii="Arial" w:hAnsi="Arial" w:cs="Arial"/>
                <w:color w:val="auto"/>
                <w:sz w:val="20"/>
                <w:szCs w:val="20"/>
                <w:lang w:val="es-MX"/>
              </w:rPr>
              <w:t>,</w:t>
            </w:r>
            <w:r w:rsidRPr="009121B4">
              <w:rPr>
                <w:rFonts w:ascii="Arial" w:hAnsi="Arial" w:cs="Arial"/>
                <w:color w:val="auto"/>
                <w:sz w:val="20"/>
                <w:szCs w:val="20"/>
                <w:lang w:val="es-MX"/>
              </w:rPr>
              <w:t>2</w:t>
            </w:r>
          </w:p>
        </w:tc>
        <w:tc>
          <w:tcPr>
            <w:tcW w:w="463" w:type="pct"/>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21</w:t>
            </w:r>
          </w:p>
        </w:tc>
        <w:tc>
          <w:tcPr>
            <w:tcW w:w="378" w:type="pct"/>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4</w:t>
            </w:r>
            <w:r w:rsidR="00952DCB">
              <w:rPr>
                <w:rFonts w:ascii="Arial" w:hAnsi="Arial" w:cs="Arial"/>
                <w:color w:val="auto"/>
                <w:sz w:val="20"/>
                <w:szCs w:val="20"/>
                <w:lang w:val="es-MX"/>
              </w:rPr>
              <w:t>,</w:t>
            </w:r>
            <w:r w:rsidRPr="009121B4">
              <w:rPr>
                <w:rFonts w:ascii="Arial" w:hAnsi="Arial" w:cs="Arial"/>
                <w:color w:val="auto"/>
                <w:sz w:val="20"/>
                <w:szCs w:val="20"/>
                <w:lang w:val="es-MX"/>
              </w:rPr>
              <w:t>1</w:t>
            </w:r>
          </w:p>
        </w:tc>
      </w:tr>
      <w:tr w:rsidR="00475BBF" w:rsidRPr="009121B4" w:rsidTr="00475BBF">
        <w:trPr>
          <w:trHeight w:val="378"/>
          <w:jc w:val="center"/>
        </w:trPr>
        <w:tc>
          <w:tcPr>
            <w:cnfStyle w:val="001000000000" w:firstRow="0" w:lastRow="0" w:firstColumn="1" w:lastColumn="0" w:oddVBand="0" w:evenVBand="0" w:oddHBand="0" w:evenHBand="0" w:firstRowFirstColumn="0" w:firstRowLastColumn="0" w:lastRowFirstColumn="0" w:lastRowLastColumn="0"/>
            <w:tcW w:w="733" w:type="pct"/>
            <w:tcBorders>
              <w:bottom w:val="nil"/>
            </w:tcBorders>
            <w:shd w:val="clear" w:color="auto" w:fill="FFFFFF" w:themeFill="background1"/>
          </w:tcPr>
          <w:p w:rsidR="00475BBF" w:rsidRPr="009121B4" w:rsidRDefault="00475BBF" w:rsidP="00475BBF">
            <w:pPr>
              <w:spacing w:line="360" w:lineRule="auto"/>
              <w:jc w:val="both"/>
              <w:rPr>
                <w:rFonts w:ascii="Arial" w:hAnsi="Arial" w:cs="Arial"/>
                <w:b w:val="0"/>
                <w:color w:val="auto"/>
                <w:sz w:val="20"/>
                <w:szCs w:val="20"/>
                <w:lang w:val="es-MX"/>
              </w:rPr>
            </w:pPr>
            <w:r w:rsidRPr="009121B4">
              <w:rPr>
                <w:rFonts w:ascii="Arial" w:hAnsi="Arial" w:cs="Arial"/>
                <w:b w:val="0"/>
                <w:color w:val="auto"/>
                <w:sz w:val="20"/>
                <w:szCs w:val="20"/>
                <w:lang w:val="es-MX"/>
              </w:rPr>
              <w:t>San José</w:t>
            </w:r>
          </w:p>
        </w:tc>
        <w:tc>
          <w:tcPr>
            <w:tcW w:w="463" w:type="pct"/>
            <w:tcBorders>
              <w:bottom w:val="nil"/>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18</w:t>
            </w:r>
          </w:p>
        </w:tc>
        <w:tc>
          <w:tcPr>
            <w:tcW w:w="381" w:type="pct"/>
            <w:tcBorders>
              <w:bottom w:val="nil"/>
            </w:tcBorders>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w:t>
            </w:r>
            <w:r w:rsidR="00952DCB">
              <w:rPr>
                <w:rFonts w:ascii="Arial" w:hAnsi="Arial" w:cs="Arial"/>
                <w:color w:val="auto"/>
                <w:sz w:val="20"/>
                <w:szCs w:val="20"/>
                <w:lang w:val="es-MX"/>
              </w:rPr>
              <w:t>,</w:t>
            </w:r>
            <w:r w:rsidRPr="009121B4">
              <w:rPr>
                <w:rFonts w:ascii="Arial" w:hAnsi="Arial" w:cs="Arial"/>
                <w:color w:val="auto"/>
                <w:sz w:val="20"/>
                <w:szCs w:val="20"/>
                <w:lang w:val="es-MX"/>
              </w:rPr>
              <w:t>1</w:t>
            </w:r>
          </w:p>
        </w:tc>
        <w:tc>
          <w:tcPr>
            <w:tcW w:w="463" w:type="pct"/>
            <w:tcBorders>
              <w:bottom w:val="nil"/>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177</w:t>
            </w:r>
          </w:p>
        </w:tc>
        <w:tc>
          <w:tcPr>
            <w:tcW w:w="406" w:type="pct"/>
            <w:tcBorders>
              <w:bottom w:val="nil"/>
            </w:tcBorders>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11</w:t>
            </w:r>
            <w:r w:rsidR="00952DCB">
              <w:rPr>
                <w:rFonts w:ascii="Arial" w:hAnsi="Arial" w:cs="Arial"/>
                <w:color w:val="auto"/>
                <w:sz w:val="20"/>
                <w:szCs w:val="20"/>
                <w:lang w:val="es-MX"/>
              </w:rPr>
              <w:t>,</w:t>
            </w:r>
            <w:r w:rsidRPr="009121B4">
              <w:rPr>
                <w:rFonts w:ascii="Arial" w:hAnsi="Arial" w:cs="Arial"/>
                <w:color w:val="auto"/>
                <w:sz w:val="20"/>
                <w:szCs w:val="20"/>
                <w:lang w:val="es-MX"/>
              </w:rPr>
              <w:t>1</w:t>
            </w:r>
          </w:p>
        </w:tc>
        <w:tc>
          <w:tcPr>
            <w:tcW w:w="463" w:type="pct"/>
            <w:tcBorders>
              <w:bottom w:val="nil"/>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132</w:t>
            </w:r>
          </w:p>
        </w:tc>
        <w:tc>
          <w:tcPr>
            <w:tcW w:w="406" w:type="pct"/>
            <w:tcBorders>
              <w:bottom w:val="nil"/>
            </w:tcBorders>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8</w:t>
            </w:r>
            <w:r w:rsidR="00952DCB">
              <w:rPr>
                <w:rFonts w:ascii="Arial" w:hAnsi="Arial" w:cs="Arial"/>
                <w:color w:val="auto"/>
                <w:sz w:val="20"/>
                <w:szCs w:val="20"/>
                <w:lang w:val="es-MX"/>
              </w:rPr>
              <w:t>,</w:t>
            </w:r>
            <w:r w:rsidRPr="009121B4">
              <w:rPr>
                <w:rFonts w:ascii="Arial" w:hAnsi="Arial" w:cs="Arial"/>
                <w:color w:val="auto"/>
                <w:sz w:val="20"/>
                <w:szCs w:val="20"/>
                <w:lang w:val="es-MX"/>
              </w:rPr>
              <w:t>0</w:t>
            </w:r>
          </w:p>
        </w:tc>
        <w:tc>
          <w:tcPr>
            <w:tcW w:w="463" w:type="pct"/>
            <w:tcBorders>
              <w:bottom w:val="nil"/>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41</w:t>
            </w:r>
          </w:p>
        </w:tc>
        <w:tc>
          <w:tcPr>
            <w:tcW w:w="381" w:type="pct"/>
            <w:tcBorders>
              <w:bottom w:val="nil"/>
            </w:tcBorders>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w:t>
            </w:r>
            <w:r w:rsidR="00952DCB">
              <w:rPr>
                <w:rFonts w:ascii="Arial" w:hAnsi="Arial" w:cs="Arial"/>
                <w:color w:val="auto"/>
                <w:sz w:val="20"/>
                <w:szCs w:val="20"/>
                <w:lang w:val="es-MX"/>
              </w:rPr>
              <w:t>,</w:t>
            </w:r>
            <w:r w:rsidRPr="009121B4">
              <w:rPr>
                <w:rFonts w:ascii="Arial" w:hAnsi="Arial" w:cs="Arial"/>
                <w:color w:val="auto"/>
                <w:sz w:val="20"/>
                <w:szCs w:val="20"/>
                <w:lang w:val="es-MX"/>
              </w:rPr>
              <w:t>5</w:t>
            </w:r>
          </w:p>
        </w:tc>
        <w:tc>
          <w:tcPr>
            <w:tcW w:w="463" w:type="pct"/>
            <w:tcBorders>
              <w:bottom w:val="nil"/>
            </w:tcBorders>
            <w:shd w:val="clear" w:color="auto" w:fill="FFFFFF" w:themeFill="background1"/>
          </w:tcPr>
          <w:p w:rsidR="00475BBF" w:rsidRPr="009121B4"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22</w:t>
            </w:r>
          </w:p>
        </w:tc>
        <w:tc>
          <w:tcPr>
            <w:tcW w:w="378" w:type="pct"/>
            <w:tcBorders>
              <w:bottom w:val="nil"/>
            </w:tcBorders>
            <w:shd w:val="clear" w:color="auto" w:fill="FFFFFF" w:themeFill="background1"/>
          </w:tcPr>
          <w:p w:rsidR="00475BBF" w:rsidRPr="009121B4" w:rsidRDefault="00475BBF" w:rsidP="00952DC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w:t>
            </w:r>
            <w:r w:rsidR="00952DCB">
              <w:rPr>
                <w:rFonts w:ascii="Arial" w:hAnsi="Arial" w:cs="Arial"/>
                <w:color w:val="auto"/>
                <w:sz w:val="20"/>
                <w:szCs w:val="20"/>
                <w:lang w:val="es-MX"/>
              </w:rPr>
              <w:t>,</w:t>
            </w:r>
            <w:r w:rsidRPr="009121B4">
              <w:rPr>
                <w:rFonts w:ascii="Arial" w:hAnsi="Arial" w:cs="Arial"/>
                <w:color w:val="auto"/>
                <w:sz w:val="20"/>
                <w:szCs w:val="20"/>
                <w:lang w:val="es-MX"/>
              </w:rPr>
              <w:t>3</w:t>
            </w:r>
          </w:p>
        </w:tc>
      </w:tr>
      <w:tr w:rsidR="00475BBF" w:rsidRPr="009121B4" w:rsidTr="00475BBF">
        <w:trPr>
          <w:cnfStyle w:val="000000100000" w:firstRow="0" w:lastRow="0" w:firstColumn="0" w:lastColumn="0" w:oddVBand="0" w:evenVBand="0" w:oddHBand="1" w:evenHBand="0" w:firstRowFirstColumn="0" w:firstRowLastColumn="0" w:lastRowFirstColumn="0" w:lastRowLastColumn="0"/>
          <w:trHeight w:val="378"/>
          <w:jc w:val="center"/>
        </w:trPr>
        <w:tc>
          <w:tcPr>
            <w:cnfStyle w:val="001000000000" w:firstRow="0" w:lastRow="0" w:firstColumn="1" w:lastColumn="0" w:oddVBand="0" w:evenVBand="0" w:oddHBand="0" w:evenHBand="0" w:firstRowFirstColumn="0" w:firstRowLastColumn="0" w:lastRowFirstColumn="0" w:lastRowLastColumn="0"/>
            <w:tcW w:w="733" w:type="pct"/>
            <w:tcBorders>
              <w:top w:val="nil"/>
              <w:bottom w:val="single" w:sz="4" w:space="0" w:color="auto"/>
            </w:tcBorders>
            <w:shd w:val="clear" w:color="auto" w:fill="FFFFFF" w:themeFill="background1"/>
          </w:tcPr>
          <w:p w:rsidR="00475BBF" w:rsidRPr="009121B4" w:rsidRDefault="00475BBF" w:rsidP="00475BBF">
            <w:pPr>
              <w:spacing w:line="360" w:lineRule="auto"/>
              <w:jc w:val="both"/>
              <w:rPr>
                <w:rFonts w:ascii="Arial" w:hAnsi="Arial" w:cs="Arial"/>
                <w:b w:val="0"/>
                <w:color w:val="auto"/>
                <w:sz w:val="20"/>
                <w:szCs w:val="20"/>
                <w:lang w:val="es-MX"/>
              </w:rPr>
            </w:pPr>
            <w:r w:rsidRPr="009121B4">
              <w:rPr>
                <w:rFonts w:ascii="Arial" w:hAnsi="Arial" w:cs="Arial"/>
                <w:b w:val="0"/>
                <w:color w:val="auto"/>
                <w:sz w:val="20"/>
                <w:szCs w:val="20"/>
                <w:lang w:val="es-MX"/>
              </w:rPr>
              <w:t>Cartago</w:t>
            </w:r>
          </w:p>
        </w:tc>
        <w:tc>
          <w:tcPr>
            <w:tcW w:w="463" w:type="pct"/>
            <w:tcBorders>
              <w:top w:val="nil"/>
              <w:bottom w:val="single" w:sz="4" w:space="0" w:color="auto"/>
            </w:tcBorders>
            <w:shd w:val="clear" w:color="auto" w:fill="FFFFFF" w:themeFill="background1"/>
          </w:tcPr>
          <w:p w:rsidR="00475BBF" w:rsidRPr="009121B4" w:rsidRDefault="00952DCB"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Pr>
                <w:rFonts w:ascii="Arial" w:hAnsi="Arial" w:cs="Arial"/>
                <w:color w:val="auto"/>
                <w:sz w:val="20"/>
                <w:szCs w:val="20"/>
                <w:lang w:val="es-MX"/>
              </w:rPr>
              <w:t xml:space="preserve">  </w:t>
            </w:r>
            <w:r w:rsidR="00475BBF" w:rsidRPr="009121B4">
              <w:rPr>
                <w:rFonts w:ascii="Arial" w:hAnsi="Arial" w:cs="Arial"/>
                <w:color w:val="auto"/>
                <w:sz w:val="20"/>
                <w:szCs w:val="20"/>
                <w:lang w:val="es-MX"/>
              </w:rPr>
              <w:t>7</w:t>
            </w:r>
          </w:p>
        </w:tc>
        <w:tc>
          <w:tcPr>
            <w:tcW w:w="381" w:type="pct"/>
            <w:tcBorders>
              <w:top w:val="nil"/>
              <w:bottom w:val="single" w:sz="4" w:space="0" w:color="auto"/>
            </w:tcBorders>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w:t>
            </w:r>
            <w:r w:rsidR="00952DCB">
              <w:rPr>
                <w:rFonts w:ascii="Arial" w:hAnsi="Arial" w:cs="Arial"/>
                <w:color w:val="auto"/>
                <w:sz w:val="20"/>
                <w:szCs w:val="20"/>
                <w:lang w:val="es-MX"/>
              </w:rPr>
              <w:t>,</w:t>
            </w:r>
            <w:r w:rsidRPr="009121B4">
              <w:rPr>
                <w:rFonts w:ascii="Arial" w:hAnsi="Arial" w:cs="Arial"/>
                <w:color w:val="auto"/>
                <w:sz w:val="20"/>
                <w:szCs w:val="20"/>
                <w:lang w:val="es-MX"/>
              </w:rPr>
              <w:t>3</w:t>
            </w:r>
          </w:p>
        </w:tc>
        <w:tc>
          <w:tcPr>
            <w:tcW w:w="463" w:type="pct"/>
            <w:tcBorders>
              <w:top w:val="nil"/>
              <w:bottom w:val="single" w:sz="4"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38</w:t>
            </w:r>
          </w:p>
        </w:tc>
        <w:tc>
          <w:tcPr>
            <w:tcW w:w="406" w:type="pct"/>
            <w:tcBorders>
              <w:top w:val="nil"/>
              <w:bottom w:val="single" w:sz="4" w:space="0" w:color="auto"/>
            </w:tcBorders>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7</w:t>
            </w:r>
            <w:r w:rsidR="00952DCB">
              <w:rPr>
                <w:rFonts w:ascii="Arial" w:hAnsi="Arial" w:cs="Arial"/>
                <w:color w:val="auto"/>
                <w:sz w:val="20"/>
                <w:szCs w:val="20"/>
                <w:lang w:val="es-MX"/>
              </w:rPr>
              <w:t>,</w:t>
            </w:r>
            <w:r w:rsidRPr="009121B4">
              <w:rPr>
                <w:rFonts w:ascii="Arial" w:hAnsi="Arial" w:cs="Arial"/>
                <w:color w:val="auto"/>
                <w:sz w:val="20"/>
                <w:szCs w:val="20"/>
                <w:lang w:val="es-MX"/>
              </w:rPr>
              <w:t>3</w:t>
            </w:r>
          </w:p>
        </w:tc>
        <w:tc>
          <w:tcPr>
            <w:tcW w:w="463" w:type="pct"/>
            <w:tcBorders>
              <w:top w:val="nil"/>
              <w:bottom w:val="single" w:sz="4"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13</w:t>
            </w:r>
          </w:p>
        </w:tc>
        <w:tc>
          <w:tcPr>
            <w:tcW w:w="406" w:type="pct"/>
            <w:tcBorders>
              <w:top w:val="nil"/>
              <w:bottom w:val="single" w:sz="4" w:space="0" w:color="auto"/>
            </w:tcBorders>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2</w:t>
            </w:r>
            <w:r w:rsidR="00952DCB">
              <w:rPr>
                <w:rFonts w:ascii="Arial" w:hAnsi="Arial" w:cs="Arial"/>
                <w:color w:val="auto"/>
                <w:sz w:val="20"/>
                <w:szCs w:val="20"/>
                <w:lang w:val="es-MX"/>
              </w:rPr>
              <w:t>,</w:t>
            </w:r>
            <w:r w:rsidRPr="009121B4">
              <w:rPr>
                <w:rFonts w:ascii="Arial" w:hAnsi="Arial" w:cs="Arial"/>
                <w:color w:val="auto"/>
                <w:sz w:val="20"/>
                <w:szCs w:val="20"/>
                <w:lang w:val="es-MX"/>
              </w:rPr>
              <w:t>0</w:t>
            </w:r>
          </w:p>
        </w:tc>
        <w:tc>
          <w:tcPr>
            <w:tcW w:w="463" w:type="pct"/>
            <w:tcBorders>
              <w:top w:val="nil"/>
              <w:bottom w:val="single" w:sz="4"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4</w:t>
            </w:r>
          </w:p>
        </w:tc>
        <w:tc>
          <w:tcPr>
            <w:tcW w:w="381" w:type="pct"/>
            <w:tcBorders>
              <w:top w:val="nil"/>
              <w:bottom w:val="single" w:sz="4" w:space="0" w:color="auto"/>
            </w:tcBorders>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0</w:t>
            </w:r>
            <w:r w:rsidR="00952DCB">
              <w:rPr>
                <w:rFonts w:ascii="Arial" w:hAnsi="Arial" w:cs="Arial"/>
                <w:color w:val="auto"/>
                <w:sz w:val="20"/>
                <w:szCs w:val="20"/>
                <w:lang w:val="es-MX"/>
              </w:rPr>
              <w:t>,</w:t>
            </w:r>
            <w:r w:rsidRPr="009121B4">
              <w:rPr>
                <w:rFonts w:ascii="Arial" w:hAnsi="Arial" w:cs="Arial"/>
                <w:color w:val="auto"/>
                <w:sz w:val="20"/>
                <w:szCs w:val="20"/>
                <w:lang w:val="es-MX"/>
              </w:rPr>
              <w:t>8</w:t>
            </w:r>
          </w:p>
        </w:tc>
        <w:tc>
          <w:tcPr>
            <w:tcW w:w="463" w:type="pct"/>
            <w:tcBorders>
              <w:top w:val="nil"/>
              <w:bottom w:val="single" w:sz="4" w:space="0" w:color="auto"/>
            </w:tcBorders>
            <w:shd w:val="clear" w:color="auto" w:fill="FFFFFF" w:themeFill="background1"/>
          </w:tcPr>
          <w:p w:rsidR="00475BBF" w:rsidRPr="009121B4"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3</w:t>
            </w:r>
          </w:p>
        </w:tc>
        <w:tc>
          <w:tcPr>
            <w:tcW w:w="378" w:type="pct"/>
            <w:tcBorders>
              <w:top w:val="nil"/>
              <w:bottom w:val="single" w:sz="4" w:space="0" w:color="auto"/>
            </w:tcBorders>
            <w:shd w:val="clear" w:color="auto" w:fill="FFFFFF" w:themeFill="background1"/>
          </w:tcPr>
          <w:p w:rsidR="00475BBF" w:rsidRPr="009121B4" w:rsidRDefault="00475BBF" w:rsidP="00952DC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9121B4">
              <w:rPr>
                <w:rFonts w:ascii="Arial" w:hAnsi="Arial" w:cs="Arial"/>
                <w:color w:val="auto"/>
                <w:sz w:val="20"/>
                <w:szCs w:val="20"/>
                <w:lang w:val="es-MX"/>
              </w:rPr>
              <w:t>0</w:t>
            </w:r>
            <w:r w:rsidR="00952DCB">
              <w:rPr>
                <w:rFonts w:ascii="Arial" w:hAnsi="Arial" w:cs="Arial"/>
                <w:color w:val="auto"/>
                <w:sz w:val="20"/>
                <w:szCs w:val="20"/>
                <w:lang w:val="es-MX"/>
              </w:rPr>
              <w:t>,</w:t>
            </w:r>
            <w:r w:rsidRPr="009121B4">
              <w:rPr>
                <w:rFonts w:ascii="Arial" w:hAnsi="Arial" w:cs="Arial"/>
                <w:color w:val="auto"/>
                <w:sz w:val="20"/>
                <w:szCs w:val="20"/>
                <w:lang w:val="es-MX"/>
              </w:rPr>
              <w:t>6</w:t>
            </w:r>
          </w:p>
        </w:tc>
      </w:tr>
    </w:tbl>
    <w:p w:rsidR="00475BBF" w:rsidRPr="00C26677" w:rsidRDefault="00475BBF" w:rsidP="00952DCB">
      <w:pPr>
        <w:spacing w:line="360" w:lineRule="auto"/>
        <w:jc w:val="right"/>
        <w:rPr>
          <w:rFonts w:ascii="Arial" w:hAnsi="Arial" w:cs="Arial"/>
          <w:lang w:val="es-MX"/>
        </w:rPr>
      </w:pPr>
      <w:r w:rsidRPr="00952DCB">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 xml:space="preserve">Dirección de Vigilancia de la Salud. </w:t>
      </w:r>
      <w:r w:rsidRPr="00976B84">
        <w:rPr>
          <w:rFonts w:ascii="Arial" w:hAnsi="Arial" w:cs="Arial"/>
          <w:sz w:val="20"/>
          <w:szCs w:val="20"/>
          <w:lang w:val="es-MX"/>
        </w:rPr>
        <w:t>Ministerio de Salud.</w:t>
      </w:r>
      <w:r w:rsidR="00952DCB">
        <w:rPr>
          <w:rFonts w:ascii="Arial" w:hAnsi="Arial" w:cs="Arial"/>
          <w:sz w:val="20"/>
          <w:szCs w:val="20"/>
          <w:lang w:val="es-MX"/>
        </w:rPr>
        <w:t xml:space="preserve"> 2019.</w:t>
      </w:r>
    </w:p>
    <w:p w:rsidR="00475BBF" w:rsidRDefault="00475BBF" w:rsidP="00475BBF">
      <w:pPr>
        <w:jc w:val="both"/>
        <w:rPr>
          <w:rFonts w:ascii="Arial" w:hAnsi="Arial" w:cs="Arial"/>
          <w:sz w:val="20"/>
          <w:szCs w:val="20"/>
          <w:lang w:val="es-MX"/>
        </w:rPr>
      </w:pPr>
    </w:p>
    <w:p w:rsidR="00475BBF" w:rsidRDefault="00475BBF" w:rsidP="00475BBF">
      <w:pPr>
        <w:spacing w:line="276" w:lineRule="auto"/>
        <w:jc w:val="both"/>
        <w:rPr>
          <w:rFonts w:ascii="Arial" w:hAnsi="Arial" w:cs="Arial"/>
          <w:lang w:val="es-MX"/>
        </w:rPr>
      </w:pPr>
      <w:r w:rsidRPr="00D15559">
        <w:rPr>
          <w:rFonts w:ascii="Arial" w:hAnsi="Arial" w:cs="Arial"/>
          <w:lang w:val="es-MX"/>
        </w:rPr>
        <w:t>Durante el año 2018 se registraron 146 casos de CHIKV, lo que represent</w:t>
      </w:r>
      <w:r w:rsidR="00925D7E">
        <w:rPr>
          <w:rFonts w:ascii="Arial" w:hAnsi="Arial" w:cs="Arial"/>
          <w:lang w:val="es-MX"/>
        </w:rPr>
        <w:t>ó</w:t>
      </w:r>
      <w:r w:rsidRPr="00D15559">
        <w:rPr>
          <w:rFonts w:ascii="Arial" w:hAnsi="Arial" w:cs="Arial"/>
          <w:lang w:val="es-MX"/>
        </w:rPr>
        <w:t xml:space="preserve"> </w:t>
      </w:r>
      <w:r>
        <w:rPr>
          <w:rFonts w:ascii="Arial" w:hAnsi="Arial" w:cs="Arial"/>
          <w:lang w:val="es-MX"/>
        </w:rPr>
        <w:t>una disminución de casos del 63,</w:t>
      </w:r>
      <w:r w:rsidRPr="00D15559">
        <w:rPr>
          <w:rFonts w:ascii="Arial" w:hAnsi="Arial" w:cs="Arial"/>
          <w:lang w:val="es-MX"/>
        </w:rPr>
        <w:t xml:space="preserve">0 % comparado </w:t>
      </w:r>
      <w:r w:rsidR="00925D7E">
        <w:rPr>
          <w:rFonts w:ascii="Arial" w:hAnsi="Arial" w:cs="Arial"/>
          <w:lang w:val="es-MX"/>
        </w:rPr>
        <w:t xml:space="preserve">con el </w:t>
      </w:r>
      <w:r w:rsidRPr="00D15559">
        <w:rPr>
          <w:rFonts w:ascii="Arial" w:hAnsi="Arial" w:cs="Arial"/>
          <w:lang w:val="es-MX"/>
        </w:rPr>
        <w:t>2017</w:t>
      </w:r>
      <w:r w:rsidR="00925D7E">
        <w:rPr>
          <w:rFonts w:ascii="Arial" w:hAnsi="Arial" w:cs="Arial"/>
          <w:lang w:val="es-MX"/>
        </w:rPr>
        <w:t xml:space="preserve">, en el cual se presentaron </w:t>
      </w:r>
      <w:r w:rsidRPr="00D15559">
        <w:rPr>
          <w:rFonts w:ascii="Arial" w:hAnsi="Arial" w:cs="Arial"/>
          <w:lang w:val="es-MX"/>
        </w:rPr>
        <w:t xml:space="preserve"> 395.</w:t>
      </w:r>
      <w:r>
        <w:rPr>
          <w:rFonts w:ascii="Arial" w:hAnsi="Arial" w:cs="Arial"/>
          <w:lang w:val="es-MX"/>
        </w:rPr>
        <w:t xml:space="preserve"> </w:t>
      </w:r>
      <w:r w:rsidR="00925D7E">
        <w:rPr>
          <w:rFonts w:ascii="Arial" w:hAnsi="Arial" w:cs="Arial"/>
          <w:lang w:val="es-MX"/>
        </w:rPr>
        <w:t xml:space="preserve">El 60.1% de los casos fueron del </w:t>
      </w:r>
      <w:r>
        <w:rPr>
          <w:rFonts w:ascii="Arial" w:hAnsi="Arial" w:cs="Arial"/>
          <w:lang w:val="es-MX"/>
        </w:rPr>
        <w:t>sexo femenino</w:t>
      </w:r>
      <w:r w:rsidR="00925D7E">
        <w:rPr>
          <w:rFonts w:ascii="Arial" w:hAnsi="Arial" w:cs="Arial"/>
          <w:lang w:val="es-MX"/>
        </w:rPr>
        <w:t>.</w:t>
      </w:r>
    </w:p>
    <w:p w:rsidR="00475BBF" w:rsidRDefault="00475BBF" w:rsidP="00475BBF">
      <w:pPr>
        <w:spacing w:line="360" w:lineRule="auto"/>
        <w:jc w:val="both"/>
        <w:rPr>
          <w:rFonts w:ascii="Arial" w:hAnsi="Arial" w:cs="Arial"/>
          <w:b/>
          <w:lang w:val="es-MX"/>
        </w:rPr>
      </w:pPr>
    </w:p>
    <w:p w:rsidR="00925D7E" w:rsidRDefault="00925D7E" w:rsidP="00475BBF">
      <w:pPr>
        <w:spacing w:line="360" w:lineRule="auto"/>
        <w:jc w:val="both"/>
        <w:rPr>
          <w:rFonts w:ascii="Arial" w:hAnsi="Arial" w:cs="Arial"/>
          <w:b/>
          <w:lang w:val="es-MX"/>
        </w:rPr>
      </w:pPr>
    </w:p>
    <w:p w:rsidR="00925D7E" w:rsidRDefault="00925D7E">
      <w:pPr>
        <w:spacing w:after="160" w:line="259" w:lineRule="auto"/>
        <w:rPr>
          <w:rFonts w:ascii="Arial" w:hAnsi="Arial" w:cs="Arial"/>
          <w:b/>
          <w:lang w:val="es-MX"/>
        </w:rPr>
      </w:pPr>
      <w:r>
        <w:rPr>
          <w:rFonts w:ascii="Arial" w:hAnsi="Arial" w:cs="Arial"/>
          <w:b/>
          <w:lang w:val="es-MX"/>
        </w:rPr>
        <w:br w:type="page"/>
      </w:r>
    </w:p>
    <w:p w:rsidR="00475BBF" w:rsidRDefault="00475BBF" w:rsidP="00475BBF">
      <w:pPr>
        <w:jc w:val="both"/>
        <w:rPr>
          <w:rFonts w:ascii="Arial" w:hAnsi="Arial" w:cs="Arial"/>
          <w:b/>
          <w:lang w:val="es-MX"/>
        </w:rPr>
      </w:pPr>
    </w:p>
    <w:p w:rsidR="00475BBF" w:rsidRPr="00221219" w:rsidRDefault="00925D7E" w:rsidP="00475BBF">
      <w:pPr>
        <w:spacing w:line="276" w:lineRule="auto"/>
        <w:jc w:val="both"/>
        <w:rPr>
          <w:rFonts w:ascii="Arial" w:hAnsi="Arial" w:cs="Arial"/>
          <w:lang w:val="es-MX"/>
        </w:rPr>
      </w:pPr>
      <w:r>
        <w:rPr>
          <w:rFonts w:ascii="Arial" w:hAnsi="Arial" w:cs="Arial"/>
          <w:lang w:val="es-MX"/>
        </w:rPr>
        <w:t xml:space="preserve">El 47,2% de los casos provinieron de </w:t>
      </w:r>
      <w:r w:rsidR="00475BBF" w:rsidRPr="004A6853">
        <w:rPr>
          <w:rFonts w:ascii="Arial" w:hAnsi="Arial" w:cs="Arial"/>
          <w:lang w:val="es-MX"/>
        </w:rPr>
        <w:t>diez cantones</w:t>
      </w:r>
      <w:r>
        <w:rPr>
          <w:rFonts w:ascii="Arial" w:hAnsi="Arial" w:cs="Arial"/>
          <w:lang w:val="es-MX"/>
        </w:rPr>
        <w:t xml:space="preserve">. Gráfico </w:t>
      </w:r>
      <w:r w:rsidR="00472E6D">
        <w:rPr>
          <w:rFonts w:ascii="Arial" w:hAnsi="Arial" w:cs="Arial"/>
          <w:lang w:val="es-MX"/>
        </w:rPr>
        <w:t>2</w:t>
      </w:r>
      <w:r w:rsidR="002313C3">
        <w:rPr>
          <w:rFonts w:ascii="Arial" w:hAnsi="Arial" w:cs="Arial"/>
          <w:lang w:val="es-MX"/>
        </w:rPr>
        <w:t>0</w:t>
      </w:r>
      <w:r>
        <w:rPr>
          <w:rFonts w:ascii="Arial" w:hAnsi="Arial" w:cs="Arial"/>
          <w:lang w:val="es-MX"/>
        </w:rPr>
        <w:t>.</w:t>
      </w:r>
    </w:p>
    <w:p w:rsidR="00475BBF" w:rsidRDefault="00475BBF" w:rsidP="00475BBF">
      <w:pPr>
        <w:jc w:val="both"/>
        <w:rPr>
          <w:rFonts w:ascii="Arial" w:hAnsi="Arial" w:cs="Arial"/>
          <w:b/>
          <w:lang w:val="es-MX"/>
        </w:rPr>
      </w:pPr>
    </w:p>
    <w:p w:rsidR="00925D7E" w:rsidRDefault="00475BBF" w:rsidP="00925D7E">
      <w:pPr>
        <w:jc w:val="center"/>
        <w:rPr>
          <w:rFonts w:ascii="Arial" w:hAnsi="Arial" w:cs="Arial"/>
          <w:b/>
          <w:lang w:val="es-MX"/>
        </w:rPr>
      </w:pPr>
      <w:r w:rsidRPr="00DE6ACD">
        <w:rPr>
          <w:rFonts w:ascii="Arial" w:hAnsi="Arial" w:cs="Arial"/>
          <w:b/>
          <w:lang w:val="es-MX"/>
        </w:rPr>
        <w:t xml:space="preserve">Gráfico </w:t>
      </w:r>
      <w:r w:rsidR="00472E6D">
        <w:rPr>
          <w:rFonts w:ascii="Arial" w:hAnsi="Arial" w:cs="Arial"/>
          <w:b/>
          <w:lang w:val="es-MX"/>
        </w:rPr>
        <w:t>2</w:t>
      </w:r>
      <w:r w:rsidR="002313C3">
        <w:rPr>
          <w:rFonts w:ascii="Arial" w:hAnsi="Arial" w:cs="Arial"/>
          <w:b/>
          <w:lang w:val="es-MX"/>
        </w:rPr>
        <w:t>0</w:t>
      </w:r>
    </w:p>
    <w:p w:rsidR="00925D7E" w:rsidRDefault="00475BBF" w:rsidP="00925D7E">
      <w:pPr>
        <w:jc w:val="center"/>
        <w:rPr>
          <w:rFonts w:ascii="Arial" w:hAnsi="Arial" w:cs="Arial"/>
          <w:b/>
          <w:lang w:val="es-MX"/>
        </w:rPr>
      </w:pPr>
      <w:r w:rsidRPr="00DE6ACD">
        <w:rPr>
          <w:rFonts w:ascii="Arial" w:hAnsi="Arial" w:cs="Arial"/>
          <w:b/>
          <w:lang w:val="es-MX"/>
        </w:rPr>
        <w:t>Costa Rica</w:t>
      </w:r>
      <w:r w:rsidR="00925D7E">
        <w:rPr>
          <w:rFonts w:ascii="Arial" w:hAnsi="Arial" w:cs="Arial"/>
          <w:b/>
          <w:lang w:val="es-MX"/>
        </w:rPr>
        <w:t>:</w:t>
      </w:r>
      <w:r w:rsidRPr="00DE6ACD">
        <w:rPr>
          <w:rFonts w:ascii="Arial" w:hAnsi="Arial" w:cs="Arial"/>
          <w:b/>
          <w:lang w:val="es-MX"/>
        </w:rPr>
        <w:t xml:space="preserve"> Diez c</w:t>
      </w:r>
      <w:r w:rsidR="00925D7E">
        <w:rPr>
          <w:rFonts w:ascii="Arial" w:hAnsi="Arial" w:cs="Arial"/>
          <w:b/>
          <w:lang w:val="es-MX"/>
        </w:rPr>
        <w:t>antones con más alta incidencia</w:t>
      </w:r>
    </w:p>
    <w:p w:rsidR="00475BBF" w:rsidRDefault="00925D7E" w:rsidP="00925D7E">
      <w:pPr>
        <w:jc w:val="center"/>
        <w:rPr>
          <w:rFonts w:ascii="Arial" w:hAnsi="Arial" w:cs="Arial"/>
          <w:b/>
          <w:lang w:val="es-MX"/>
        </w:rPr>
      </w:pPr>
      <w:r>
        <w:rPr>
          <w:rFonts w:ascii="Arial" w:hAnsi="Arial" w:cs="Arial"/>
          <w:b/>
          <w:lang w:val="es-MX"/>
        </w:rPr>
        <w:t xml:space="preserve">de fiebre </w:t>
      </w:r>
      <w:r w:rsidR="00475BBF">
        <w:rPr>
          <w:rFonts w:ascii="Arial" w:hAnsi="Arial" w:cs="Arial"/>
          <w:b/>
          <w:lang w:val="es-MX"/>
        </w:rPr>
        <w:t>Chikungunya, 2018</w:t>
      </w:r>
    </w:p>
    <w:p w:rsidR="00AC3802" w:rsidRDefault="00AC3802" w:rsidP="00AC3802">
      <w:pPr>
        <w:rPr>
          <w:rFonts w:ascii="Arial" w:hAnsi="Arial" w:cs="Arial"/>
          <w:b/>
          <w:lang w:val="es-MX"/>
        </w:rPr>
      </w:pPr>
    </w:p>
    <w:p w:rsidR="00AC3802" w:rsidRDefault="00AC3802" w:rsidP="00AC3802">
      <w:pPr>
        <w:rPr>
          <w:rFonts w:ascii="Arial" w:hAnsi="Arial" w:cs="Arial"/>
          <w:b/>
          <w:lang w:val="es-MX"/>
        </w:rPr>
      </w:pPr>
      <w:r>
        <w:rPr>
          <w:rFonts w:ascii="Calibri" w:eastAsia="Calibri" w:hAnsi="Calibri" w:cs="Calibri"/>
          <w:b/>
          <w:bCs/>
          <w:noProof/>
          <w:sz w:val="28"/>
          <w:szCs w:val="28"/>
          <w:lang w:val="es-CR" w:eastAsia="es-CR"/>
        </w:rPr>
        <w:drawing>
          <wp:inline distT="0" distB="0" distL="0" distR="0" wp14:anchorId="6D343ABE" wp14:editId="07BE761A">
            <wp:extent cx="5539154" cy="2872154"/>
            <wp:effectExtent l="0" t="0" r="4445" b="444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AC3802" w:rsidRDefault="00AC3802" w:rsidP="00AC3802">
      <w:pPr>
        <w:rPr>
          <w:rFonts w:ascii="Arial" w:hAnsi="Arial" w:cs="Arial"/>
          <w:b/>
          <w:lang w:val="es-MX"/>
        </w:rPr>
      </w:pPr>
    </w:p>
    <w:p w:rsidR="00AC3802" w:rsidRPr="00AC3802" w:rsidRDefault="00AC3802" w:rsidP="00AC3802">
      <w:pPr>
        <w:jc w:val="right"/>
        <w:rPr>
          <w:rFonts w:ascii="Arial" w:hAnsi="Arial" w:cs="Arial"/>
          <w:lang w:val="es-MX"/>
        </w:rPr>
      </w:pPr>
      <w:r>
        <w:rPr>
          <w:rFonts w:ascii="Arial" w:hAnsi="Arial" w:cs="Arial"/>
          <w:b/>
          <w:lang w:val="es-MX"/>
        </w:rPr>
        <w:t xml:space="preserve">Fuente: </w:t>
      </w:r>
      <w:r w:rsidRPr="00AC3802">
        <w:rPr>
          <w:rFonts w:ascii="Arial" w:hAnsi="Arial" w:cs="Arial"/>
          <w:lang w:val="es-MX"/>
        </w:rPr>
        <w:t>Dirección de Vigilancia de la Salud, Ministerio de Salud, 2019.</w:t>
      </w:r>
    </w:p>
    <w:p w:rsidR="00AC3802" w:rsidRDefault="00AC3802" w:rsidP="00AC3802">
      <w:pPr>
        <w:rPr>
          <w:rFonts w:ascii="Arial" w:hAnsi="Arial" w:cs="Arial"/>
          <w:b/>
          <w:lang w:val="es-MX"/>
        </w:rPr>
      </w:pPr>
    </w:p>
    <w:p w:rsidR="00AC3802" w:rsidRDefault="00AC3802" w:rsidP="00AC3802">
      <w:pPr>
        <w:rPr>
          <w:rFonts w:ascii="Arial" w:hAnsi="Arial" w:cs="Arial"/>
          <w:b/>
          <w:lang w:val="es-MX"/>
        </w:rPr>
      </w:pPr>
    </w:p>
    <w:p w:rsidR="00AC3802" w:rsidRPr="00DE6ACD" w:rsidRDefault="00AC3802" w:rsidP="00AC3802">
      <w:pPr>
        <w:rPr>
          <w:rFonts w:ascii="Arial" w:hAnsi="Arial" w:cs="Arial"/>
          <w:b/>
          <w:lang w:val="es-MX"/>
        </w:rPr>
      </w:pPr>
    </w:p>
    <w:p w:rsidR="00475BBF" w:rsidRPr="002313C3" w:rsidRDefault="00475BBF" w:rsidP="002313C3">
      <w:pPr>
        <w:pStyle w:val="Ttulo3"/>
        <w:rPr>
          <w:rFonts w:ascii="Arial" w:hAnsi="Arial" w:cs="Arial"/>
          <w:b/>
          <w:color w:val="auto"/>
        </w:rPr>
      </w:pPr>
      <w:bookmarkStart w:id="47" w:name="_Toc7439670"/>
      <w:r w:rsidRPr="002313C3">
        <w:rPr>
          <w:rFonts w:ascii="Arial" w:hAnsi="Arial" w:cs="Arial"/>
          <w:b/>
          <w:color w:val="auto"/>
        </w:rPr>
        <w:t>Z</w:t>
      </w:r>
      <w:r w:rsidR="00562416" w:rsidRPr="002313C3">
        <w:rPr>
          <w:rFonts w:ascii="Arial" w:hAnsi="Arial" w:cs="Arial"/>
          <w:b/>
          <w:color w:val="auto"/>
        </w:rPr>
        <w:t>ika</w:t>
      </w:r>
      <w:bookmarkEnd w:id="47"/>
    </w:p>
    <w:p w:rsidR="00475BBF" w:rsidRPr="001A6A5B" w:rsidRDefault="00475BBF" w:rsidP="00475BBF">
      <w:pPr>
        <w:widowControl w:val="0"/>
        <w:autoSpaceDE w:val="0"/>
        <w:autoSpaceDN w:val="0"/>
        <w:outlineLvl w:val="0"/>
        <w:rPr>
          <w:rFonts w:ascii="Arial" w:eastAsia="Calibri" w:hAnsi="Arial" w:cs="Arial"/>
          <w:bCs/>
          <w:sz w:val="20"/>
          <w:szCs w:val="20"/>
        </w:rPr>
      </w:pPr>
    </w:p>
    <w:p w:rsidR="00475BBF" w:rsidRPr="00D529CC" w:rsidRDefault="00562416" w:rsidP="00475BBF">
      <w:pPr>
        <w:shd w:val="clear" w:color="auto" w:fill="FFFFFF"/>
        <w:spacing w:before="120" w:after="120" w:line="276" w:lineRule="auto"/>
        <w:jc w:val="both"/>
        <w:rPr>
          <w:rFonts w:ascii="Arial" w:eastAsia="Times New Roman" w:hAnsi="Arial" w:cs="Arial"/>
          <w:lang w:eastAsia="es-CR"/>
        </w:rPr>
      </w:pPr>
      <w:r>
        <w:rPr>
          <w:rFonts w:ascii="Arial" w:eastAsia="Times New Roman" w:hAnsi="Arial" w:cs="Arial"/>
          <w:lang w:eastAsia="es-CR"/>
        </w:rPr>
        <w:t xml:space="preserve">El </w:t>
      </w:r>
      <w:r w:rsidR="00475BBF" w:rsidRPr="00D529CC">
        <w:rPr>
          <w:rFonts w:ascii="Arial" w:eastAsia="Times New Roman" w:hAnsi="Arial" w:cs="Arial"/>
          <w:bCs/>
          <w:lang w:eastAsia="es-CR"/>
        </w:rPr>
        <w:t>virus del Zika</w:t>
      </w:r>
      <w:r w:rsidR="00475BBF" w:rsidRPr="00D529CC">
        <w:rPr>
          <w:rFonts w:ascii="Arial" w:eastAsia="Times New Roman" w:hAnsi="Arial" w:cs="Arial"/>
          <w:lang w:eastAsia="es-CR"/>
        </w:rPr>
        <w:t xml:space="preserve"> (</w:t>
      </w:r>
      <w:r w:rsidR="00475BBF" w:rsidRPr="00D529CC">
        <w:rPr>
          <w:rFonts w:ascii="Arial" w:eastAsia="Times New Roman" w:hAnsi="Arial" w:cs="Arial"/>
          <w:bCs/>
          <w:lang w:eastAsia="es-CR"/>
        </w:rPr>
        <w:t>ZIKV</w:t>
      </w:r>
      <w:r w:rsidR="00475BBF" w:rsidRPr="00D529CC">
        <w:rPr>
          <w:rFonts w:ascii="Arial" w:eastAsia="Times New Roman" w:hAnsi="Arial" w:cs="Arial"/>
          <w:lang w:eastAsia="es-CR"/>
        </w:rPr>
        <w:t xml:space="preserve">) </w:t>
      </w:r>
      <w:r>
        <w:rPr>
          <w:rFonts w:ascii="Arial" w:eastAsia="Times New Roman" w:hAnsi="Arial" w:cs="Arial"/>
          <w:lang w:eastAsia="es-CR"/>
        </w:rPr>
        <w:t xml:space="preserve">pertenece al </w:t>
      </w:r>
      <w:hyperlink r:id="rId37" w:tooltip="Género (biología)" w:history="1">
        <w:r w:rsidR="00475BBF" w:rsidRPr="00D529CC">
          <w:rPr>
            <w:rFonts w:ascii="Arial" w:eastAsia="Times New Roman" w:hAnsi="Arial" w:cs="Arial"/>
            <w:lang w:eastAsia="es-CR"/>
          </w:rPr>
          <w:t>género</w:t>
        </w:r>
      </w:hyperlink>
      <w:r>
        <w:rPr>
          <w:rFonts w:ascii="Arial" w:eastAsia="Times New Roman" w:hAnsi="Arial" w:cs="Arial"/>
          <w:lang w:eastAsia="es-CR"/>
        </w:rPr>
        <w:t xml:space="preserve"> </w:t>
      </w:r>
      <w:hyperlink r:id="rId38" w:tooltip="Flavivirus" w:history="1">
        <w:r w:rsidR="00475BBF" w:rsidRPr="00D529CC">
          <w:rPr>
            <w:rFonts w:ascii="Arial" w:eastAsia="Times New Roman" w:hAnsi="Arial" w:cs="Arial"/>
            <w:i/>
            <w:iCs/>
            <w:lang w:eastAsia="es-CR"/>
          </w:rPr>
          <w:t>Flavivirus</w:t>
        </w:r>
      </w:hyperlink>
      <w:r w:rsidR="00475BBF" w:rsidRPr="00D529CC">
        <w:rPr>
          <w:rFonts w:ascii="Arial" w:eastAsia="Times New Roman" w:hAnsi="Arial" w:cs="Arial"/>
          <w:lang w:eastAsia="es-CR"/>
        </w:rPr>
        <w:t>, de la</w:t>
      </w:r>
      <w:r>
        <w:rPr>
          <w:rFonts w:ascii="Arial" w:eastAsia="Times New Roman" w:hAnsi="Arial" w:cs="Arial"/>
          <w:lang w:eastAsia="es-CR"/>
        </w:rPr>
        <w:t xml:space="preserve"> </w:t>
      </w:r>
      <w:hyperlink r:id="rId39" w:tooltip="Familia (biología)" w:history="1">
        <w:r w:rsidR="00475BBF" w:rsidRPr="00D529CC">
          <w:rPr>
            <w:rFonts w:ascii="Arial" w:eastAsia="Times New Roman" w:hAnsi="Arial" w:cs="Arial"/>
            <w:lang w:eastAsia="es-CR"/>
          </w:rPr>
          <w:t>familia</w:t>
        </w:r>
      </w:hyperlink>
      <w:r>
        <w:rPr>
          <w:rFonts w:ascii="Arial" w:eastAsia="Times New Roman" w:hAnsi="Arial" w:cs="Arial"/>
          <w:lang w:eastAsia="es-CR"/>
        </w:rPr>
        <w:t xml:space="preserve"> </w:t>
      </w:r>
      <w:hyperlink r:id="rId40" w:tooltip="Flaviviridae" w:history="1">
        <w:r w:rsidR="00475BBF" w:rsidRPr="00D529CC">
          <w:rPr>
            <w:rFonts w:ascii="Arial" w:eastAsia="Times New Roman" w:hAnsi="Arial" w:cs="Arial"/>
            <w:lang w:eastAsia="es-CR"/>
          </w:rPr>
          <w:t>Flaviviridae</w:t>
        </w:r>
      </w:hyperlink>
      <w:r w:rsidR="00475BBF" w:rsidRPr="00D529CC">
        <w:rPr>
          <w:rFonts w:ascii="Arial" w:eastAsia="Times New Roman" w:hAnsi="Arial" w:cs="Arial"/>
          <w:lang w:eastAsia="es-CR"/>
        </w:rPr>
        <w:t>, que se transmite por la picadura de</w:t>
      </w:r>
      <w:r>
        <w:rPr>
          <w:rFonts w:ascii="Arial" w:eastAsia="Times New Roman" w:hAnsi="Arial" w:cs="Arial"/>
          <w:lang w:eastAsia="es-CR"/>
        </w:rPr>
        <w:t xml:space="preserve"> </w:t>
      </w:r>
      <w:hyperlink r:id="rId41" w:tooltip="Culicidae" w:history="1">
        <w:r w:rsidR="00475BBF" w:rsidRPr="00D529CC">
          <w:rPr>
            <w:rFonts w:ascii="Arial" w:eastAsia="Times New Roman" w:hAnsi="Arial" w:cs="Arial"/>
            <w:lang w:eastAsia="es-CR"/>
          </w:rPr>
          <w:t>mosquitos</w:t>
        </w:r>
      </w:hyperlink>
      <w:r w:rsidR="00475BBF" w:rsidRPr="00D529CC">
        <w:rPr>
          <w:rFonts w:ascii="Arial" w:eastAsia="Times New Roman" w:hAnsi="Arial" w:cs="Arial"/>
          <w:lang w:eastAsia="es-CR"/>
        </w:rPr>
        <w:t xml:space="preserve"> </w:t>
      </w:r>
      <w:hyperlink r:id="rId42" w:tooltip="Vector biológico" w:history="1">
        <w:r w:rsidR="00475BBF" w:rsidRPr="00D529CC">
          <w:rPr>
            <w:rFonts w:ascii="Arial" w:eastAsia="Times New Roman" w:hAnsi="Arial" w:cs="Arial"/>
            <w:lang w:eastAsia="es-CR"/>
          </w:rPr>
          <w:t>vectores</w:t>
        </w:r>
      </w:hyperlink>
      <w:r>
        <w:rPr>
          <w:rFonts w:ascii="Arial" w:eastAsia="Times New Roman" w:hAnsi="Arial" w:cs="Arial"/>
          <w:lang w:eastAsia="es-CR"/>
        </w:rPr>
        <w:t xml:space="preserve"> </w:t>
      </w:r>
      <w:r w:rsidR="00475BBF" w:rsidRPr="00D529CC">
        <w:rPr>
          <w:rFonts w:ascii="Arial" w:eastAsia="Times New Roman" w:hAnsi="Arial" w:cs="Arial"/>
          <w:lang w:eastAsia="es-CR"/>
        </w:rPr>
        <w:t>del género</w:t>
      </w:r>
      <w:r>
        <w:rPr>
          <w:rFonts w:ascii="Arial" w:eastAsia="Times New Roman" w:hAnsi="Arial" w:cs="Arial"/>
          <w:lang w:eastAsia="es-CR"/>
        </w:rPr>
        <w:t xml:space="preserve"> </w:t>
      </w:r>
      <w:hyperlink r:id="rId43" w:tooltip="Aedes" w:history="1">
        <w:r w:rsidR="00475BBF" w:rsidRPr="00D529CC">
          <w:rPr>
            <w:rFonts w:ascii="Arial" w:eastAsia="Times New Roman" w:hAnsi="Arial" w:cs="Arial"/>
            <w:i/>
            <w:iCs/>
            <w:lang w:eastAsia="es-CR"/>
          </w:rPr>
          <w:t>Aedes</w:t>
        </w:r>
      </w:hyperlink>
      <w:r w:rsidR="00475BBF" w:rsidRPr="00D529CC">
        <w:rPr>
          <w:rFonts w:ascii="Arial" w:eastAsia="Times New Roman" w:hAnsi="Arial" w:cs="Arial"/>
          <w:lang w:eastAsia="es-CR"/>
        </w:rPr>
        <w:t xml:space="preserve">, principalmente </w:t>
      </w:r>
      <w:r w:rsidR="00475BBF" w:rsidRPr="00D529CC">
        <w:rPr>
          <w:rFonts w:ascii="Arial" w:eastAsia="Times New Roman" w:hAnsi="Arial" w:cs="Arial"/>
          <w:i/>
          <w:lang w:eastAsia="es-CR"/>
        </w:rPr>
        <w:t>Aedes aegypti</w:t>
      </w:r>
      <w:r w:rsidR="00475BBF" w:rsidRPr="00D529CC">
        <w:rPr>
          <w:rFonts w:ascii="Arial" w:eastAsia="Times New Roman" w:hAnsi="Arial" w:cs="Arial"/>
          <w:lang w:eastAsia="es-CR"/>
        </w:rPr>
        <w:t>.</w:t>
      </w:r>
    </w:p>
    <w:p w:rsidR="00475BBF" w:rsidRPr="00D529CC" w:rsidRDefault="00475BBF" w:rsidP="00475BBF">
      <w:pPr>
        <w:shd w:val="clear" w:color="auto" w:fill="FFFFFF"/>
        <w:spacing w:before="120" w:after="120" w:line="276" w:lineRule="auto"/>
        <w:jc w:val="both"/>
        <w:rPr>
          <w:rFonts w:ascii="Arial" w:eastAsia="Times New Roman" w:hAnsi="Arial" w:cs="Arial"/>
          <w:lang w:eastAsia="es-CR"/>
        </w:rPr>
      </w:pPr>
      <w:r w:rsidRPr="00D529CC">
        <w:rPr>
          <w:rFonts w:ascii="Arial" w:eastAsia="Times New Roman" w:hAnsi="Arial" w:cs="Arial"/>
          <w:lang w:eastAsia="es-CR"/>
        </w:rPr>
        <w:t xml:space="preserve">En </w:t>
      </w:r>
      <w:r w:rsidR="00562416">
        <w:rPr>
          <w:rFonts w:ascii="Arial" w:eastAsia="Times New Roman" w:hAnsi="Arial" w:cs="Arial"/>
          <w:lang w:eastAsia="es-CR"/>
        </w:rPr>
        <w:t xml:space="preserve">el </w:t>
      </w:r>
      <w:r w:rsidRPr="00D529CC">
        <w:rPr>
          <w:rFonts w:ascii="Arial" w:eastAsia="Times New Roman" w:hAnsi="Arial" w:cs="Arial"/>
          <w:lang w:eastAsia="es-CR"/>
        </w:rPr>
        <w:t>2014 el virus se propagó al este a través del</w:t>
      </w:r>
      <w:r w:rsidR="00562416">
        <w:rPr>
          <w:rFonts w:ascii="Arial" w:eastAsia="Times New Roman" w:hAnsi="Arial" w:cs="Arial"/>
          <w:lang w:eastAsia="es-CR"/>
        </w:rPr>
        <w:t xml:space="preserve"> </w:t>
      </w:r>
      <w:hyperlink r:id="rId44" w:tooltip="Océano Pacífico" w:history="1">
        <w:r w:rsidR="00562416">
          <w:rPr>
            <w:rFonts w:ascii="Arial" w:eastAsia="Times New Roman" w:hAnsi="Arial" w:cs="Arial"/>
            <w:lang w:eastAsia="es-CR"/>
          </w:rPr>
          <w:t>O</w:t>
        </w:r>
        <w:r w:rsidRPr="00D529CC">
          <w:rPr>
            <w:rFonts w:ascii="Arial" w:eastAsia="Times New Roman" w:hAnsi="Arial" w:cs="Arial"/>
            <w:lang w:eastAsia="es-CR"/>
          </w:rPr>
          <w:t>céano Pacífico</w:t>
        </w:r>
      </w:hyperlink>
      <w:r w:rsidR="00562416">
        <w:rPr>
          <w:rFonts w:ascii="Arial" w:eastAsia="Times New Roman" w:hAnsi="Arial" w:cs="Arial"/>
          <w:lang w:eastAsia="es-CR"/>
        </w:rPr>
        <w:t xml:space="preserve"> </w:t>
      </w:r>
      <w:r w:rsidRPr="00D529CC">
        <w:rPr>
          <w:rFonts w:ascii="Arial" w:eastAsia="Times New Roman" w:hAnsi="Arial" w:cs="Arial"/>
          <w:lang w:eastAsia="es-CR"/>
        </w:rPr>
        <w:t>hacia la</w:t>
      </w:r>
      <w:r w:rsidR="00562416">
        <w:rPr>
          <w:rFonts w:ascii="Arial" w:eastAsia="Times New Roman" w:hAnsi="Arial" w:cs="Arial"/>
          <w:lang w:eastAsia="es-CR"/>
        </w:rPr>
        <w:t xml:space="preserve"> </w:t>
      </w:r>
      <w:hyperlink r:id="rId45" w:tooltip="Polinesia Francesa" w:history="1">
        <w:r w:rsidRPr="00D529CC">
          <w:rPr>
            <w:rFonts w:ascii="Arial" w:eastAsia="Times New Roman" w:hAnsi="Arial" w:cs="Arial"/>
            <w:lang w:eastAsia="es-CR"/>
          </w:rPr>
          <w:t>Polinesia Francesa</w:t>
        </w:r>
      </w:hyperlink>
      <w:r w:rsidRPr="00D529CC">
        <w:rPr>
          <w:rFonts w:ascii="Arial" w:eastAsia="Times New Roman" w:hAnsi="Arial" w:cs="Arial"/>
          <w:lang w:eastAsia="es-CR"/>
        </w:rPr>
        <w:t>, y después hacia la</w:t>
      </w:r>
      <w:r w:rsidR="00562416">
        <w:rPr>
          <w:rFonts w:ascii="Arial" w:eastAsia="Times New Roman" w:hAnsi="Arial" w:cs="Arial"/>
          <w:lang w:eastAsia="es-CR"/>
        </w:rPr>
        <w:t xml:space="preserve"> </w:t>
      </w:r>
      <w:hyperlink r:id="rId46" w:tooltip="Isla de Pascua" w:history="1">
        <w:r w:rsidRPr="00D529CC">
          <w:rPr>
            <w:rFonts w:ascii="Arial" w:eastAsia="Times New Roman" w:hAnsi="Arial" w:cs="Arial"/>
            <w:lang w:eastAsia="es-CR"/>
          </w:rPr>
          <w:t>isla de Pascua</w:t>
        </w:r>
      </w:hyperlink>
      <w:r w:rsidR="00562416">
        <w:rPr>
          <w:rFonts w:ascii="Arial" w:eastAsia="Times New Roman" w:hAnsi="Arial" w:cs="Arial"/>
          <w:lang w:eastAsia="es-CR"/>
        </w:rPr>
        <w:t xml:space="preserve">, </w:t>
      </w:r>
      <w:r w:rsidRPr="00D529CC">
        <w:rPr>
          <w:rFonts w:ascii="Arial" w:eastAsia="Times New Roman" w:hAnsi="Arial" w:cs="Arial"/>
          <w:lang w:eastAsia="es-CR"/>
        </w:rPr>
        <w:t xml:space="preserve">para llegar en </w:t>
      </w:r>
      <w:r w:rsidR="00562416">
        <w:rPr>
          <w:rFonts w:ascii="Arial" w:eastAsia="Times New Roman" w:hAnsi="Arial" w:cs="Arial"/>
          <w:lang w:eastAsia="es-CR"/>
        </w:rPr>
        <w:t xml:space="preserve">el </w:t>
      </w:r>
      <w:r w:rsidRPr="00D529CC">
        <w:rPr>
          <w:rFonts w:ascii="Arial" w:eastAsia="Times New Roman" w:hAnsi="Arial" w:cs="Arial"/>
          <w:lang w:eastAsia="es-CR"/>
        </w:rPr>
        <w:t>2015 y 2016 a</w:t>
      </w:r>
      <w:r w:rsidR="00562416">
        <w:rPr>
          <w:rFonts w:ascii="Arial" w:eastAsia="Times New Roman" w:hAnsi="Arial" w:cs="Arial"/>
          <w:lang w:eastAsia="es-CR"/>
        </w:rPr>
        <w:t xml:space="preserve"> </w:t>
      </w:r>
      <w:hyperlink r:id="rId47" w:tooltip="América Central" w:history="1">
        <w:r w:rsidRPr="00D529CC">
          <w:rPr>
            <w:rFonts w:ascii="Arial" w:eastAsia="Times New Roman" w:hAnsi="Arial" w:cs="Arial"/>
            <w:lang w:eastAsia="es-CR"/>
          </w:rPr>
          <w:t>América Central</w:t>
        </w:r>
      </w:hyperlink>
      <w:r w:rsidR="00562416">
        <w:rPr>
          <w:rFonts w:ascii="Arial" w:eastAsia="Times New Roman" w:hAnsi="Arial" w:cs="Arial"/>
          <w:lang w:eastAsia="es-CR"/>
        </w:rPr>
        <w:t xml:space="preserve">, </w:t>
      </w:r>
      <w:hyperlink r:id="rId48" w:tooltip="El Caribe" w:history="1">
        <w:r w:rsidRPr="00D529CC">
          <w:rPr>
            <w:rFonts w:ascii="Arial" w:eastAsia="Times New Roman" w:hAnsi="Arial" w:cs="Arial"/>
            <w:lang w:eastAsia="es-CR"/>
          </w:rPr>
          <w:t>el Caribe</w:t>
        </w:r>
      </w:hyperlink>
      <w:r w:rsidR="00562416">
        <w:rPr>
          <w:rFonts w:ascii="Arial" w:eastAsia="Times New Roman" w:hAnsi="Arial" w:cs="Arial"/>
          <w:lang w:eastAsia="es-CR"/>
        </w:rPr>
        <w:t xml:space="preserve"> </w:t>
      </w:r>
      <w:r w:rsidRPr="00D529CC">
        <w:rPr>
          <w:rFonts w:ascii="Arial" w:eastAsia="Times New Roman" w:hAnsi="Arial" w:cs="Arial"/>
          <w:lang w:eastAsia="es-CR"/>
        </w:rPr>
        <w:t>y</w:t>
      </w:r>
      <w:r w:rsidR="00562416">
        <w:rPr>
          <w:rFonts w:ascii="Arial" w:eastAsia="Times New Roman" w:hAnsi="Arial" w:cs="Arial"/>
          <w:lang w:eastAsia="es-CR"/>
        </w:rPr>
        <w:t xml:space="preserve"> </w:t>
      </w:r>
      <w:hyperlink r:id="rId49" w:tooltip="América del Sur" w:history="1">
        <w:r w:rsidRPr="00D529CC">
          <w:rPr>
            <w:rFonts w:ascii="Arial" w:eastAsia="Times New Roman" w:hAnsi="Arial" w:cs="Arial"/>
            <w:lang w:eastAsia="es-CR"/>
          </w:rPr>
          <w:t>América del Sur</w:t>
        </w:r>
      </w:hyperlink>
      <w:r w:rsidRPr="00D529CC">
        <w:rPr>
          <w:rFonts w:ascii="Arial" w:eastAsia="Times New Roman" w:hAnsi="Arial" w:cs="Arial"/>
          <w:lang w:eastAsia="es-CR"/>
        </w:rPr>
        <w:t>.</w:t>
      </w:r>
    </w:p>
    <w:p w:rsidR="00475BBF" w:rsidRPr="00D529CC" w:rsidRDefault="00475BBF" w:rsidP="00562416">
      <w:pPr>
        <w:autoSpaceDE w:val="0"/>
        <w:autoSpaceDN w:val="0"/>
        <w:adjustRightInd w:val="0"/>
        <w:spacing w:after="240" w:line="276" w:lineRule="auto"/>
        <w:jc w:val="both"/>
        <w:rPr>
          <w:rFonts w:ascii="Arial" w:hAnsi="Arial" w:cs="Arial"/>
          <w:lang w:val="es-MX"/>
        </w:rPr>
      </w:pPr>
      <w:r w:rsidRPr="00D529CC">
        <w:rPr>
          <w:rFonts w:ascii="Arial" w:hAnsi="Arial" w:cs="Arial"/>
        </w:rPr>
        <w:t>El virus se identificó en Costa Rica a partir del año 2016</w:t>
      </w:r>
      <w:r w:rsidR="00562416">
        <w:rPr>
          <w:rFonts w:ascii="Arial" w:hAnsi="Arial" w:cs="Arial"/>
        </w:rPr>
        <w:t>,</w:t>
      </w:r>
      <w:r w:rsidRPr="00D529CC">
        <w:rPr>
          <w:rFonts w:ascii="Arial" w:hAnsi="Arial" w:cs="Arial"/>
        </w:rPr>
        <w:t xml:space="preserve"> con los primeros casos </w:t>
      </w:r>
      <w:r w:rsidR="00562416">
        <w:rPr>
          <w:rFonts w:ascii="Arial" w:hAnsi="Arial" w:cs="Arial"/>
        </w:rPr>
        <w:t xml:space="preserve">detectados </w:t>
      </w:r>
      <w:r w:rsidRPr="00D529CC">
        <w:rPr>
          <w:rFonts w:ascii="Arial" w:hAnsi="Arial" w:cs="Arial"/>
        </w:rPr>
        <w:t xml:space="preserve">en el cantón de Nicoya de la provincia de Guanacaste, de donde </w:t>
      </w:r>
      <w:r w:rsidRPr="00D529CC">
        <w:rPr>
          <w:rFonts w:ascii="Arial" w:hAnsi="Arial" w:cs="Arial"/>
          <w:lang w:val="es-MX"/>
        </w:rPr>
        <w:t>comienz</w:t>
      </w:r>
      <w:r w:rsidR="00562416">
        <w:rPr>
          <w:rFonts w:ascii="Arial" w:hAnsi="Arial" w:cs="Arial"/>
          <w:lang w:val="es-MX"/>
        </w:rPr>
        <w:t>ó</w:t>
      </w:r>
      <w:r w:rsidRPr="00D529CC">
        <w:rPr>
          <w:rFonts w:ascii="Arial" w:hAnsi="Arial" w:cs="Arial"/>
          <w:lang w:val="es-MX"/>
        </w:rPr>
        <w:t xml:space="preserve"> a establecerse la transmisión autóctona y poco a poco se </w:t>
      </w:r>
      <w:r w:rsidR="00562416">
        <w:rPr>
          <w:rFonts w:ascii="Arial" w:hAnsi="Arial" w:cs="Arial"/>
          <w:lang w:val="es-MX"/>
        </w:rPr>
        <w:t xml:space="preserve">extendió </w:t>
      </w:r>
      <w:r w:rsidRPr="00D529CC">
        <w:rPr>
          <w:rFonts w:ascii="Arial" w:hAnsi="Arial" w:cs="Arial"/>
          <w:lang w:val="es-MX"/>
        </w:rPr>
        <w:t xml:space="preserve"> </w:t>
      </w:r>
      <w:r w:rsidR="00562416">
        <w:rPr>
          <w:rFonts w:ascii="Arial" w:hAnsi="Arial" w:cs="Arial"/>
          <w:lang w:val="es-MX"/>
        </w:rPr>
        <w:t>a</w:t>
      </w:r>
      <w:r w:rsidRPr="00D529CC">
        <w:rPr>
          <w:rFonts w:ascii="Arial" w:hAnsi="Arial" w:cs="Arial"/>
          <w:lang w:val="es-MX"/>
        </w:rPr>
        <w:t xml:space="preserve"> todas las regiones del país.</w:t>
      </w:r>
    </w:p>
    <w:p w:rsidR="002313C3" w:rsidRDefault="002313C3">
      <w:pPr>
        <w:spacing w:after="160" w:line="259" w:lineRule="auto"/>
        <w:rPr>
          <w:rFonts w:ascii="Arial" w:hAnsi="Arial" w:cs="Arial"/>
          <w:lang w:val="es-MX"/>
        </w:rPr>
      </w:pPr>
      <w:r>
        <w:rPr>
          <w:rFonts w:ascii="Arial" w:hAnsi="Arial" w:cs="Arial"/>
          <w:lang w:val="es-MX"/>
        </w:rPr>
        <w:br w:type="page"/>
      </w:r>
    </w:p>
    <w:p w:rsidR="00475BBF" w:rsidRPr="00917D53" w:rsidRDefault="00562416" w:rsidP="00562416">
      <w:pPr>
        <w:tabs>
          <w:tab w:val="left" w:pos="8789"/>
        </w:tabs>
        <w:spacing w:after="240" w:line="276" w:lineRule="auto"/>
        <w:jc w:val="both"/>
        <w:rPr>
          <w:rFonts w:ascii="Arial" w:hAnsi="Arial" w:cs="Arial"/>
          <w:lang w:val="es-MX"/>
        </w:rPr>
      </w:pPr>
      <w:r>
        <w:rPr>
          <w:rFonts w:ascii="Arial" w:hAnsi="Arial" w:cs="Arial"/>
          <w:lang w:val="es-MX"/>
        </w:rPr>
        <w:lastRenderedPageBreak/>
        <w:t>Del</w:t>
      </w:r>
      <w:r w:rsidR="00475BBF" w:rsidRPr="00D529CC">
        <w:rPr>
          <w:rFonts w:ascii="Arial" w:hAnsi="Arial" w:cs="Arial"/>
          <w:lang w:val="es-MX"/>
        </w:rPr>
        <w:t xml:space="preserve"> 2016 al 2018, se notificaron 10.665 casos de Z</w:t>
      </w:r>
      <w:r>
        <w:rPr>
          <w:rFonts w:ascii="Arial" w:hAnsi="Arial" w:cs="Arial"/>
          <w:lang w:val="es-MX"/>
        </w:rPr>
        <w:t>ika</w:t>
      </w:r>
      <w:r w:rsidR="00475BBF" w:rsidRPr="00D529CC">
        <w:rPr>
          <w:rFonts w:ascii="Arial" w:hAnsi="Arial" w:cs="Arial"/>
          <w:lang w:val="es-MX"/>
        </w:rPr>
        <w:t>.  En es</w:t>
      </w:r>
      <w:r>
        <w:rPr>
          <w:rFonts w:ascii="Arial" w:hAnsi="Arial" w:cs="Arial"/>
          <w:lang w:val="es-MX"/>
        </w:rPr>
        <w:t>t</w:t>
      </w:r>
      <w:r w:rsidR="00475BBF" w:rsidRPr="00D529CC">
        <w:rPr>
          <w:rFonts w:ascii="Arial" w:hAnsi="Arial" w:cs="Arial"/>
          <w:lang w:val="es-MX"/>
        </w:rPr>
        <w:t>e período las provincias de Puntarenas, Guanacaste, y Limón aportaron el 84.0 % del total de casos del país</w:t>
      </w:r>
      <w:r>
        <w:rPr>
          <w:rFonts w:ascii="Arial" w:hAnsi="Arial" w:cs="Arial"/>
          <w:lang w:val="es-MX"/>
        </w:rPr>
        <w:t>,</w:t>
      </w:r>
      <w:r w:rsidR="00475BBF" w:rsidRPr="00D529CC">
        <w:rPr>
          <w:rFonts w:ascii="Arial" w:hAnsi="Arial" w:cs="Arial"/>
          <w:lang w:val="es-MX"/>
        </w:rPr>
        <w:t xml:space="preserve"> con incidencias</w:t>
      </w:r>
      <w:r w:rsidR="00475BBF">
        <w:rPr>
          <w:rFonts w:ascii="Arial" w:hAnsi="Arial" w:cs="Arial"/>
          <w:lang w:val="es-MX"/>
        </w:rPr>
        <w:t xml:space="preserve"> por 100.000 habitantes de 286,1, 186,9 y 213,</w:t>
      </w:r>
      <w:r w:rsidR="00475BBF" w:rsidRPr="00D529CC">
        <w:rPr>
          <w:rFonts w:ascii="Arial" w:hAnsi="Arial" w:cs="Arial"/>
          <w:lang w:val="es-MX"/>
        </w:rPr>
        <w:t>4  respectivamente.</w:t>
      </w:r>
    </w:p>
    <w:p w:rsidR="00475BBF" w:rsidRDefault="00475BBF" w:rsidP="00475BBF">
      <w:pPr>
        <w:spacing w:line="276" w:lineRule="auto"/>
        <w:jc w:val="both"/>
        <w:rPr>
          <w:rFonts w:ascii="Arial" w:hAnsi="Arial" w:cs="Arial"/>
          <w:lang w:val="es-MX"/>
        </w:rPr>
      </w:pPr>
      <w:r w:rsidRPr="00D529CC">
        <w:rPr>
          <w:rFonts w:ascii="Arial" w:hAnsi="Arial" w:cs="Arial"/>
          <w:lang w:val="es-MX"/>
        </w:rPr>
        <w:t>Durante el 2018 se registraron 431 casos de Z</w:t>
      </w:r>
      <w:r w:rsidR="00562416">
        <w:rPr>
          <w:rFonts w:ascii="Arial" w:hAnsi="Arial" w:cs="Arial"/>
          <w:lang w:val="es-MX"/>
        </w:rPr>
        <w:t>ika</w:t>
      </w:r>
      <w:r w:rsidRPr="00D529CC">
        <w:rPr>
          <w:rFonts w:ascii="Arial" w:hAnsi="Arial" w:cs="Arial"/>
          <w:lang w:val="es-MX"/>
        </w:rPr>
        <w:t>, lo que representó una disminución del 82</w:t>
      </w:r>
      <w:r>
        <w:rPr>
          <w:rFonts w:ascii="Arial" w:hAnsi="Arial" w:cs="Arial"/>
          <w:lang w:val="es-MX"/>
        </w:rPr>
        <w:t>,</w:t>
      </w:r>
      <w:r w:rsidRPr="00D529CC">
        <w:rPr>
          <w:rFonts w:ascii="Arial" w:hAnsi="Arial" w:cs="Arial"/>
          <w:lang w:val="es-MX"/>
        </w:rPr>
        <w:t xml:space="preserve">1% con </w:t>
      </w:r>
      <w:r w:rsidR="00562416">
        <w:rPr>
          <w:rFonts w:ascii="Arial" w:hAnsi="Arial" w:cs="Arial"/>
          <w:lang w:val="es-MX"/>
        </w:rPr>
        <w:t>respecto al añ</w:t>
      </w:r>
      <w:r w:rsidRPr="00D529CC">
        <w:rPr>
          <w:rFonts w:ascii="Arial" w:hAnsi="Arial" w:cs="Arial"/>
          <w:lang w:val="es-MX"/>
        </w:rPr>
        <w:t>o 2017</w:t>
      </w:r>
      <w:r w:rsidR="00562416">
        <w:rPr>
          <w:rFonts w:ascii="Arial" w:hAnsi="Arial" w:cs="Arial"/>
          <w:lang w:val="es-MX"/>
        </w:rPr>
        <w:t>, en el que se detect</w:t>
      </w:r>
      <w:r w:rsidR="00E67C62">
        <w:rPr>
          <w:rFonts w:ascii="Arial" w:hAnsi="Arial" w:cs="Arial"/>
          <w:lang w:val="es-MX"/>
        </w:rPr>
        <w:t xml:space="preserve">aron </w:t>
      </w:r>
      <w:r w:rsidRPr="00D529CC">
        <w:rPr>
          <w:rFonts w:ascii="Arial" w:hAnsi="Arial" w:cs="Arial"/>
          <w:lang w:val="es-MX"/>
        </w:rPr>
        <w:t>2</w:t>
      </w:r>
      <w:r w:rsidR="00562416">
        <w:rPr>
          <w:rFonts w:ascii="Arial" w:hAnsi="Arial" w:cs="Arial"/>
          <w:lang w:val="es-MX"/>
        </w:rPr>
        <w:t>.</w:t>
      </w:r>
      <w:r w:rsidRPr="00D529CC">
        <w:rPr>
          <w:rFonts w:ascii="Arial" w:hAnsi="Arial" w:cs="Arial"/>
          <w:lang w:val="es-MX"/>
        </w:rPr>
        <w:t>414.</w:t>
      </w:r>
      <w:r>
        <w:rPr>
          <w:rFonts w:ascii="Arial" w:hAnsi="Arial" w:cs="Arial"/>
          <w:lang w:val="es-MX"/>
        </w:rPr>
        <w:t xml:space="preserve">  </w:t>
      </w:r>
    </w:p>
    <w:p w:rsidR="00475BBF" w:rsidRPr="0099401B" w:rsidRDefault="00475BBF" w:rsidP="00475BBF">
      <w:pPr>
        <w:autoSpaceDE w:val="0"/>
        <w:autoSpaceDN w:val="0"/>
        <w:adjustRightInd w:val="0"/>
        <w:spacing w:line="360" w:lineRule="auto"/>
        <w:jc w:val="both"/>
        <w:rPr>
          <w:rFonts w:ascii="Arial" w:hAnsi="Arial" w:cs="Arial"/>
        </w:rPr>
      </w:pPr>
    </w:p>
    <w:p w:rsidR="00475BBF" w:rsidRDefault="00E67C62" w:rsidP="00E67C62">
      <w:pPr>
        <w:jc w:val="center"/>
        <w:rPr>
          <w:rFonts w:ascii="Arial" w:hAnsi="Arial" w:cs="Arial"/>
          <w:lang w:val="es-MX"/>
        </w:rPr>
      </w:pPr>
      <w:r w:rsidRPr="00E67C62">
        <w:rPr>
          <w:rFonts w:ascii="Arial" w:hAnsi="Arial" w:cs="Arial"/>
          <w:b/>
          <w:lang w:val="es-MX"/>
        </w:rPr>
        <w:t xml:space="preserve">Cuadro </w:t>
      </w:r>
      <w:r w:rsidR="00472E6D">
        <w:rPr>
          <w:rFonts w:ascii="Arial" w:hAnsi="Arial" w:cs="Arial"/>
          <w:b/>
          <w:lang w:val="es-MX"/>
        </w:rPr>
        <w:t>27</w:t>
      </w:r>
      <w:r w:rsidR="00475BBF" w:rsidRPr="00E67C62">
        <w:rPr>
          <w:rFonts w:ascii="Arial" w:hAnsi="Arial" w:cs="Arial"/>
          <w:b/>
          <w:lang w:val="es-MX"/>
        </w:rPr>
        <w:t>.</w:t>
      </w:r>
    </w:p>
    <w:p w:rsidR="00E67C62" w:rsidRDefault="00475BBF" w:rsidP="00E67C62">
      <w:pPr>
        <w:jc w:val="center"/>
        <w:rPr>
          <w:rFonts w:ascii="Arial" w:hAnsi="Arial" w:cs="Arial"/>
          <w:b/>
          <w:lang w:val="es-MX"/>
        </w:rPr>
      </w:pPr>
      <w:r>
        <w:rPr>
          <w:rFonts w:ascii="Arial" w:hAnsi="Arial" w:cs="Arial"/>
          <w:b/>
          <w:lang w:val="es-MX"/>
        </w:rPr>
        <w:t xml:space="preserve">Costa Rica: </w:t>
      </w:r>
      <w:r w:rsidR="00E67C62">
        <w:rPr>
          <w:rFonts w:ascii="Arial" w:hAnsi="Arial" w:cs="Arial"/>
          <w:b/>
          <w:lang w:val="es-MX"/>
        </w:rPr>
        <w:t>Número de c</w:t>
      </w:r>
      <w:r>
        <w:rPr>
          <w:rFonts w:ascii="Arial" w:hAnsi="Arial" w:cs="Arial"/>
          <w:b/>
          <w:lang w:val="es-MX"/>
        </w:rPr>
        <w:t>asos y tasas de Z</w:t>
      </w:r>
      <w:r w:rsidR="00E67C62">
        <w:rPr>
          <w:rFonts w:ascii="Arial" w:hAnsi="Arial" w:cs="Arial"/>
          <w:b/>
          <w:lang w:val="es-MX"/>
        </w:rPr>
        <w:t xml:space="preserve">ika, </w:t>
      </w:r>
    </w:p>
    <w:p w:rsidR="00475BBF" w:rsidRDefault="00E67C62" w:rsidP="00475BBF">
      <w:pPr>
        <w:jc w:val="center"/>
        <w:rPr>
          <w:rFonts w:ascii="Arial" w:hAnsi="Arial" w:cs="Arial"/>
          <w:lang w:val="es-MX"/>
        </w:rPr>
      </w:pPr>
      <w:r>
        <w:rPr>
          <w:rFonts w:ascii="Arial" w:hAnsi="Arial" w:cs="Arial"/>
          <w:b/>
          <w:lang w:val="es-MX"/>
        </w:rPr>
        <w:t>según</w:t>
      </w:r>
      <w:r w:rsidR="00475BBF" w:rsidRPr="00E917D5">
        <w:rPr>
          <w:rFonts w:ascii="Arial" w:hAnsi="Arial" w:cs="Arial"/>
          <w:b/>
          <w:lang w:val="es-MX"/>
        </w:rPr>
        <w:t xml:space="preserve"> </w:t>
      </w:r>
      <w:r w:rsidR="00475BBF">
        <w:rPr>
          <w:rFonts w:ascii="Arial" w:hAnsi="Arial" w:cs="Arial"/>
          <w:b/>
          <w:lang w:val="es-MX"/>
        </w:rPr>
        <w:t>provincia</w:t>
      </w:r>
      <w:r>
        <w:rPr>
          <w:rFonts w:ascii="Arial" w:hAnsi="Arial" w:cs="Arial"/>
          <w:b/>
          <w:lang w:val="es-MX"/>
        </w:rPr>
        <w:t>,</w:t>
      </w:r>
      <w:r w:rsidR="00475BBF" w:rsidRPr="00E917D5">
        <w:rPr>
          <w:rFonts w:ascii="Arial" w:hAnsi="Arial" w:cs="Arial"/>
          <w:b/>
          <w:lang w:val="es-MX"/>
        </w:rPr>
        <w:t xml:space="preserve"> 201</w:t>
      </w:r>
      <w:r w:rsidR="00475BBF">
        <w:rPr>
          <w:rFonts w:ascii="Arial" w:hAnsi="Arial" w:cs="Arial"/>
          <w:b/>
          <w:lang w:val="es-MX"/>
        </w:rPr>
        <w:t>6-2018</w:t>
      </w:r>
      <w:r w:rsidR="00475BBF" w:rsidRPr="00E917D5">
        <w:rPr>
          <w:rFonts w:ascii="Arial" w:hAnsi="Arial" w:cs="Arial"/>
          <w:b/>
          <w:lang w:val="es-MX"/>
        </w:rPr>
        <w:t>.</w:t>
      </w:r>
    </w:p>
    <w:p w:rsidR="00475BBF" w:rsidRPr="009B7A65" w:rsidRDefault="00475BBF" w:rsidP="00475BBF">
      <w:pPr>
        <w:jc w:val="center"/>
        <w:rPr>
          <w:rFonts w:ascii="Arial" w:hAnsi="Arial" w:cs="Arial"/>
          <w:lang w:val="es-MX"/>
        </w:rPr>
      </w:pPr>
      <w:r>
        <w:rPr>
          <w:rFonts w:ascii="Arial" w:hAnsi="Arial" w:cs="Arial"/>
          <w:b/>
          <w:i/>
          <w:sz w:val="20"/>
          <w:szCs w:val="20"/>
          <w:lang w:val="es-MX"/>
        </w:rPr>
        <w:t>(</w:t>
      </w:r>
      <w:r w:rsidRPr="007A6FC5">
        <w:rPr>
          <w:rFonts w:ascii="Arial" w:hAnsi="Arial" w:cs="Arial"/>
          <w:b/>
          <w:i/>
          <w:sz w:val="20"/>
          <w:szCs w:val="20"/>
          <w:lang w:val="es-MX"/>
        </w:rPr>
        <w:t>Tasas por 100</w:t>
      </w:r>
      <w:r w:rsidR="00E67C62">
        <w:rPr>
          <w:rFonts w:ascii="Arial" w:hAnsi="Arial" w:cs="Arial"/>
          <w:b/>
          <w:i/>
          <w:sz w:val="20"/>
          <w:szCs w:val="20"/>
          <w:lang w:val="es-MX"/>
        </w:rPr>
        <w:t>.</w:t>
      </w:r>
      <w:r w:rsidRPr="007A6FC5">
        <w:rPr>
          <w:rFonts w:ascii="Arial" w:hAnsi="Arial" w:cs="Arial"/>
          <w:b/>
          <w:i/>
          <w:sz w:val="20"/>
          <w:szCs w:val="20"/>
          <w:lang w:val="es-MX"/>
        </w:rPr>
        <w:t>000 habitantes</w:t>
      </w:r>
      <w:r>
        <w:rPr>
          <w:rFonts w:ascii="Arial" w:hAnsi="Arial" w:cs="Arial"/>
          <w:b/>
          <w:i/>
          <w:sz w:val="20"/>
          <w:szCs w:val="20"/>
          <w:lang w:val="es-MX"/>
        </w:rPr>
        <w:t>)</w:t>
      </w:r>
    </w:p>
    <w:p w:rsidR="00475BBF" w:rsidRPr="00E917D5" w:rsidRDefault="00475BBF" w:rsidP="00475BBF">
      <w:pPr>
        <w:jc w:val="both"/>
        <w:rPr>
          <w:rFonts w:ascii="Arial" w:hAnsi="Arial" w:cs="Arial"/>
          <w:b/>
          <w:lang w:val="es-MX"/>
        </w:rPr>
      </w:pPr>
    </w:p>
    <w:tbl>
      <w:tblPr>
        <w:tblStyle w:val="Sombreadoclaro-nfasis1"/>
        <w:tblW w:w="4768" w:type="pct"/>
        <w:jc w:val="center"/>
        <w:tblBorders>
          <w:top w:val="none" w:sz="0" w:space="0" w:color="auto"/>
          <w:bottom w:val="none" w:sz="0" w:space="0" w:color="auto"/>
        </w:tblBorders>
        <w:shd w:val="clear" w:color="auto" w:fill="FFFFFF" w:themeFill="background1"/>
        <w:tblLook w:val="04A0" w:firstRow="1" w:lastRow="0" w:firstColumn="1" w:lastColumn="0" w:noHBand="0" w:noVBand="1"/>
      </w:tblPr>
      <w:tblGrid>
        <w:gridCol w:w="2144"/>
        <w:gridCol w:w="1042"/>
        <w:gridCol w:w="1192"/>
        <w:gridCol w:w="1043"/>
        <w:gridCol w:w="914"/>
        <w:gridCol w:w="1043"/>
        <w:gridCol w:w="1050"/>
      </w:tblGrid>
      <w:tr w:rsidR="00475BBF" w:rsidRPr="005427E5" w:rsidTr="00E67C62">
        <w:trPr>
          <w:cnfStyle w:val="100000000000" w:firstRow="1" w:lastRow="0" w:firstColumn="0" w:lastColumn="0" w:oddVBand="0" w:evenVBand="0" w:oddHBand="0"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1272" w:type="pct"/>
            <w:tcBorders>
              <w:top w:val="single" w:sz="4" w:space="0" w:color="auto"/>
              <w:left w:val="none" w:sz="0" w:space="0" w:color="auto"/>
              <w:bottom w:val="single" w:sz="4" w:space="0" w:color="auto"/>
              <w:right w:val="none" w:sz="0" w:space="0" w:color="auto"/>
            </w:tcBorders>
            <w:shd w:val="clear" w:color="auto" w:fill="D5DCE4" w:themeFill="text2" w:themeFillTint="33"/>
          </w:tcPr>
          <w:p w:rsidR="00475BBF" w:rsidRPr="005427E5" w:rsidRDefault="00475BBF" w:rsidP="00475BBF">
            <w:pPr>
              <w:spacing w:line="360" w:lineRule="auto"/>
              <w:jc w:val="both"/>
              <w:rPr>
                <w:rFonts w:ascii="Arial" w:hAnsi="Arial" w:cs="Arial"/>
                <w:color w:val="auto"/>
                <w:sz w:val="20"/>
                <w:szCs w:val="20"/>
                <w:lang w:val="es-MX"/>
              </w:rPr>
            </w:pPr>
            <w:r w:rsidRPr="005427E5">
              <w:rPr>
                <w:rFonts w:ascii="Arial" w:hAnsi="Arial" w:cs="Arial"/>
                <w:color w:val="auto"/>
                <w:sz w:val="20"/>
                <w:szCs w:val="20"/>
                <w:lang w:val="es-MX"/>
              </w:rPr>
              <w:t>Provincia</w:t>
            </w:r>
          </w:p>
        </w:tc>
        <w:tc>
          <w:tcPr>
            <w:tcW w:w="1325" w:type="pct"/>
            <w:gridSpan w:val="2"/>
            <w:tcBorders>
              <w:top w:val="single" w:sz="4" w:space="0" w:color="auto"/>
              <w:left w:val="none" w:sz="0" w:space="0" w:color="auto"/>
              <w:bottom w:val="single" w:sz="4" w:space="0" w:color="auto"/>
              <w:right w:val="none" w:sz="0" w:space="0" w:color="auto"/>
            </w:tcBorders>
            <w:shd w:val="clear" w:color="auto" w:fill="D5DCE4" w:themeFill="text2" w:themeFillTint="33"/>
          </w:tcPr>
          <w:p w:rsidR="00475BBF" w:rsidRPr="005427E5"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2016</w:t>
            </w:r>
          </w:p>
        </w:tc>
        <w:tc>
          <w:tcPr>
            <w:tcW w:w="1161" w:type="pct"/>
            <w:gridSpan w:val="2"/>
            <w:tcBorders>
              <w:top w:val="single" w:sz="4" w:space="0" w:color="auto"/>
              <w:left w:val="none" w:sz="0" w:space="0" w:color="auto"/>
              <w:bottom w:val="single" w:sz="4" w:space="0" w:color="auto"/>
              <w:right w:val="none" w:sz="0" w:space="0" w:color="auto"/>
            </w:tcBorders>
            <w:shd w:val="clear" w:color="auto" w:fill="D5DCE4" w:themeFill="text2" w:themeFillTint="33"/>
          </w:tcPr>
          <w:p w:rsidR="00475BBF" w:rsidRPr="005427E5"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2017</w:t>
            </w:r>
          </w:p>
        </w:tc>
        <w:tc>
          <w:tcPr>
            <w:tcW w:w="1242" w:type="pct"/>
            <w:gridSpan w:val="2"/>
            <w:tcBorders>
              <w:top w:val="single" w:sz="4" w:space="0" w:color="auto"/>
              <w:left w:val="none" w:sz="0" w:space="0" w:color="auto"/>
              <w:bottom w:val="single" w:sz="4" w:space="0" w:color="auto"/>
              <w:right w:val="none" w:sz="0" w:space="0" w:color="auto"/>
            </w:tcBorders>
            <w:shd w:val="clear" w:color="auto" w:fill="D5DCE4" w:themeFill="text2" w:themeFillTint="33"/>
          </w:tcPr>
          <w:p w:rsidR="00475BBF" w:rsidRPr="005427E5"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2018</w:t>
            </w:r>
          </w:p>
        </w:tc>
      </w:tr>
      <w:tr w:rsidR="00475BBF" w:rsidRPr="005427E5" w:rsidTr="00E67C62">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1272" w:type="pct"/>
            <w:tcBorders>
              <w:left w:val="none" w:sz="0" w:space="0" w:color="auto"/>
              <w:right w:val="none" w:sz="0" w:space="0" w:color="auto"/>
            </w:tcBorders>
            <w:shd w:val="clear" w:color="auto" w:fill="D5DCE4" w:themeFill="text2" w:themeFillTint="33"/>
          </w:tcPr>
          <w:p w:rsidR="00475BBF" w:rsidRPr="005427E5" w:rsidRDefault="00475BBF" w:rsidP="00475BBF">
            <w:pPr>
              <w:spacing w:line="360" w:lineRule="auto"/>
              <w:jc w:val="both"/>
              <w:rPr>
                <w:rFonts w:ascii="Arial" w:hAnsi="Arial" w:cs="Arial"/>
                <w:color w:val="auto"/>
                <w:sz w:val="20"/>
                <w:szCs w:val="20"/>
                <w:lang w:val="es-MX"/>
              </w:rPr>
            </w:pPr>
          </w:p>
        </w:tc>
        <w:tc>
          <w:tcPr>
            <w:tcW w:w="618" w:type="pct"/>
            <w:tcBorders>
              <w:left w:val="none" w:sz="0" w:space="0" w:color="auto"/>
              <w:right w:val="none" w:sz="0" w:space="0" w:color="auto"/>
            </w:tcBorders>
            <w:shd w:val="clear" w:color="auto" w:fill="D5DCE4" w:themeFill="text2" w:themeFillTint="33"/>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Casos</w:t>
            </w:r>
          </w:p>
        </w:tc>
        <w:tc>
          <w:tcPr>
            <w:tcW w:w="707" w:type="pct"/>
            <w:tcBorders>
              <w:top w:val="single" w:sz="4" w:space="0" w:color="auto"/>
              <w:bottom w:val="single" w:sz="4" w:space="0" w:color="auto"/>
            </w:tcBorders>
            <w:shd w:val="clear" w:color="auto" w:fill="D5DCE4" w:themeFill="text2" w:themeFillTint="33"/>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Tasa</w:t>
            </w:r>
          </w:p>
        </w:tc>
        <w:tc>
          <w:tcPr>
            <w:tcW w:w="619" w:type="pct"/>
            <w:tcBorders>
              <w:top w:val="single" w:sz="4" w:space="0" w:color="auto"/>
              <w:bottom w:val="single" w:sz="4" w:space="0" w:color="auto"/>
            </w:tcBorders>
            <w:shd w:val="clear" w:color="auto" w:fill="D5DCE4" w:themeFill="text2" w:themeFillTint="33"/>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Casos</w:t>
            </w:r>
          </w:p>
        </w:tc>
        <w:tc>
          <w:tcPr>
            <w:tcW w:w="542" w:type="pct"/>
            <w:tcBorders>
              <w:top w:val="single" w:sz="4" w:space="0" w:color="auto"/>
              <w:bottom w:val="single" w:sz="4" w:space="0" w:color="auto"/>
            </w:tcBorders>
            <w:shd w:val="clear" w:color="auto" w:fill="D5DCE4" w:themeFill="text2" w:themeFillTint="33"/>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Tasa</w:t>
            </w:r>
          </w:p>
        </w:tc>
        <w:tc>
          <w:tcPr>
            <w:tcW w:w="619" w:type="pct"/>
            <w:tcBorders>
              <w:top w:val="single" w:sz="4" w:space="0" w:color="auto"/>
              <w:bottom w:val="single" w:sz="4" w:space="0" w:color="auto"/>
            </w:tcBorders>
            <w:shd w:val="clear" w:color="auto" w:fill="D5DCE4" w:themeFill="text2" w:themeFillTint="33"/>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Casos</w:t>
            </w:r>
          </w:p>
        </w:tc>
        <w:tc>
          <w:tcPr>
            <w:tcW w:w="622" w:type="pct"/>
            <w:tcBorders>
              <w:top w:val="single" w:sz="4" w:space="0" w:color="auto"/>
              <w:bottom w:val="single" w:sz="4" w:space="0" w:color="auto"/>
            </w:tcBorders>
            <w:shd w:val="clear" w:color="auto" w:fill="D5DCE4" w:themeFill="text2" w:themeFillTint="33"/>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Tasa</w:t>
            </w:r>
          </w:p>
        </w:tc>
      </w:tr>
      <w:tr w:rsidR="00475BBF" w:rsidRPr="005427E5" w:rsidTr="00E67C62">
        <w:trPr>
          <w:trHeight w:val="386"/>
          <w:jc w:val="center"/>
        </w:trPr>
        <w:tc>
          <w:tcPr>
            <w:cnfStyle w:val="001000000000" w:firstRow="0" w:lastRow="0" w:firstColumn="1" w:lastColumn="0" w:oddVBand="0" w:evenVBand="0" w:oddHBand="0" w:evenHBand="0" w:firstRowFirstColumn="0" w:firstRowLastColumn="0" w:lastRowFirstColumn="0" w:lastRowLastColumn="0"/>
            <w:tcW w:w="1272" w:type="pct"/>
            <w:tcBorders>
              <w:bottom w:val="single" w:sz="4" w:space="0" w:color="auto"/>
            </w:tcBorders>
            <w:shd w:val="clear" w:color="auto" w:fill="FFFFFF" w:themeFill="background1"/>
          </w:tcPr>
          <w:p w:rsidR="00475BBF" w:rsidRPr="005427E5" w:rsidRDefault="00475BBF" w:rsidP="00475BBF">
            <w:pPr>
              <w:spacing w:line="360" w:lineRule="auto"/>
              <w:jc w:val="both"/>
              <w:rPr>
                <w:rFonts w:ascii="Arial" w:hAnsi="Arial" w:cs="Arial"/>
                <w:color w:val="auto"/>
                <w:sz w:val="20"/>
                <w:szCs w:val="20"/>
                <w:lang w:val="es-MX"/>
              </w:rPr>
            </w:pPr>
            <w:r w:rsidRPr="005427E5">
              <w:rPr>
                <w:rFonts w:ascii="Arial" w:hAnsi="Arial" w:cs="Arial"/>
                <w:color w:val="auto"/>
                <w:sz w:val="20"/>
                <w:szCs w:val="20"/>
                <w:lang w:val="es-MX"/>
              </w:rPr>
              <w:t>Total</w:t>
            </w:r>
          </w:p>
        </w:tc>
        <w:tc>
          <w:tcPr>
            <w:tcW w:w="618" w:type="pct"/>
            <w:tcBorders>
              <w:bottom w:val="single" w:sz="4" w:space="0" w:color="auto"/>
            </w:tcBorders>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7820</w:t>
            </w:r>
          </w:p>
        </w:tc>
        <w:tc>
          <w:tcPr>
            <w:tcW w:w="707" w:type="pct"/>
            <w:tcBorders>
              <w:top w:val="single" w:sz="4" w:space="0" w:color="auto"/>
              <w:bottom w:val="single" w:sz="4" w:space="0" w:color="auto"/>
            </w:tcBorders>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159.9</w:t>
            </w:r>
          </w:p>
        </w:tc>
        <w:tc>
          <w:tcPr>
            <w:tcW w:w="619" w:type="pct"/>
            <w:tcBorders>
              <w:top w:val="single" w:sz="4" w:space="0" w:color="auto"/>
              <w:bottom w:val="single" w:sz="4" w:space="0" w:color="auto"/>
            </w:tcBorders>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2414</w:t>
            </w:r>
          </w:p>
        </w:tc>
        <w:tc>
          <w:tcPr>
            <w:tcW w:w="542" w:type="pct"/>
            <w:tcBorders>
              <w:top w:val="single" w:sz="4" w:space="0" w:color="auto"/>
              <w:bottom w:val="single" w:sz="4" w:space="0" w:color="auto"/>
            </w:tcBorders>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48.8</w:t>
            </w:r>
          </w:p>
        </w:tc>
        <w:tc>
          <w:tcPr>
            <w:tcW w:w="619" w:type="pct"/>
            <w:tcBorders>
              <w:top w:val="single" w:sz="4" w:space="0" w:color="auto"/>
              <w:bottom w:val="single" w:sz="4" w:space="0" w:color="auto"/>
            </w:tcBorders>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431</w:t>
            </w:r>
          </w:p>
        </w:tc>
        <w:tc>
          <w:tcPr>
            <w:tcW w:w="622" w:type="pct"/>
            <w:tcBorders>
              <w:top w:val="single" w:sz="4" w:space="0" w:color="auto"/>
              <w:bottom w:val="single" w:sz="4" w:space="0" w:color="auto"/>
            </w:tcBorders>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0"/>
                <w:szCs w:val="20"/>
                <w:lang w:val="es-MX"/>
              </w:rPr>
            </w:pPr>
            <w:r w:rsidRPr="005427E5">
              <w:rPr>
                <w:rFonts w:ascii="Arial" w:hAnsi="Arial" w:cs="Arial"/>
                <w:b/>
                <w:color w:val="auto"/>
                <w:sz w:val="20"/>
                <w:szCs w:val="20"/>
                <w:lang w:val="es-MX"/>
              </w:rPr>
              <w:t>8.6</w:t>
            </w:r>
          </w:p>
        </w:tc>
      </w:tr>
      <w:tr w:rsidR="00475BBF" w:rsidRPr="005427E5" w:rsidTr="00E67C62">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1272" w:type="pct"/>
            <w:tcBorders>
              <w:top w:val="single" w:sz="4" w:space="0" w:color="auto"/>
            </w:tcBorders>
            <w:shd w:val="clear" w:color="auto" w:fill="FFFFFF" w:themeFill="background1"/>
          </w:tcPr>
          <w:p w:rsidR="00475BBF" w:rsidRPr="005427E5" w:rsidRDefault="00475BBF" w:rsidP="00475BBF">
            <w:pPr>
              <w:spacing w:line="360" w:lineRule="auto"/>
              <w:jc w:val="both"/>
              <w:rPr>
                <w:rFonts w:ascii="Arial" w:hAnsi="Arial" w:cs="Arial"/>
                <w:b w:val="0"/>
                <w:color w:val="auto"/>
                <w:sz w:val="20"/>
                <w:szCs w:val="20"/>
                <w:lang w:val="es-MX"/>
              </w:rPr>
            </w:pPr>
            <w:r w:rsidRPr="005427E5">
              <w:rPr>
                <w:rFonts w:ascii="Arial" w:hAnsi="Arial" w:cs="Arial"/>
                <w:b w:val="0"/>
                <w:color w:val="auto"/>
                <w:sz w:val="20"/>
                <w:szCs w:val="20"/>
                <w:lang w:val="es-MX"/>
              </w:rPr>
              <w:t>Puntarenas</w:t>
            </w:r>
          </w:p>
        </w:tc>
        <w:tc>
          <w:tcPr>
            <w:tcW w:w="618" w:type="pct"/>
            <w:tcBorders>
              <w:top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3750</w:t>
            </w:r>
          </w:p>
        </w:tc>
        <w:tc>
          <w:tcPr>
            <w:tcW w:w="707" w:type="pct"/>
            <w:tcBorders>
              <w:top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790.7</w:t>
            </w:r>
          </w:p>
        </w:tc>
        <w:tc>
          <w:tcPr>
            <w:tcW w:w="619" w:type="pct"/>
            <w:tcBorders>
              <w:top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271</w:t>
            </w:r>
          </w:p>
        </w:tc>
        <w:tc>
          <w:tcPr>
            <w:tcW w:w="542" w:type="pct"/>
            <w:tcBorders>
              <w:top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56.4</w:t>
            </w:r>
          </w:p>
        </w:tc>
        <w:tc>
          <w:tcPr>
            <w:tcW w:w="619" w:type="pct"/>
            <w:tcBorders>
              <w:top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50</w:t>
            </w:r>
          </w:p>
        </w:tc>
        <w:tc>
          <w:tcPr>
            <w:tcW w:w="622" w:type="pct"/>
            <w:tcBorders>
              <w:top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10.3</w:t>
            </w:r>
          </w:p>
        </w:tc>
      </w:tr>
      <w:tr w:rsidR="00475BBF" w:rsidRPr="005427E5" w:rsidTr="00E67C62">
        <w:trPr>
          <w:trHeight w:val="386"/>
          <w:jc w:val="center"/>
        </w:trPr>
        <w:tc>
          <w:tcPr>
            <w:cnfStyle w:val="001000000000" w:firstRow="0" w:lastRow="0" w:firstColumn="1" w:lastColumn="0" w:oddVBand="0" w:evenVBand="0" w:oddHBand="0" w:evenHBand="0" w:firstRowFirstColumn="0" w:firstRowLastColumn="0" w:lastRowFirstColumn="0" w:lastRowLastColumn="0"/>
            <w:tcW w:w="1272" w:type="pct"/>
            <w:shd w:val="clear" w:color="auto" w:fill="FFFFFF" w:themeFill="background1"/>
          </w:tcPr>
          <w:p w:rsidR="00475BBF" w:rsidRPr="005427E5" w:rsidRDefault="00475BBF" w:rsidP="00475BBF">
            <w:pPr>
              <w:spacing w:line="360" w:lineRule="auto"/>
              <w:jc w:val="both"/>
              <w:rPr>
                <w:rFonts w:ascii="Arial" w:hAnsi="Arial" w:cs="Arial"/>
                <w:b w:val="0"/>
                <w:color w:val="auto"/>
                <w:sz w:val="20"/>
                <w:szCs w:val="20"/>
                <w:lang w:val="es-MX"/>
              </w:rPr>
            </w:pPr>
            <w:r w:rsidRPr="005427E5">
              <w:rPr>
                <w:rFonts w:ascii="Arial" w:hAnsi="Arial" w:cs="Arial"/>
                <w:b w:val="0"/>
                <w:color w:val="auto"/>
                <w:sz w:val="20"/>
                <w:szCs w:val="20"/>
                <w:lang w:val="es-MX"/>
              </w:rPr>
              <w:t>Limón</w:t>
            </w:r>
          </w:p>
        </w:tc>
        <w:tc>
          <w:tcPr>
            <w:tcW w:w="618"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922</w:t>
            </w:r>
          </w:p>
        </w:tc>
        <w:tc>
          <w:tcPr>
            <w:tcW w:w="707"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210.0</w:t>
            </w:r>
          </w:p>
        </w:tc>
        <w:tc>
          <w:tcPr>
            <w:tcW w:w="619"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1633</w:t>
            </w:r>
          </w:p>
        </w:tc>
        <w:tc>
          <w:tcPr>
            <w:tcW w:w="542"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367.4</w:t>
            </w:r>
          </w:p>
        </w:tc>
        <w:tc>
          <w:tcPr>
            <w:tcW w:w="619"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256</w:t>
            </w:r>
          </w:p>
        </w:tc>
        <w:tc>
          <w:tcPr>
            <w:tcW w:w="622"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56.9</w:t>
            </w:r>
          </w:p>
        </w:tc>
      </w:tr>
      <w:tr w:rsidR="00475BBF" w:rsidRPr="005427E5" w:rsidTr="00E67C62">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1272"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both"/>
              <w:rPr>
                <w:rFonts w:ascii="Arial" w:hAnsi="Arial" w:cs="Arial"/>
                <w:b w:val="0"/>
                <w:color w:val="auto"/>
                <w:sz w:val="20"/>
                <w:szCs w:val="20"/>
                <w:lang w:val="es-MX"/>
              </w:rPr>
            </w:pPr>
            <w:r w:rsidRPr="005427E5">
              <w:rPr>
                <w:rFonts w:ascii="Arial" w:hAnsi="Arial" w:cs="Arial"/>
                <w:b w:val="0"/>
                <w:color w:val="auto"/>
                <w:sz w:val="20"/>
                <w:szCs w:val="20"/>
                <w:lang w:val="es-MX"/>
              </w:rPr>
              <w:t>Guanacaste</w:t>
            </w:r>
          </w:p>
        </w:tc>
        <w:tc>
          <w:tcPr>
            <w:tcW w:w="618"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1906</w:t>
            </w:r>
          </w:p>
        </w:tc>
        <w:tc>
          <w:tcPr>
            <w:tcW w:w="707"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513.2</w:t>
            </w:r>
          </w:p>
        </w:tc>
        <w:tc>
          <w:tcPr>
            <w:tcW w:w="619"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168</w:t>
            </w:r>
          </w:p>
        </w:tc>
        <w:tc>
          <w:tcPr>
            <w:tcW w:w="542"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44.5</w:t>
            </w:r>
          </w:p>
        </w:tc>
        <w:tc>
          <w:tcPr>
            <w:tcW w:w="619"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7</w:t>
            </w:r>
          </w:p>
        </w:tc>
        <w:tc>
          <w:tcPr>
            <w:tcW w:w="622"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1.8</w:t>
            </w:r>
          </w:p>
        </w:tc>
      </w:tr>
      <w:tr w:rsidR="00475BBF" w:rsidRPr="005427E5" w:rsidTr="00E67C62">
        <w:trPr>
          <w:trHeight w:val="386"/>
          <w:jc w:val="center"/>
        </w:trPr>
        <w:tc>
          <w:tcPr>
            <w:cnfStyle w:val="001000000000" w:firstRow="0" w:lastRow="0" w:firstColumn="1" w:lastColumn="0" w:oddVBand="0" w:evenVBand="0" w:oddHBand="0" w:evenHBand="0" w:firstRowFirstColumn="0" w:firstRowLastColumn="0" w:lastRowFirstColumn="0" w:lastRowLastColumn="0"/>
            <w:tcW w:w="1272" w:type="pct"/>
            <w:shd w:val="clear" w:color="auto" w:fill="FFFFFF" w:themeFill="background1"/>
          </w:tcPr>
          <w:p w:rsidR="00475BBF" w:rsidRPr="005427E5" w:rsidRDefault="00475BBF" w:rsidP="00475BBF">
            <w:pPr>
              <w:spacing w:line="360" w:lineRule="auto"/>
              <w:jc w:val="both"/>
              <w:rPr>
                <w:rFonts w:ascii="Arial" w:hAnsi="Arial" w:cs="Arial"/>
                <w:b w:val="0"/>
                <w:color w:val="auto"/>
                <w:sz w:val="20"/>
                <w:szCs w:val="20"/>
                <w:lang w:val="es-MX"/>
              </w:rPr>
            </w:pPr>
            <w:r w:rsidRPr="005427E5">
              <w:rPr>
                <w:rFonts w:ascii="Arial" w:hAnsi="Arial" w:cs="Arial"/>
                <w:b w:val="0"/>
                <w:color w:val="auto"/>
                <w:sz w:val="20"/>
                <w:szCs w:val="20"/>
                <w:lang w:val="es-MX"/>
              </w:rPr>
              <w:t>Alajuela</w:t>
            </w:r>
          </w:p>
        </w:tc>
        <w:tc>
          <w:tcPr>
            <w:tcW w:w="618"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829</w:t>
            </w:r>
          </w:p>
        </w:tc>
        <w:tc>
          <w:tcPr>
            <w:tcW w:w="707"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85.0</w:t>
            </w:r>
          </w:p>
        </w:tc>
        <w:tc>
          <w:tcPr>
            <w:tcW w:w="619"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201</w:t>
            </w:r>
          </w:p>
        </w:tc>
        <w:tc>
          <w:tcPr>
            <w:tcW w:w="542"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20.3</w:t>
            </w:r>
          </w:p>
        </w:tc>
        <w:tc>
          <w:tcPr>
            <w:tcW w:w="619"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26</w:t>
            </w:r>
          </w:p>
        </w:tc>
        <w:tc>
          <w:tcPr>
            <w:tcW w:w="622"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2.6</w:t>
            </w:r>
          </w:p>
        </w:tc>
      </w:tr>
      <w:tr w:rsidR="00475BBF" w:rsidRPr="005427E5" w:rsidTr="00E67C62">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1272"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both"/>
              <w:rPr>
                <w:rFonts w:ascii="Arial" w:hAnsi="Arial" w:cs="Arial"/>
                <w:b w:val="0"/>
                <w:color w:val="auto"/>
                <w:sz w:val="20"/>
                <w:szCs w:val="20"/>
                <w:lang w:val="es-MX"/>
              </w:rPr>
            </w:pPr>
            <w:r w:rsidRPr="005427E5">
              <w:rPr>
                <w:rFonts w:ascii="Arial" w:hAnsi="Arial" w:cs="Arial"/>
                <w:b w:val="0"/>
                <w:color w:val="auto"/>
                <w:sz w:val="20"/>
                <w:szCs w:val="20"/>
                <w:lang w:val="es-MX"/>
              </w:rPr>
              <w:t>San José</w:t>
            </w:r>
          </w:p>
        </w:tc>
        <w:tc>
          <w:tcPr>
            <w:tcW w:w="618"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314</w:t>
            </w:r>
          </w:p>
        </w:tc>
        <w:tc>
          <w:tcPr>
            <w:tcW w:w="707"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19.5</w:t>
            </w:r>
          </w:p>
        </w:tc>
        <w:tc>
          <w:tcPr>
            <w:tcW w:w="619"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58</w:t>
            </w:r>
          </w:p>
        </w:tc>
        <w:tc>
          <w:tcPr>
            <w:tcW w:w="542"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3.6</w:t>
            </w:r>
          </w:p>
        </w:tc>
        <w:tc>
          <w:tcPr>
            <w:tcW w:w="619"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10</w:t>
            </w:r>
          </w:p>
        </w:tc>
        <w:tc>
          <w:tcPr>
            <w:tcW w:w="622" w:type="pct"/>
            <w:tcBorders>
              <w:left w:val="none" w:sz="0" w:space="0" w:color="auto"/>
              <w:right w:val="none" w:sz="0"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0.6</w:t>
            </w:r>
          </w:p>
        </w:tc>
      </w:tr>
      <w:tr w:rsidR="00475BBF" w:rsidRPr="005427E5" w:rsidTr="00E67C62">
        <w:trPr>
          <w:trHeight w:val="386"/>
          <w:jc w:val="center"/>
        </w:trPr>
        <w:tc>
          <w:tcPr>
            <w:cnfStyle w:val="001000000000" w:firstRow="0" w:lastRow="0" w:firstColumn="1" w:lastColumn="0" w:oddVBand="0" w:evenVBand="0" w:oddHBand="0" w:evenHBand="0" w:firstRowFirstColumn="0" w:firstRowLastColumn="0" w:lastRowFirstColumn="0" w:lastRowLastColumn="0"/>
            <w:tcW w:w="1272" w:type="pct"/>
            <w:shd w:val="clear" w:color="auto" w:fill="FFFFFF" w:themeFill="background1"/>
          </w:tcPr>
          <w:p w:rsidR="00475BBF" w:rsidRPr="005427E5" w:rsidRDefault="00475BBF" w:rsidP="00475BBF">
            <w:pPr>
              <w:spacing w:line="360" w:lineRule="auto"/>
              <w:jc w:val="both"/>
              <w:rPr>
                <w:rFonts w:ascii="Arial" w:hAnsi="Arial" w:cs="Arial"/>
                <w:b w:val="0"/>
                <w:color w:val="auto"/>
                <w:sz w:val="20"/>
                <w:szCs w:val="20"/>
                <w:lang w:val="es-MX"/>
              </w:rPr>
            </w:pPr>
            <w:r w:rsidRPr="005427E5">
              <w:rPr>
                <w:rFonts w:ascii="Arial" w:hAnsi="Arial" w:cs="Arial"/>
                <w:b w:val="0"/>
                <w:color w:val="auto"/>
                <w:sz w:val="20"/>
                <w:szCs w:val="20"/>
                <w:lang w:val="es-MX"/>
              </w:rPr>
              <w:t>Heredia</w:t>
            </w:r>
          </w:p>
        </w:tc>
        <w:tc>
          <w:tcPr>
            <w:tcW w:w="618"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66</w:t>
            </w:r>
          </w:p>
        </w:tc>
        <w:tc>
          <w:tcPr>
            <w:tcW w:w="707"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13.3</w:t>
            </w:r>
          </w:p>
        </w:tc>
        <w:tc>
          <w:tcPr>
            <w:tcW w:w="619"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80</w:t>
            </w:r>
          </w:p>
        </w:tc>
        <w:tc>
          <w:tcPr>
            <w:tcW w:w="542"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15.8</w:t>
            </w:r>
          </w:p>
        </w:tc>
        <w:tc>
          <w:tcPr>
            <w:tcW w:w="619"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78</w:t>
            </w:r>
          </w:p>
        </w:tc>
        <w:tc>
          <w:tcPr>
            <w:tcW w:w="622" w:type="pct"/>
            <w:shd w:val="clear" w:color="auto" w:fill="FFFFFF" w:themeFill="background1"/>
          </w:tcPr>
          <w:p w:rsidR="00475BBF" w:rsidRPr="005427E5"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15.2</w:t>
            </w:r>
          </w:p>
        </w:tc>
      </w:tr>
      <w:tr w:rsidR="00475BBF" w:rsidRPr="005427E5" w:rsidTr="00E67C62">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1272" w:type="pct"/>
            <w:tcBorders>
              <w:bottom w:val="single" w:sz="4" w:space="0" w:color="auto"/>
            </w:tcBorders>
            <w:shd w:val="clear" w:color="auto" w:fill="FFFFFF" w:themeFill="background1"/>
          </w:tcPr>
          <w:p w:rsidR="00475BBF" w:rsidRPr="005427E5" w:rsidRDefault="00475BBF" w:rsidP="00475BBF">
            <w:pPr>
              <w:spacing w:line="360" w:lineRule="auto"/>
              <w:jc w:val="both"/>
              <w:rPr>
                <w:rFonts w:ascii="Arial" w:hAnsi="Arial" w:cs="Arial"/>
                <w:b w:val="0"/>
                <w:color w:val="auto"/>
                <w:sz w:val="20"/>
                <w:szCs w:val="20"/>
                <w:lang w:val="es-MX"/>
              </w:rPr>
            </w:pPr>
            <w:r w:rsidRPr="005427E5">
              <w:rPr>
                <w:rFonts w:ascii="Arial" w:hAnsi="Arial" w:cs="Arial"/>
                <w:b w:val="0"/>
                <w:color w:val="auto"/>
                <w:sz w:val="20"/>
                <w:szCs w:val="20"/>
                <w:lang w:val="es-MX"/>
              </w:rPr>
              <w:t>Cartago</w:t>
            </w:r>
          </w:p>
        </w:tc>
        <w:tc>
          <w:tcPr>
            <w:tcW w:w="618" w:type="pct"/>
            <w:tcBorders>
              <w:bottom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33</w:t>
            </w:r>
          </w:p>
        </w:tc>
        <w:tc>
          <w:tcPr>
            <w:tcW w:w="707" w:type="pct"/>
            <w:tcBorders>
              <w:bottom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6.3</w:t>
            </w:r>
          </w:p>
        </w:tc>
        <w:tc>
          <w:tcPr>
            <w:tcW w:w="619" w:type="pct"/>
            <w:tcBorders>
              <w:bottom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3</w:t>
            </w:r>
          </w:p>
        </w:tc>
        <w:tc>
          <w:tcPr>
            <w:tcW w:w="542" w:type="pct"/>
            <w:tcBorders>
              <w:bottom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0.6</w:t>
            </w:r>
          </w:p>
        </w:tc>
        <w:tc>
          <w:tcPr>
            <w:tcW w:w="619" w:type="pct"/>
            <w:tcBorders>
              <w:bottom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4</w:t>
            </w:r>
          </w:p>
        </w:tc>
        <w:tc>
          <w:tcPr>
            <w:tcW w:w="622" w:type="pct"/>
            <w:tcBorders>
              <w:bottom w:val="single" w:sz="4" w:space="0" w:color="auto"/>
            </w:tcBorders>
            <w:shd w:val="clear" w:color="auto" w:fill="FFFFFF" w:themeFill="background1"/>
          </w:tcPr>
          <w:p w:rsidR="00475BBF" w:rsidRPr="005427E5"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0"/>
                <w:szCs w:val="20"/>
                <w:lang w:val="es-MX"/>
              </w:rPr>
            </w:pPr>
            <w:r w:rsidRPr="005427E5">
              <w:rPr>
                <w:rFonts w:ascii="Arial" w:hAnsi="Arial" w:cs="Arial"/>
                <w:color w:val="auto"/>
                <w:sz w:val="20"/>
                <w:szCs w:val="20"/>
                <w:lang w:val="es-MX"/>
              </w:rPr>
              <w:t>0.7</w:t>
            </w:r>
          </w:p>
        </w:tc>
      </w:tr>
    </w:tbl>
    <w:p w:rsidR="00475BBF" w:rsidRDefault="00475BBF" w:rsidP="00E67C62">
      <w:pPr>
        <w:spacing w:line="360" w:lineRule="auto"/>
        <w:jc w:val="right"/>
        <w:rPr>
          <w:rFonts w:ascii="Arial" w:hAnsi="Arial" w:cs="Arial"/>
          <w:lang w:val="es-MX"/>
        </w:rPr>
      </w:pPr>
      <w:r w:rsidRPr="00E67C62">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 xml:space="preserve">Dirección de Vigilancia de la Salud. </w:t>
      </w:r>
      <w:r w:rsidRPr="00976B84">
        <w:rPr>
          <w:rFonts w:ascii="Arial" w:hAnsi="Arial" w:cs="Arial"/>
          <w:sz w:val="20"/>
          <w:szCs w:val="20"/>
          <w:lang w:val="es-MX"/>
        </w:rPr>
        <w:t>Ministerio de Salud</w:t>
      </w:r>
      <w:r w:rsidR="00E67C62">
        <w:rPr>
          <w:rFonts w:ascii="Arial" w:hAnsi="Arial" w:cs="Arial"/>
          <w:sz w:val="20"/>
          <w:szCs w:val="20"/>
          <w:lang w:val="es-MX"/>
        </w:rPr>
        <w:t>, 2019.</w:t>
      </w:r>
    </w:p>
    <w:p w:rsidR="00475BBF" w:rsidRDefault="00475BBF" w:rsidP="00475BBF">
      <w:pPr>
        <w:spacing w:line="360" w:lineRule="auto"/>
        <w:jc w:val="both"/>
        <w:rPr>
          <w:rFonts w:ascii="Arial" w:hAnsi="Arial" w:cs="Arial"/>
          <w:lang w:val="es-MX"/>
        </w:rPr>
      </w:pPr>
    </w:p>
    <w:p w:rsidR="00475BBF" w:rsidRPr="00221219" w:rsidRDefault="00475BBF" w:rsidP="00475BBF">
      <w:pPr>
        <w:spacing w:line="360" w:lineRule="auto"/>
        <w:jc w:val="both"/>
        <w:rPr>
          <w:rFonts w:ascii="Arial" w:hAnsi="Arial" w:cs="Arial"/>
          <w:lang w:val="es-MX"/>
        </w:rPr>
      </w:pPr>
      <w:r w:rsidRPr="004A6853">
        <w:rPr>
          <w:rFonts w:ascii="Arial" w:hAnsi="Arial" w:cs="Arial"/>
          <w:lang w:val="es-MX"/>
        </w:rPr>
        <w:t>Los diez cantones</w:t>
      </w:r>
      <w:r>
        <w:rPr>
          <w:rFonts w:ascii="Arial" w:hAnsi="Arial" w:cs="Arial"/>
          <w:lang w:val="es-MX"/>
        </w:rPr>
        <w:t xml:space="preserve"> con más alta incidencia, aporta</w:t>
      </w:r>
      <w:r w:rsidR="00E67C62">
        <w:rPr>
          <w:rFonts w:ascii="Arial" w:hAnsi="Arial" w:cs="Arial"/>
          <w:lang w:val="es-MX"/>
        </w:rPr>
        <w:t xml:space="preserve">ronel </w:t>
      </w:r>
      <w:r>
        <w:rPr>
          <w:rFonts w:ascii="Arial" w:hAnsi="Arial" w:cs="Arial"/>
          <w:lang w:val="es-MX"/>
        </w:rPr>
        <w:t>68.1 % de lo</w:t>
      </w:r>
      <w:r w:rsidR="00E67C62">
        <w:rPr>
          <w:rFonts w:ascii="Arial" w:hAnsi="Arial" w:cs="Arial"/>
          <w:lang w:val="es-MX"/>
        </w:rPr>
        <w:t xml:space="preserve">s casos del país y se presentan en le gráfico </w:t>
      </w:r>
      <w:r w:rsidR="00472E6D">
        <w:rPr>
          <w:rFonts w:ascii="Arial" w:hAnsi="Arial" w:cs="Arial"/>
          <w:lang w:val="es-MX"/>
        </w:rPr>
        <w:t>2</w:t>
      </w:r>
      <w:r w:rsidR="006D48B5">
        <w:rPr>
          <w:rFonts w:ascii="Arial" w:hAnsi="Arial" w:cs="Arial"/>
          <w:lang w:val="es-MX"/>
        </w:rPr>
        <w:t>1</w:t>
      </w:r>
      <w:r w:rsidR="00E67C62">
        <w:rPr>
          <w:rFonts w:ascii="Arial" w:hAnsi="Arial" w:cs="Arial"/>
          <w:lang w:val="es-MX"/>
        </w:rPr>
        <w:t>.</w:t>
      </w:r>
    </w:p>
    <w:p w:rsidR="00475BBF" w:rsidRPr="00E67C62" w:rsidRDefault="00475BBF" w:rsidP="00475BBF">
      <w:pPr>
        <w:jc w:val="both"/>
        <w:rPr>
          <w:rFonts w:ascii="Arial" w:hAnsi="Arial" w:cs="Arial"/>
          <w:lang w:val="es-MX"/>
        </w:rPr>
      </w:pPr>
    </w:p>
    <w:p w:rsidR="006D48B5" w:rsidRDefault="006D48B5">
      <w:pPr>
        <w:spacing w:after="160" w:line="259" w:lineRule="auto"/>
        <w:rPr>
          <w:rFonts w:ascii="Arial" w:hAnsi="Arial" w:cs="Arial"/>
          <w:b/>
          <w:lang w:val="es-MX"/>
        </w:rPr>
      </w:pPr>
      <w:r>
        <w:rPr>
          <w:rFonts w:ascii="Arial" w:hAnsi="Arial" w:cs="Arial"/>
          <w:b/>
          <w:lang w:val="es-MX"/>
        </w:rPr>
        <w:br w:type="page"/>
      </w:r>
    </w:p>
    <w:p w:rsidR="00475BBF" w:rsidRDefault="00475BBF" w:rsidP="00475BBF">
      <w:pPr>
        <w:jc w:val="center"/>
        <w:rPr>
          <w:rFonts w:ascii="Arial" w:hAnsi="Arial" w:cs="Arial"/>
          <w:b/>
          <w:lang w:val="es-MX"/>
        </w:rPr>
      </w:pPr>
      <w:r w:rsidRPr="00DE6ACD">
        <w:rPr>
          <w:rFonts w:ascii="Arial" w:hAnsi="Arial" w:cs="Arial"/>
          <w:b/>
          <w:lang w:val="es-MX"/>
        </w:rPr>
        <w:lastRenderedPageBreak/>
        <w:t xml:space="preserve">Gráfico </w:t>
      </w:r>
      <w:r w:rsidR="00472E6D">
        <w:rPr>
          <w:rFonts w:ascii="Arial" w:hAnsi="Arial" w:cs="Arial"/>
          <w:b/>
          <w:lang w:val="es-MX"/>
        </w:rPr>
        <w:t>2</w:t>
      </w:r>
      <w:r w:rsidR="006D48B5">
        <w:rPr>
          <w:rFonts w:ascii="Arial" w:hAnsi="Arial" w:cs="Arial"/>
          <w:b/>
          <w:lang w:val="es-MX"/>
        </w:rPr>
        <w:t>1</w:t>
      </w:r>
    </w:p>
    <w:p w:rsidR="00E67C62" w:rsidRDefault="00475BBF" w:rsidP="00475BBF">
      <w:pPr>
        <w:jc w:val="center"/>
        <w:rPr>
          <w:rFonts w:ascii="Arial" w:hAnsi="Arial" w:cs="Arial"/>
          <w:b/>
          <w:lang w:val="es-MX"/>
        </w:rPr>
      </w:pPr>
      <w:r w:rsidRPr="00DE6ACD">
        <w:rPr>
          <w:rFonts w:ascii="Arial" w:hAnsi="Arial" w:cs="Arial"/>
          <w:b/>
          <w:lang w:val="es-MX"/>
        </w:rPr>
        <w:t>Costa Rica</w:t>
      </w:r>
      <w:r w:rsidR="00E67C62">
        <w:rPr>
          <w:rFonts w:ascii="Arial" w:hAnsi="Arial" w:cs="Arial"/>
          <w:b/>
          <w:lang w:val="es-MX"/>
        </w:rPr>
        <w:t>:</w:t>
      </w:r>
      <w:r w:rsidRPr="00DE6ACD">
        <w:rPr>
          <w:rFonts w:ascii="Arial" w:hAnsi="Arial" w:cs="Arial"/>
          <w:b/>
          <w:lang w:val="es-MX"/>
        </w:rPr>
        <w:t xml:space="preserve"> Diez cantones con más alta incidencia</w:t>
      </w:r>
    </w:p>
    <w:p w:rsidR="00475BBF" w:rsidRPr="00DE6ACD" w:rsidRDefault="00475BBF" w:rsidP="00475BBF">
      <w:pPr>
        <w:jc w:val="center"/>
        <w:rPr>
          <w:rFonts w:ascii="Arial" w:hAnsi="Arial" w:cs="Arial"/>
          <w:b/>
          <w:lang w:val="es-MX"/>
        </w:rPr>
      </w:pPr>
      <w:r w:rsidRPr="00DE6ACD">
        <w:rPr>
          <w:rFonts w:ascii="Arial" w:hAnsi="Arial" w:cs="Arial"/>
          <w:b/>
          <w:lang w:val="es-MX"/>
        </w:rPr>
        <w:t xml:space="preserve"> por </w:t>
      </w:r>
      <w:r>
        <w:rPr>
          <w:rFonts w:ascii="Arial" w:hAnsi="Arial" w:cs="Arial"/>
          <w:b/>
          <w:lang w:val="es-MX"/>
        </w:rPr>
        <w:t>Z</w:t>
      </w:r>
      <w:r w:rsidR="00E67C62">
        <w:rPr>
          <w:rFonts w:ascii="Arial" w:hAnsi="Arial" w:cs="Arial"/>
          <w:b/>
          <w:lang w:val="es-MX"/>
        </w:rPr>
        <w:t>ika</w:t>
      </w:r>
      <w:r>
        <w:rPr>
          <w:rFonts w:ascii="Arial" w:hAnsi="Arial" w:cs="Arial"/>
          <w:b/>
          <w:lang w:val="es-MX"/>
        </w:rPr>
        <w:t>, 2016-2018</w:t>
      </w:r>
    </w:p>
    <w:p w:rsidR="00475BBF" w:rsidRDefault="00475BBF" w:rsidP="00475BBF">
      <w:pPr>
        <w:spacing w:line="360" w:lineRule="auto"/>
        <w:jc w:val="center"/>
        <w:rPr>
          <w:rFonts w:ascii="Calibri" w:eastAsia="Calibri" w:hAnsi="Calibri" w:cs="Calibri"/>
          <w:b/>
          <w:bCs/>
          <w:i/>
          <w:sz w:val="28"/>
          <w:szCs w:val="28"/>
        </w:rPr>
      </w:pPr>
      <w:r>
        <w:rPr>
          <w:rFonts w:ascii="Calibri" w:eastAsia="Calibri" w:hAnsi="Calibri" w:cs="Calibri"/>
          <w:b/>
          <w:bCs/>
          <w:noProof/>
          <w:sz w:val="28"/>
          <w:szCs w:val="28"/>
          <w:lang w:val="es-CR" w:eastAsia="es-CR"/>
        </w:rPr>
        <w:drawing>
          <wp:inline distT="0" distB="0" distL="0" distR="0" wp14:anchorId="188E046F" wp14:editId="1B4CDC4F">
            <wp:extent cx="5486400" cy="3200400"/>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475BBF" w:rsidRPr="00E67C62" w:rsidRDefault="00475BBF" w:rsidP="00E67C62">
      <w:pPr>
        <w:spacing w:line="360" w:lineRule="auto"/>
        <w:jc w:val="right"/>
        <w:rPr>
          <w:rFonts w:ascii="Calibri" w:eastAsia="Calibri" w:hAnsi="Calibri" w:cs="Calibri"/>
          <w:b/>
          <w:bCs/>
          <w:i/>
          <w:sz w:val="18"/>
          <w:szCs w:val="18"/>
        </w:rPr>
      </w:pPr>
      <w:r w:rsidRPr="00E67C62">
        <w:rPr>
          <w:rFonts w:ascii="Arial" w:hAnsi="Arial" w:cs="Arial"/>
          <w:b/>
          <w:sz w:val="18"/>
          <w:szCs w:val="18"/>
          <w:lang w:val="es-MX"/>
        </w:rPr>
        <w:t>Fuente:</w:t>
      </w:r>
      <w:r w:rsidRPr="00E67C62">
        <w:rPr>
          <w:rFonts w:ascii="Arial" w:hAnsi="Arial" w:cs="Arial"/>
          <w:sz w:val="18"/>
          <w:szCs w:val="18"/>
          <w:lang w:val="es-MX"/>
        </w:rPr>
        <w:t xml:space="preserve"> Dirección de Vigilancia de la Salud. Ministerio de Salud</w:t>
      </w:r>
      <w:r w:rsidR="00E67C62">
        <w:rPr>
          <w:rFonts w:ascii="Arial" w:hAnsi="Arial" w:cs="Arial"/>
          <w:sz w:val="18"/>
          <w:szCs w:val="18"/>
          <w:lang w:val="es-MX"/>
        </w:rPr>
        <w:t>, 2019.</w:t>
      </w:r>
    </w:p>
    <w:p w:rsidR="00475BBF" w:rsidRDefault="00475BBF" w:rsidP="00475BBF">
      <w:pPr>
        <w:spacing w:line="360" w:lineRule="auto"/>
        <w:jc w:val="both"/>
        <w:rPr>
          <w:rFonts w:ascii="Calibri" w:eastAsia="Calibri" w:hAnsi="Calibri" w:cs="Calibri"/>
          <w:b/>
          <w:bCs/>
          <w:sz w:val="28"/>
          <w:szCs w:val="28"/>
        </w:rPr>
      </w:pPr>
    </w:p>
    <w:p w:rsidR="00475BBF" w:rsidRPr="006D48B5" w:rsidRDefault="009C1E30" w:rsidP="006D48B5">
      <w:pPr>
        <w:pStyle w:val="Ttulo3"/>
        <w:rPr>
          <w:rFonts w:ascii="Arial" w:hAnsi="Arial" w:cs="Arial"/>
          <w:b/>
          <w:color w:val="auto"/>
          <w:sz w:val="20"/>
          <w:szCs w:val="20"/>
          <w:lang w:val="es-MX"/>
        </w:rPr>
      </w:pPr>
      <w:bookmarkStart w:id="48" w:name="_Toc506187960"/>
      <w:bookmarkStart w:id="49" w:name="_Toc7439671"/>
      <w:r w:rsidRPr="006D48B5">
        <w:rPr>
          <w:rFonts w:ascii="Arial" w:hAnsi="Arial" w:cs="Arial"/>
          <w:b/>
          <w:color w:val="auto"/>
        </w:rPr>
        <w:t>Enfermedad de Chagas</w:t>
      </w:r>
      <w:bookmarkEnd w:id="48"/>
      <w:bookmarkEnd w:id="49"/>
    </w:p>
    <w:p w:rsidR="00475BBF" w:rsidRDefault="00475BBF" w:rsidP="00475BBF">
      <w:pPr>
        <w:spacing w:line="276" w:lineRule="auto"/>
        <w:jc w:val="both"/>
        <w:rPr>
          <w:rFonts w:ascii="Arial" w:hAnsi="Arial" w:cs="Arial"/>
        </w:rPr>
      </w:pPr>
    </w:p>
    <w:p w:rsidR="00475BBF" w:rsidRDefault="00475BBF" w:rsidP="00475BBF">
      <w:pPr>
        <w:spacing w:line="276" w:lineRule="auto"/>
        <w:jc w:val="both"/>
        <w:rPr>
          <w:rFonts w:ascii="Arial" w:hAnsi="Arial" w:cs="Arial"/>
        </w:rPr>
      </w:pPr>
      <w:r w:rsidRPr="00AE2363">
        <w:rPr>
          <w:rFonts w:ascii="Arial" w:hAnsi="Arial" w:cs="Arial"/>
        </w:rPr>
        <w:t xml:space="preserve">La enfermedad de Chagas o tripanosomiasis </w:t>
      </w:r>
      <w:r w:rsidR="00701F60">
        <w:rPr>
          <w:rFonts w:ascii="Arial" w:hAnsi="Arial" w:cs="Arial"/>
        </w:rPr>
        <w:t>americana,</w:t>
      </w:r>
      <w:r w:rsidRPr="00AE2363">
        <w:rPr>
          <w:rFonts w:ascii="Arial" w:hAnsi="Arial" w:cs="Arial"/>
        </w:rPr>
        <w:t xml:space="preserve"> </w:t>
      </w:r>
      <w:r w:rsidR="00F7510A">
        <w:rPr>
          <w:rFonts w:ascii="Arial" w:hAnsi="Arial" w:cs="Arial"/>
        </w:rPr>
        <w:t xml:space="preserve">es </w:t>
      </w:r>
      <w:r w:rsidRPr="00AE2363">
        <w:rPr>
          <w:rFonts w:ascii="Arial" w:hAnsi="Arial" w:cs="Arial"/>
        </w:rPr>
        <w:t>causada por el protozo</w:t>
      </w:r>
      <w:r w:rsidR="00F7510A">
        <w:rPr>
          <w:rFonts w:ascii="Arial" w:hAnsi="Arial" w:cs="Arial"/>
        </w:rPr>
        <w:t>ario</w:t>
      </w:r>
      <w:r w:rsidRPr="00AE2363">
        <w:rPr>
          <w:rFonts w:ascii="Arial" w:hAnsi="Arial" w:cs="Arial"/>
        </w:rPr>
        <w:t xml:space="preserve"> flagelado </w:t>
      </w:r>
      <w:r w:rsidRPr="00AE2363">
        <w:rPr>
          <w:rFonts w:ascii="Arial" w:hAnsi="Arial" w:cs="Arial"/>
          <w:i/>
        </w:rPr>
        <w:t>Trypanosoma cruzi</w:t>
      </w:r>
      <w:r w:rsidRPr="00AE2363">
        <w:rPr>
          <w:rFonts w:ascii="Arial" w:hAnsi="Arial" w:cs="Arial"/>
        </w:rPr>
        <w:t xml:space="preserve">, transmitido principalmente (más de un 80% de las infecciones registradas) por medio de insectos hemípteros, </w:t>
      </w:r>
      <w:r w:rsidR="00F7510A">
        <w:rPr>
          <w:rFonts w:ascii="Arial" w:hAnsi="Arial" w:cs="Arial"/>
        </w:rPr>
        <w:t>como</w:t>
      </w:r>
      <w:r w:rsidRPr="00AE2363">
        <w:rPr>
          <w:rFonts w:ascii="Arial" w:hAnsi="Arial" w:cs="Arial"/>
        </w:rPr>
        <w:t xml:space="preserve"> el </w:t>
      </w:r>
      <w:r w:rsidRPr="00AE2363">
        <w:rPr>
          <w:rFonts w:ascii="Arial" w:hAnsi="Arial" w:cs="Arial"/>
          <w:i/>
        </w:rPr>
        <w:t xml:space="preserve">Triatoma </w:t>
      </w:r>
      <w:r w:rsidR="00F7510A">
        <w:rPr>
          <w:rFonts w:ascii="Arial" w:hAnsi="Arial" w:cs="Arial"/>
          <w:i/>
        </w:rPr>
        <w:t xml:space="preserve">dimidiate </w:t>
      </w:r>
      <w:r w:rsidR="00F7510A" w:rsidRPr="00F7510A">
        <w:rPr>
          <w:rFonts w:ascii="Arial" w:hAnsi="Arial" w:cs="Arial"/>
        </w:rPr>
        <w:t>(chinche bebe sangre),</w:t>
      </w:r>
      <w:r w:rsidR="00F7510A">
        <w:rPr>
          <w:rFonts w:ascii="Arial" w:hAnsi="Arial" w:cs="Arial"/>
          <w:i/>
        </w:rPr>
        <w:t xml:space="preserve"> </w:t>
      </w:r>
      <w:r w:rsidR="00F7510A" w:rsidRPr="00F7510A">
        <w:rPr>
          <w:rFonts w:ascii="Arial" w:hAnsi="Arial" w:cs="Arial"/>
        </w:rPr>
        <w:t>que en</w:t>
      </w:r>
      <w:r w:rsidR="00F7510A">
        <w:rPr>
          <w:rFonts w:ascii="Arial" w:hAnsi="Arial" w:cs="Arial"/>
          <w:i/>
        </w:rPr>
        <w:t xml:space="preserve"> </w:t>
      </w:r>
      <w:r w:rsidR="00F7510A" w:rsidRPr="00AE2363">
        <w:rPr>
          <w:rFonts w:ascii="Arial" w:hAnsi="Arial" w:cs="Arial"/>
        </w:rPr>
        <w:t>Costa Rica</w:t>
      </w:r>
      <w:r w:rsidR="00F7510A">
        <w:rPr>
          <w:rFonts w:ascii="Arial" w:hAnsi="Arial" w:cs="Arial"/>
          <w:i/>
        </w:rPr>
        <w:t xml:space="preserve"> </w:t>
      </w:r>
      <w:r w:rsidR="00F7510A" w:rsidRPr="00F7510A">
        <w:rPr>
          <w:rFonts w:ascii="Arial" w:hAnsi="Arial" w:cs="Arial"/>
        </w:rPr>
        <w:t>es el</w:t>
      </w:r>
      <w:r w:rsidRPr="00F7510A">
        <w:rPr>
          <w:rFonts w:ascii="Arial" w:hAnsi="Arial" w:cs="Arial"/>
        </w:rPr>
        <w:t xml:space="preserve"> único</w:t>
      </w:r>
      <w:r>
        <w:rPr>
          <w:rFonts w:ascii="Arial" w:hAnsi="Arial" w:cs="Arial"/>
        </w:rPr>
        <w:t xml:space="preserve"> vector</w:t>
      </w:r>
      <w:r w:rsidRPr="00AE2363">
        <w:rPr>
          <w:rFonts w:ascii="Arial" w:hAnsi="Arial" w:cs="Arial"/>
          <w:i/>
        </w:rPr>
        <w:t>.</w:t>
      </w:r>
      <w:r w:rsidRPr="00AE2363">
        <w:rPr>
          <w:rFonts w:ascii="Arial" w:hAnsi="Arial" w:cs="Arial"/>
        </w:rPr>
        <w:t xml:space="preserve"> </w:t>
      </w:r>
      <w:r w:rsidRPr="003D3454">
        <w:rPr>
          <w:rFonts w:ascii="Arial" w:hAnsi="Arial" w:cs="Arial"/>
        </w:rPr>
        <w:t>Aunque menos común</w:t>
      </w:r>
      <w:r w:rsidR="00F7510A">
        <w:rPr>
          <w:rFonts w:ascii="Arial" w:hAnsi="Arial" w:cs="Arial"/>
        </w:rPr>
        <w:t>,</w:t>
      </w:r>
      <w:r w:rsidRPr="003D3454">
        <w:rPr>
          <w:rFonts w:ascii="Arial" w:hAnsi="Arial" w:cs="Arial"/>
        </w:rPr>
        <w:t xml:space="preserve"> </w:t>
      </w:r>
      <w:r w:rsidR="00F7510A">
        <w:rPr>
          <w:rFonts w:ascii="Arial" w:hAnsi="Arial" w:cs="Arial"/>
        </w:rPr>
        <w:t xml:space="preserve">el </w:t>
      </w:r>
      <w:r w:rsidRPr="003D3454">
        <w:rPr>
          <w:rFonts w:ascii="Arial" w:hAnsi="Arial" w:cs="Arial"/>
          <w:i/>
        </w:rPr>
        <w:t>T.cruzi</w:t>
      </w:r>
      <w:r w:rsidRPr="003D3454">
        <w:rPr>
          <w:rFonts w:ascii="Arial" w:hAnsi="Arial" w:cs="Arial"/>
        </w:rPr>
        <w:t xml:space="preserve"> también puede transmitirse </w:t>
      </w:r>
      <w:r w:rsidR="00F7510A">
        <w:rPr>
          <w:rFonts w:ascii="Arial" w:hAnsi="Arial" w:cs="Arial"/>
        </w:rPr>
        <w:t xml:space="preserve">por medio </w:t>
      </w:r>
      <w:r w:rsidRPr="003D3454">
        <w:rPr>
          <w:rFonts w:ascii="Arial" w:hAnsi="Arial" w:cs="Arial"/>
        </w:rPr>
        <w:t xml:space="preserve">de transfusiones de sangre (20% de los casos) o trasplante de órganos, verticalmente de la madre infectada al hijo durante el embarazo (1% de los casos), y </w:t>
      </w:r>
      <w:r>
        <w:rPr>
          <w:rFonts w:ascii="Arial" w:hAnsi="Arial" w:cs="Arial"/>
        </w:rPr>
        <w:t xml:space="preserve">menos común </w:t>
      </w:r>
      <w:r w:rsidRPr="003D3454">
        <w:rPr>
          <w:rFonts w:ascii="Arial" w:hAnsi="Arial" w:cs="Arial"/>
        </w:rPr>
        <w:t xml:space="preserve">por ingestión accidental de alimentos contaminados con </w:t>
      </w:r>
      <w:r w:rsidRPr="003D3454">
        <w:rPr>
          <w:rFonts w:ascii="Arial" w:hAnsi="Arial" w:cs="Arial"/>
          <w:i/>
        </w:rPr>
        <w:t>T. cruzi</w:t>
      </w:r>
      <w:r w:rsidRPr="003D3454">
        <w:rPr>
          <w:rFonts w:ascii="Arial" w:hAnsi="Arial" w:cs="Arial"/>
        </w:rPr>
        <w:t>.</w:t>
      </w:r>
    </w:p>
    <w:p w:rsidR="00F7510A" w:rsidRDefault="00F7510A" w:rsidP="00475BBF">
      <w:pPr>
        <w:spacing w:line="276" w:lineRule="auto"/>
        <w:jc w:val="both"/>
        <w:rPr>
          <w:rFonts w:ascii="Arial" w:hAnsi="Arial" w:cs="Arial"/>
        </w:rPr>
      </w:pPr>
    </w:p>
    <w:p w:rsidR="00F7510A" w:rsidRPr="003D3454" w:rsidRDefault="00475BBF" w:rsidP="00F7510A">
      <w:pPr>
        <w:spacing w:line="276" w:lineRule="auto"/>
        <w:jc w:val="both"/>
        <w:rPr>
          <w:rFonts w:ascii="Arial" w:hAnsi="Arial" w:cs="Arial"/>
        </w:rPr>
      </w:pPr>
      <w:r w:rsidRPr="00AE2363">
        <w:rPr>
          <w:rFonts w:ascii="Arial" w:hAnsi="Arial" w:cs="Arial"/>
        </w:rPr>
        <w:t>Con una incidencia anual de 28.000 casos en la Región de las Américas, se estima que la enfermedad de Chagas afecta a unos seis millones de personas y provoca c</w:t>
      </w:r>
      <w:r w:rsidR="00F7510A">
        <w:rPr>
          <w:rFonts w:ascii="Arial" w:hAnsi="Arial" w:cs="Arial"/>
        </w:rPr>
        <w:t xml:space="preserve">ada año cerca de 12.000 muertes, ya que es la </w:t>
      </w:r>
      <w:r w:rsidR="00F7510A" w:rsidRPr="003D3454">
        <w:rPr>
          <w:rFonts w:ascii="Arial" w:hAnsi="Arial" w:cs="Arial"/>
        </w:rPr>
        <w:t>más frecuente de las enfermedades tropicales transmisibles.</w:t>
      </w:r>
    </w:p>
    <w:p w:rsidR="00475BBF" w:rsidRDefault="00475BBF" w:rsidP="00475BBF">
      <w:pPr>
        <w:spacing w:line="276" w:lineRule="auto"/>
        <w:jc w:val="both"/>
        <w:rPr>
          <w:rFonts w:ascii="Arial" w:hAnsi="Arial" w:cs="Arial"/>
          <w:sz w:val="18"/>
        </w:rPr>
      </w:pPr>
    </w:p>
    <w:p w:rsidR="00475BBF" w:rsidRPr="003A05DB" w:rsidRDefault="00F7510A" w:rsidP="00475BBF">
      <w:pPr>
        <w:spacing w:line="276" w:lineRule="auto"/>
        <w:jc w:val="both"/>
        <w:rPr>
          <w:rFonts w:ascii="Arial" w:hAnsi="Arial" w:cs="Arial"/>
          <w:lang w:val="es-ES"/>
        </w:rPr>
      </w:pPr>
      <w:r w:rsidRPr="003A05DB">
        <w:rPr>
          <w:rFonts w:ascii="Arial" w:hAnsi="Arial" w:cs="Arial"/>
          <w:lang w:val="es-ES"/>
        </w:rPr>
        <w:t>Las chinches “bebe sangre”</w:t>
      </w:r>
      <w:r w:rsidR="00475BBF" w:rsidRPr="003A05DB">
        <w:rPr>
          <w:rFonts w:ascii="Arial" w:hAnsi="Arial" w:cs="Arial"/>
          <w:lang w:val="es-ES"/>
        </w:rPr>
        <w:t xml:space="preserve"> viv</w:t>
      </w:r>
      <w:r w:rsidRPr="003A05DB">
        <w:rPr>
          <w:rFonts w:ascii="Arial" w:hAnsi="Arial" w:cs="Arial"/>
          <w:lang w:val="es-ES"/>
        </w:rPr>
        <w:t>en</w:t>
      </w:r>
      <w:r w:rsidR="00475BBF" w:rsidRPr="003A05DB">
        <w:rPr>
          <w:rFonts w:ascii="Arial" w:hAnsi="Arial" w:cs="Arial"/>
          <w:lang w:val="es-ES"/>
        </w:rPr>
        <w:t xml:space="preserve"> en las grietas y las ranuras de viviendas mal construidas en las zonas rurales o suburbanas</w:t>
      </w:r>
      <w:r w:rsidRPr="003A05DB">
        <w:rPr>
          <w:rFonts w:ascii="Arial" w:hAnsi="Arial" w:cs="Arial"/>
          <w:lang w:val="es-ES"/>
        </w:rPr>
        <w:t xml:space="preserve"> de los países americanos.</w:t>
      </w:r>
      <w:r w:rsidR="00475BBF" w:rsidRPr="003A05DB">
        <w:rPr>
          <w:rFonts w:ascii="Arial" w:hAnsi="Arial" w:cs="Arial"/>
          <w:lang w:val="es-ES"/>
        </w:rPr>
        <w:t xml:space="preserve"> Normalmente se esconden durante el día y se vuelven activos durante la noche, </w:t>
      </w:r>
      <w:r w:rsidR="00475BBF" w:rsidRPr="003A05DB">
        <w:rPr>
          <w:rFonts w:ascii="Arial" w:hAnsi="Arial" w:cs="Arial"/>
          <w:lang w:val="es-ES"/>
        </w:rPr>
        <w:lastRenderedPageBreak/>
        <w:t>cuando se alimentan de sangre, incluso humana. Por lo general pican una zona expuesta de la piel o mucosas (labios, conjuntiva, etc.), y el insecto defeca cerca de la picadura. Los parásitos entran en el cuerpo cuando la persona instintivamente rasca las heces del insecto en la picadura, y contamina los ojos, la boca, o en cualquier lesión que comprometa la integridad de la piel.</w:t>
      </w:r>
    </w:p>
    <w:p w:rsidR="00475BBF" w:rsidRPr="003A05DB" w:rsidRDefault="00475BBF" w:rsidP="00475BBF">
      <w:pPr>
        <w:spacing w:line="276" w:lineRule="auto"/>
        <w:rPr>
          <w:rFonts w:ascii="Arial" w:hAnsi="Arial" w:cs="Arial"/>
          <w:lang w:val="es-ES"/>
        </w:rPr>
      </w:pPr>
    </w:p>
    <w:p w:rsidR="00475BBF" w:rsidRDefault="00475BBF" w:rsidP="00083C3F">
      <w:pPr>
        <w:spacing w:line="276" w:lineRule="auto"/>
        <w:jc w:val="both"/>
        <w:rPr>
          <w:rFonts w:ascii="Arial" w:hAnsi="Arial" w:cs="Arial"/>
        </w:rPr>
      </w:pPr>
      <w:r>
        <w:rPr>
          <w:rFonts w:ascii="Arial" w:hAnsi="Arial" w:cs="Arial"/>
        </w:rPr>
        <w:t xml:space="preserve">Costa Rica presenta una </w:t>
      </w:r>
      <w:r w:rsidR="00083C3F">
        <w:rPr>
          <w:rFonts w:ascii="Arial" w:hAnsi="Arial" w:cs="Arial"/>
        </w:rPr>
        <w:t xml:space="preserve">baja </w:t>
      </w:r>
      <w:r>
        <w:rPr>
          <w:rFonts w:ascii="Arial" w:hAnsi="Arial" w:cs="Arial"/>
        </w:rPr>
        <w:t xml:space="preserve">incidencia </w:t>
      </w:r>
      <w:r w:rsidR="00083C3F">
        <w:rPr>
          <w:rFonts w:ascii="Arial" w:hAnsi="Arial" w:cs="Arial"/>
        </w:rPr>
        <w:t xml:space="preserve">de la enfermedad de Chagas </w:t>
      </w:r>
      <w:r>
        <w:rPr>
          <w:rFonts w:ascii="Arial" w:hAnsi="Arial" w:cs="Arial"/>
        </w:rPr>
        <w:t xml:space="preserve">con un promedio </w:t>
      </w:r>
      <w:r w:rsidR="00083C3F">
        <w:rPr>
          <w:rFonts w:ascii="Arial" w:hAnsi="Arial" w:cs="Arial"/>
        </w:rPr>
        <w:t xml:space="preserve">anual de </w:t>
      </w:r>
      <w:r>
        <w:rPr>
          <w:rFonts w:ascii="Arial" w:hAnsi="Arial" w:cs="Arial"/>
        </w:rPr>
        <w:t>27 casos</w:t>
      </w:r>
      <w:r w:rsidR="00083C3F">
        <w:rPr>
          <w:rFonts w:ascii="Arial" w:hAnsi="Arial" w:cs="Arial"/>
        </w:rPr>
        <w:t>,</w:t>
      </w:r>
      <w:r>
        <w:rPr>
          <w:rFonts w:ascii="Arial" w:hAnsi="Arial" w:cs="Arial"/>
        </w:rPr>
        <w:t xml:space="preserve"> de los cuales más del 96% son crónicos y menos del 4% agudos. En promedio se captan </w:t>
      </w:r>
      <w:r w:rsidR="00083C3F">
        <w:rPr>
          <w:rFonts w:ascii="Arial" w:hAnsi="Arial" w:cs="Arial"/>
        </w:rPr>
        <w:t xml:space="preserve">aproximadamente </w:t>
      </w:r>
      <w:r>
        <w:rPr>
          <w:rFonts w:ascii="Arial" w:hAnsi="Arial" w:cs="Arial"/>
        </w:rPr>
        <w:t xml:space="preserve">20 casos </w:t>
      </w:r>
      <w:r w:rsidR="00083C3F">
        <w:rPr>
          <w:rFonts w:ascii="Arial" w:hAnsi="Arial" w:cs="Arial"/>
        </w:rPr>
        <w:t>mediante l</w:t>
      </w:r>
      <w:r>
        <w:rPr>
          <w:rFonts w:ascii="Arial" w:hAnsi="Arial" w:cs="Arial"/>
        </w:rPr>
        <w:t xml:space="preserve">as pruebas a donantes de sangre, y unos </w:t>
      </w:r>
      <w:r w:rsidR="00083C3F">
        <w:rPr>
          <w:rFonts w:ascii="Arial" w:hAnsi="Arial" w:cs="Arial"/>
        </w:rPr>
        <w:t>seis</w:t>
      </w:r>
      <w:r>
        <w:rPr>
          <w:rFonts w:ascii="Arial" w:hAnsi="Arial" w:cs="Arial"/>
        </w:rPr>
        <w:t xml:space="preserve"> casos en </w:t>
      </w:r>
      <w:r w:rsidR="00083C3F">
        <w:rPr>
          <w:rFonts w:ascii="Arial" w:hAnsi="Arial" w:cs="Arial"/>
        </w:rPr>
        <w:t xml:space="preserve">los </w:t>
      </w:r>
      <w:r>
        <w:rPr>
          <w:rFonts w:ascii="Arial" w:hAnsi="Arial" w:cs="Arial"/>
        </w:rPr>
        <w:t xml:space="preserve">servicios de salud. Se han realizado encuestas a escolares de la cuales se ha obtenido </w:t>
      </w:r>
      <w:r w:rsidR="00083C3F">
        <w:rPr>
          <w:rFonts w:ascii="Arial" w:hAnsi="Arial" w:cs="Arial"/>
        </w:rPr>
        <w:t xml:space="preserve">una </w:t>
      </w:r>
      <w:r>
        <w:rPr>
          <w:rFonts w:ascii="Arial" w:hAnsi="Arial" w:cs="Arial"/>
        </w:rPr>
        <w:t>prevalencia del 0.3%.</w:t>
      </w:r>
      <w:r w:rsidR="00083C3F">
        <w:rPr>
          <w:rFonts w:ascii="Arial" w:hAnsi="Arial" w:cs="Arial"/>
        </w:rPr>
        <w:t xml:space="preserve"> Gráfico </w:t>
      </w:r>
      <w:r w:rsidR="00472E6D">
        <w:rPr>
          <w:rFonts w:ascii="Arial" w:hAnsi="Arial" w:cs="Arial"/>
        </w:rPr>
        <w:t>2</w:t>
      </w:r>
      <w:r w:rsidR="006D48B5">
        <w:rPr>
          <w:rFonts w:ascii="Arial" w:hAnsi="Arial" w:cs="Arial"/>
        </w:rPr>
        <w:t>2</w:t>
      </w:r>
      <w:r w:rsidR="00083C3F">
        <w:rPr>
          <w:rFonts w:ascii="Arial" w:hAnsi="Arial" w:cs="Arial"/>
        </w:rPr>
        <w:t>.</w:t>
      </w:r>
    </w:p>
    <w:p w:rsidR="00475BBF" w:rsidRDefault="00475BBF" w:rsidP="00475BBF">
      <w:pPr>
        <w:spacing w:line="276" w:lineRule="auto"/>
        <w:rPr>
          <w:rFonts w:ascii="Arial" w:hAnsi="Arial" w:cs="Arial"/>
        </w:rPr>
      </w:pPr>
    </w:p>
    <w:p w:rsidR="00475BBF" w:rsidRPr="00083C3F" w:rsidRDefault="00475BBF" w:rsidP="00475BBF">
      <w:pPr>
        <w:spacing w:line="276" w:lineRule="auto"/>
        <w:jc w:val="center"/>
        <w:rPr>
          <w:rFonts w:ascii="Arial" w:hAnsi="Arial" w:cs="Arial"/>
          <w:b/>
        </w:rPr>
      </w:pPr>
      <w:r w:rsidRPr="00083C3F">
        <w:rPr>
          <w:rFonts w:ascii="Arial" w:hAnsi="Arial" w:cs="Arial"/>
          <w:b/>
        </w:rPr>
        <w:t xml:space="preserve">Gráfico </w:t>
      </w:r>
      <w:r w:rsidR="00472E6D">
        <w:rPr>
          <w:rFonts w:ascii="Arial" w:hAnsi="Arial" w:cs="Arial"/>
          <w:b/>
        </w:rPr>
        <w:t>2</w:t>
      </w:r>
      <w:r w:rsidR="006D48B5">
        <w:rPr>
          <w:rFonts w:ascii="Arial" w:hAnsi="Arial" w:cs="Arial"/>
          <w:b/>
        </w:rPr>
        <w:t>2</w:t>
      </w:r>
    </w:p>
    <w:p w:rsidR="00083C3F" w:rsidRPr="00083C3F" w:rsidRDefault="00475BBF" w:rsidP="00475BBF">
      <w:pPr>
        <w:spacing w:line="276" w:lineRule="auto"/>
        <w:jc w:val="center"/>
        <w:rPr>
          <w:rFonts w:ascii="Arial" w:hAnsi="Arial" w:cs="Arial"/>
          <w:b/>
        </w:rPr>
      </w:pPr>
      <w:r w:rsidRPr="00083C3F">
        <w:rPr>
          <w:rFonts w:ascii="Arial" w:hAnsi="Arial" w:cs="Arial"/>
          <w:b/>
        </w:rPr>
        <w:t xml:space="preserve">Costa Rica: Casos de </w:t>
      </w:r>
      <w:r w:rsidR="00083C3F">
        <w:rPr>
          <w:rFonts w:ascii="Arial" w:hAnsi="Arial" w:cs="Arial"/>
          <w:b/>
        </w:rPr>
        <w:t>e</w:t>
      </w:r>
      <w:r w:rsidRPr="00083C3F">
        <w:rPr>
          <w:rFonts w:ascii="Arial" w:hAnsi="Arial" w:cs="Arial"/>
          <w:b/>
        </w:rPr>
        <w:t xml:space="preserve">nfermedad de Chagas, </w:t>
      </w:r>
    </w:p>
    <w:p w:rsidR="00475BBF" w:rsidRPr="00083C3F" w:rsidRDefault="00475BBF" w:rsidP="00475BBF">
      <w:pPr>
        <w:spacing w:line="276" w:lineRule="auto"/>
        <w:jc w:val="center"/>
        <w:rPr>
          <w:rFonts w:ascii="Arial" w:hAnsi="Arial" w:cs="Arial"/>
          <w:b/>
        </w:rPr>
      </w:pPr>
      <w:r w:rsidRPr="00083C3F">
        <w:rPr>
          <w:rFonts w:ascii="Arial" w:hAnsi="Arial" w:cs="Arial"/>
          <w:b/>
        </w:rPr>
        <w:t xml:space="preserve">según </w:t>
      </w:r>
      <w:r w:rsidR="00083C3F">
        <w:rPr>
          <w:rFonts w:ascii="Arial" w:hAnsi="Arial" w:cs="Arial"/>
          <w:b/>
        </w:rPr>
        <w:t xml:space="preserve">tipo y </w:t>
      </w:r>
      <w:r w:rsidRPr="00083C3F">
        <w:rPr>
          <w:rFonts w:ascii="Arial" w:hAnsi="Arial" w:cs="Arial"/>
          <w:b/>
        </w:rPr>
        <w:t xml:space="preserve">origen diagnóstico, 2015-2018. </w:t>
      </w:r>
    </w:p>
    <w:p w:rsidR="00475BBF" w:rsidRPr="00083C3F" w:rsidRDefault="00475BBF" w:rsidP="00475BBF">
      <w:pPr>
        <w:spacing w:line="276" w:lineRule="auto"/>
        <w:jc w:val="center"/>
        <w:rPr>
          <w:rFonts w:ascii="Arial" w:hAnsi="Arial" w:cs="Arial"/>
          <w:sz w:val="20"/>
          <w:szCs w:val="20"/>
        </w:rPr>
      </w:pPr>
      <w:r w:rsidRPr="00083C3F">
        <w:rPr>
          <w:rFonts w:ascii="Arial" w:hAnsi="Arial" w:cs="Arial"/>
          <w:sz w:val="20"/>
          <w:szCs w:val="20"/>
        </w:rPr>
        <w:t>(números absolutos)</w:t>
      </w:r>
    </w:p>
    <w:p w:rsidR="00475BBF" w:rsidRDefault="00475BBF" w:rsidP="00475BBF">
      <w:pPr>
        <w:jc w:val="center"/>
        <w:rPr>
          <w:rFonts w:ascii="Arial" w:hAnsi="Arial" w:cs="Arial"/>
        </w:rPr>
      </w:pPr>
      <w:r>
        <w:rPr>
          <w:noProof/>
          <w:lang w:val="es-CR" w:eastAsia="es-CR"/>
        </w:rPr>
        <w:drawing>
          <wp:inline distT="0" distB="0" distL="0" distR="0" wp14:anchorId="6EAC8F33" wp14:editId="6CFE82D2">
            <wp:extent cx="5327890" cy="2424022"/>
            <wp:effectExtent l="0" t="0" r="6350" b="14605"/>
            <wp:docPr id="60" name="Gráfico 60">
              <a:extLst xmlns:a="http://schemas.openxmlformats.org/drawingml/2006/main">
                <a:ext uri="{FF2B5EF4-FFF2-40B4-BE49-F238E27FC236}">
                  <a16:creationId xmlns:a16="http://schemas.microsoft.com/office/drawing/2014/main" id="{8FA5CCBB-A684-474A-B04D-C17505E158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475BBF" w:rsidRPr="00B45077" w:rsidRDefault="00475BBF" w:rsidP="00475BBF">
      <w:pPr>
        <w:jc w:val="center"/>
        <w:rPr>
          <w:rFonts w:ascii="Arial" w:hAnsi="Arial" w:cs="Arial"/>
          <w:sz w:val="18"/>
        </w:rPr>
      </w:pPr>
      <w:r w:rsidRPr="00083C3F">
        <w:rPr>
          <w:rFonts w:ascii="Arial" w:hAnsi="Arial" w:cs="Arial"/>
          <w:b/>
          <w:sz w:val="18"/>
        </w:rPr>
        <w:t>Fuente:</w:t>
      </w:r>
      <w:r w:rsidRPr="00B45077">
        <w:rPr>
          <w:rFonts w:ascii="Arial" w:hAnsi="Arial" w:cs="Arial"/>
          <w:sz w:val="18"/>
        </w:rPr>
        <w:t xml:space="preserve"> </w:t>
      </w:r>
      <w:r>
        <w:rPr>
          <w:rFonts w:ascii="Arial" w:hAnsi="Arial" w:cs="Arial"/>
          <w:sz w:val="18"/>
        </w:rPr>
        <w:t>Instituto Costarricense de Investigación y Enseñanaza en Nutrición y Salud (INCIENSA)</w:t>
      </w:r>
      <w:r w:rsidR="00083C3F">
        <w:rPr>
          <w:rFonts w:ascii="Arial" w:hAnsi="Arial" w:cs="Arial"/>
          <w:sz w:val="18"/>
        </w:rPr>
        <w:t>, 2019.</w:t>
      </w:r>
    </w:p>
    <w:p w:rsidR="00475BBF" w:rsidRDefault="00475BBF" w:rsidP="00475BBF">
      <w:pPr>
        <w:rPr>
          <w:rFonts w:ascii="Arial" w:hAnsi="Arial" w:cs="Arial"/>
        </w:rPr>
      </w:pPr>
    </w:p>
    <w:p w:rsidR="00475BBF" w:rsidRDefault="00475BBF" w:rsidP="00475BBF">
      <w:pPr>
        <w:rPr>
          <w:rFonts w:ascii="Arial" w:hAnsi="Arial" w:cs="Arial"/>
        </w:rPr>
      </w:pPr>
    </w:p>
    <w:p w:rsidR="00083C3F" w:rsidRDefault="00083C3F">
      <w:pPr>
        <w:spacing w:after="160" w:line="259" w:lineRule="auto"/>
        <w:rPr>
          <w:rFonts w:ascii="Arial" w:hAnsi="Arial" w:cs="Arial"/>
        </w:rPr>
      </w:pPr>
      <w:r>
        <w:rPr>
          <w:rFonts w:ascii="Arial" w:hAnsi="Arial" w:cs="Arial"/>
        </w:rPr>
        <w:br w:type="page"/>
      </w:r>
    </w:p>
    <w:p w:rsidR="00475BBF" w:rsidRPr="00B45077" w:rsidRDefault="00475BBF" w:rsidP="00475BBF">
      <w:pPr>
        <w:jc w:val="center"/>
        <w:rPr>
          <w:rFonts w:ascii="Arial" w:hAnsi="Arial" w:cs="Arial"/>
          <w:sz w:val="18"/>
        </w:rPr>
      </w:pPr>
    </w:p>
    <w:p w:rsidR="00475BBF" w:rsidRPr="006D48B5" w:rsidRDefault="00475BBF" w:rsidP="006D48B5">
      <w:pPr>
        <w:pStyle w:val="Ttulo3"/>
        <w:rPr>
          <w:rFonts w:ascii="Arial" w:hAnsi="Arial" w:cs="Arial"/>
          <w:b/>
          <w:color w:val="auto"/>
        </w:rPr>
      </w:pPr>
      <w:bookmarkStart w:id="50" w:name="_Toc7439672"/>
      <w:r w:rsidRPr="006D48B5">
        <w:rPr>
          <w:rFonts w:ascii="Arial" w:hAnsi="Arial" w:cs="Arial"/>
          <w:b/>
          <w:color w:val="auto"/>
        </w:rPr>
        <w:t>Leishmaniasis</w:t>
      </w:r>
      <w:bookmarkEnd w:id="50"/>
    </w:p>
    <w:p w:rsidR="00475BBF" w:rsidRDefault="00475BBF" w:rsidP="00475BBF">
      <w:pPr>
        <w:spacing w:line="276" w:lineRule="auto"/>
        <w:jc w:val="both"/>
        <w:rPr>
          <w:rFonts w:ascii="Arial" w:hAnsi="Arial" w:cs="Arial"/>
          <w:b/>
        </w:rPr>
      </w:pPr>
    </w:p>
    <w:p w:rsidR="00475BBF" w:rsidRDefault="00475BBF" w:rsidP="00475BBF">
      <w:pPr>
        <w:spacing w:line="276" w:lineRule="auto"/>
        <w:jc w:val="both"/>
        <w:rPr>
          <w:rFonts w:ascii="Arial" w:hAnsi="Arial" w:cs="Arial"/>
        </w:rPr>
      </w:pPr>
      <w:r>
        <w:rPr>
          <w:rFonts w:ascii="Arial" w:hAnsi="Arial" w:cs="Arial"/>
        </w:rPr>
        <w:t>E</w:t>
      </w:r>
      <w:r w:rsidRPr="009653B1">
        <w:rPr>
          <w:rFonts w:ascii="Arial" w:hAnsi="Arial" w:cs="Arial"/>
        </w:rPr>
        <w:t>s una enfermedad transmitida por vectores</w:t>
      </w:r>
      <w:r>
        <w:rPr>
          <w:rFonts w:ascii="Arial" w:hAnsi="Arial" w:cs="Arial"/>
        </w:rPr>
        <w:t xml:space="preserve"> </w:t>
      </w:r>
      <w:r w:rsidR="0079259B">
        <w:rPr>
          <w:rFonts w:ascii="Arial" w:hAnsi="Arial" w:cs="Arial"/>
        </w:rPr>
        <w:t xml:space="preserve">como el mosquito del género </w:t>
      </w:r>
      <w:r w:rsidR="0079259B" w:rsidRPr="0079259B">
        <w:rPr>
          <w:rFonts w:ascii="Arial" w:hAnsi="Arial" w:cs="Arial"/>
          <w:i/>
        </w:rPr>
        <w:t>Lutzomyia</w:t>
      </w:r>
      <w:r w:rsidR="0079259B">
        <w:rPr>
          <w:rFonts w:ascii="Arial" w:hAnsi="Arial" w:cs="Arial"/>
        </w:rPr>
        <w:t xml:space="preserve"> (Aliblanco) </w:t>
      </w:r>
      <w:r w:rsidR="00983213">
        <w:rPr>
          <w:rFonts w:ascii="Arial" w:hAnsi="Arial" w:cs="Arial"/>
        </w:rPr>
        <w:t>y</w:t>
      </w:r>
      <w:r w:rsidR="00083C3F">
        <w:rPr>
          <w:rFonts w:ascii="Arial" w:hAnsi="Arial" w:cs="Arial"/>
        </w:rPr>
        <w:t xml:space="preserve"> reservorios</w:t>
      </w:r>
      <w:r w:rsidR="0079259B">
        <w:rPr>
          <w:rFonts w:ascii="Arial" w:hAnsi="Arial" w:cs="Arial"/>
        </w:rPr>
        <w:t xml:space="preserve"> (oso perezoso y otros mamíferos)</w:t>
      </w:r>
      <w:r w:rsidR="00083C3F">
        <w:rPr>
          <w:rFonts w:ascii="Arial" w:hAnsi="Arial" w:cs="Arial"/>
        </w:rPr>
        <w:t xml:space="preserve"> </w:t>
      </w:r>
      <w:r w:rsidR="0079259B">
        <w:rPr>
          <w:rFonts w:ascii="Arial" w:hAnsi="Arial" w:cs="Arial"/>
        </w:rPr>
        <w:t xml:space="preserve">y </w:t>
      </w:r>
      <w:r>
        <w:rPr>
          <w:rFonts w:ascii="Arial" w:hAnsi="Arial" w:cs="Arial"/>
        </w:rPr>
        <w:t>causada por el protozo</w:t>
      </w:r>
      <w:r w:rsidR="00083C3F">
        <w:rPr>
          <w:rFonts w:ascii="Arial" w:hAnsi="Arial" w:cs="Arial"/>
        </w:rPr>
        <w:t>ario</w:t>
      </w:r>
      <w:r>
        <w:rPr>
          <w:rFonts w:ascii="Arial" w:hAnsi="Arial" w:cs="Arial"/>
        </w:rPr>
        <w:t xml:space="preserve"> </w:t>
      </w:r>
      <w:r w:rsidRPr="009653B1">
        <w:rPr>
          <w:rFonts w:ascii="Arial" w:hAnsi="Arial" w:cs="Arial"/>
          <w:i/>
        </w:rPr>
        <w:t>Leishmania</w:t>
      </w:r>
      <w:r w:rsidR="00083C3F">
        <w:rPr>
          <w:rFonts w:ascii="Arial" w:hAnsi="Arial" w:cs="Arial"/>
          <w:i/>
        </w:rPr>
        <w:t>.</w:t>
      </w:r>
      <w:r w:rsidRPr="009653B1">
        <w:rPr>
          <w:rFonts w:ascii="Arial" w:hAnsi="Arial" w:cs="Arial"/>
        </w:rPr>
        <w:t xml:space="preserve"> </w:t>
      </w:r>
      <w:r>
        <w:rPr>
          <w:rFonts w:ascii="Arial" w:hAnsi="Arial" w:cs="Arial"/>
        </w:rPr>
        <w:t>En Costa Rica</w:t>
      </w:r>
      <w:r w:rsidR="00983213">
        <w:rPr>
          <w:rFonts w:ascii="Arial" w:hAnsi="Arial" w:cs="Arial"/>
        </w:rPr>
        <w:t>,</w:t>
      </w:r>
      <w:r>
        <w:rPr>
          <w:rFonts w:ascii="Arial" w:hAnsi="Arial" w:cs="Arial"/>
        </w:rPr>
        <w:t xml:space="preserve"> la leishmaniasis cutánea constituye una afección crónica y endémica que se extiende a casi todas las zonas boscosas del país, </w:t>
      </w:r>
      <w:r w:rsidR="00983213">
        <w:rPr>
          <w:rFonts w:ascii="Arial" w:hAnsi="Arial" w:cs="Arial"/>
        </w:rPr>
        <w:t>con</w:t>
      </w:r>
      <w:r>
        <w:rPr>
          <w:rFonts w:ascii="Arial" w:hAnsi="Arial" w:cs="Arial"/>
        </w:rPr>
        <w:t xml:space="preserve"> una alta morbilidad debido a las alteraciones ecológicas </w:t>
      </w:r>
      <w:r w:rsidR="00983213">
        <w:rPr>
          <w:rFonts w:ascii="Arial" w:hAnsi="Arial" w:cs="Arial"/>
        </w:rPr>
        <w:t xml:space="preserve">causadas por la </w:t>
      </w:r>
      <w:r>
        <w:rPr>
          <w:rFonts w:ascii="Arial" w:hAnsi="Arial" w:cs="Arial"/>
        </w:rPr>
        <w:t>explotación forestal y minera.</w:t>
      </w:r>
    </w:p>
    <w:p w:rsidR="00983213" w:rsidRDefault="00983213" w:rsidP="00475BBF">
      <w:pPr>
        <w:spacing w:line="276" w:lineRule="auto"/>
        <w:jc w:val="both"/>
        <w:rPr>
          <w:rFonts w:ascii="Arial" w:hAnsi="Arial" w:cs="Arial"/>
        </w:rPr>
      </w:pPr>
    </w:p>
    <w:p w:rsidR="00475BBF" w:rsidRDefault="00475BBF" w:rsidP="00475BBF">
      <w:pPr>
        <w:spacing w:line="276" w:lineRule="auto"/>
        <w:jc w:val="both"/>
        <w:rPr>
          <w:rFonts w:ascii="Arial" w:hAnsi="Arial" w:cs="Arial"/>
        </w:rPr>
      </w:pPr>
      <w:r>
        <w:rPr>
          <w:rFonts w:ascii="Arial" w:hAnsi="Arial" w:cs="Arial"/>
        </w:rPr>
        <w:t xml:space="preserve">El cuadro clínico de la leishmaniasis depende de la especie de </w:t>
      </w:r>
      <w:r w:rsidRPr="00BA0662">
        <w:rPr>
          <w:rFonts w:ascii="Arial" w:hAnsi="Arial" w:cs="Arial"/>
          <w:i/>
        </w:rPr>
        <w:t>Leishmania</w:t>
      </w:r>
      <w:r>
        <w:rPr>
          <w:rFonts w:ascii="Arial" w:hAnsi="Arial" w:cs="Arial"/>
        </w:rPr>
        <w:t xml:space="preserve"> infectante, la edad, el estado nutricional, así como la respuesta inmunitaria de cada individuo infectado. Las manifestaciones clínicas que se presentan son: cutáneas</w:t>
      </w:r>
      <w:r w:rsidR="00983213">
        <w:rPr>
          <w:rFonts w:ascii="Arial" w:hAnsi="Arial" w:cs="Arial"/>
        </w:rPr>
        <w:t xml:space="preserve"> (papalomoyo)</w:t>
      </w:r>
      <w:r>
        <w:rPr>
          <w:rFonts w:ascii="Arial" w:hAnsi="Arial" w:cs="Arial"/>
        </w:rPr>
        <w:t xml:space="preserve">, mucosa/mucocutánea y visceral que </w:t>
      </w:r>
      <w:r w:rsidRPr="00C8177B">
        <w:rPr>
          <w:rFonts w:ascii="Arial" w:hAnsi="Arial" w:cs="Arial"/>
        </w:rPr>
        <w:t>es la forma clínica más grave de la leishmaniasis debido a las frecuentes</w:t>
      </w:r>
      <w:r>
        <w:rPr>
          <w:rFonts w:ascii="Arial" w:hAnsi="Arial" w:cs="Arial"/>
        </w:rPr>
        <w:t xml:space="preserve"> </w:t>
      </w:r>
      <w:r w:rsidRPr="00C8177B">
        <w:rPr>
          <w:rFonts w:ascii="Arial" w:hAnsi="Arial" w:cs="Arial"/>
        </w:rPr>
        <w:t>complicaciones y al potencial de progresar hacia la muerte, si no se trata.</w:t>
      </w:r>
      <w:r>
        <w:rPr>
          <w:rFonts w:ascii="Arial" w:hAnsi="Arial" w:cs="Arial"/>
        </w:rPr>
        <w:t xml:space="preserve"> En Costa Rica el 100% de los casos son leishmaniasis cutáneas.</w:t>
      </w:r>
    </w:p>
    <w:p w:rsidR="00475BBF" w:rsidRDefault="00475BBF" w:rsidP="00475BBF">
      <w:pPr>
        <w:spacing w:line="276" w:lineRule="auto"/>
        <w:jc w:val="both"/>
        <w:rPr>
          <w:rFonts w:ascii="Arial" w:hAnsi="Arial" w:cs="Arial"/>
        </w:rPr>
      </w:pPr>
    </w:p>
    <w:p w:rsidR="00475BBF" w:rsidRDefault="00475BBF" w:rsidP="00475BBF">
      <w:pPr>
        <w:spacing w:line="276" w:lineRule="auto"/>
        <w:jc w:val="both"/>
        <w:rPr>
          <w:rFonts w:ascii="Arial" w:hAnsi="Arial" w:cs="Arial"/>
        </w:rPr>
      </w:pPr>
      <w:r>
        <w:rPr>
          <w:rFonts w:ascii="Arial" w:hAnsi="Arial" w:cs="Arial"/>
        </w:rPr>
        <w:t>En Costa Rica</w:t>
      </w:r>
      <w:r w:rsidR="00983213">
        <w:rPr>
          <w:rFonts w:ascii="Arial" w:hAnsi="Arial" w:cs="Arial"/>
        </w:rPr>
        <w:t>,</w:t>
      </w:r>
      <w:r>
        <w:rPr>
          <w:rFonts w:ascii="Arial" w:hAnsi="Arial" w:cs="Arial"/>
        </w:rPr>
        <w:t xml:space="preserve"> en promedio se presentan 1</w:t>
      </w:r>
      <w:r w:rsidR="00983213">
        <w:rPr>
          <w:rFonts w:ascii="Arial" w:hAnsi="Arial" w:cs="Arial"/>
        </w:rPr>
        <w:t>.</w:t>
      </w:r>
      <w:r>
        <w:rPr>
          <w:rFonts w:ascii="Arial" w:hAnsi="Arial" w:cs="Arial"/>
        </w:rPr>
        <w:t>686 casos de leishmaniasis con una tasa de 34</w:t>
      </w:r>
      <w:r w:rsidR="00983213">
        <w:rPr>
          <w:rFonts w:ascii="Arial" w:hAnsi="Arial" w:cs="Arial"/>
        </w:rPr>
        <w:t>,</w:t>
      </w:r>
      <w:r>
        <w:rPr>
          <w:rFonts w:ascii="Arial" w:hAnsi="Arial" w:cs="Arial"/>
        </w:rPr>
        <w:t>9 por 100.000 habitantes</w:t>
      </w:r>
      <w:r w:rsidR="00983213">
        <w:rPr>
          <w:rFonts w:ascii="Arial" w:hAnsi="Arial" w:cs="Arial"/>
        </w:rPr>
        <w:t>.</w:t>
      </w:r>
      <w:r>
        <w:rPr>
          <w:rFonts w:ascii="Arial" w:hAnsi="Arial" w:cs="Arial"/>
        </w:rPr>
        <w:t xml:space="preserve"> </w:t>
      </w:r>
      <w:r w:rsidR="00983213">
        <w:rPr>
          <w:rFonts w:ascii="Arial" w:hAnsi="Arial" w:cs="Arial"/>
        </w:rPr>
        <w:t xml:space="preserve">Durante </w:t>
      </w:r>
      <w:r>
        <w:rPr>
          <w:rFonts w:ascii="Arial" w:hAnsi="Arial" w:cs="Arial"/>
        </w:rPr>
        <w:t xml:space="preserve">el 2017 </w:t>
      </w:r>
      <w:r w:rsidR="00983213">
        <w:rPr>
          <w:rFonts w:ascii="Arial" w:hAnsi="Arial" w:cs="Arial"/>
        </w:rPr>
        <w:t>se</w:t>
      </w:r>
      <w:r>
        <w:rPr>
          <w:rFonts w:ascii="Arial" w:hAnsi="Arial" w:cs="Arial"/>
        </w:rPr>
        <w:t xml:space="preserve"> presentó un aumento significativo con 2</w:t>
      </w:r>
      <w:r w:rsidR="00983213">
        <w:rPr>
          <w:rFonts w:ascii="Arial" w:hAnsi="Arial" w:cs="Arial"/>
        </w:rPr>
        <w:t>.</w:t>
      </w:r>
      <w:r>
        <w:rPr>
          <w:rFonts w:ascii="Arial" w:hAnsi="Arial" w:cs="Arial"/>
        </w:rPr>
        <w:t>224 casos (tasa 44,95 por 100.000 habitantes).</w:t>
      </w:r>
    </w:p>
    <w:p w:rsidR="00475BBF" w:rsidRDefault="00475BBF" w:rsidP="00475BBF">
      <w:pPr>
        <w:spacing w:line="360" w:lineRule="auto"/>
        <w:jc w:val="both"/>
        <w:rPr>
          <w:rFonts w:ascii="Arial" w:hAnsi="Arial" w:cs="Arial"/>
        </w:rPr>
      </w:pPr>
    </w:p>
    <w:p w:rsidR="00475BBF" w:rsidRPr="00983213" w:rsidRDefault="00475BBF" w:rsidP="00475BBF">
      <w:pPr>
        <w:spacing w:line="360" w:lineRule="auto"/>
        <w:jc w:val="center"/>
        <w:rPr>
          <w:rFonts w:ascii="Arial" w:hAnsi="Arial" w:cs="Arial"/>
          <w:b/>
        </w:rPr>
      </w:pPr>
      <w:r w:rsidRPr="00983213">
        <w:rPr>
          <w:rFonts w:ascii="Arial" w:hAnsi="Arial" w:cs="Arial"/>
          <w:b/>
        </w:rPr>
        <w:t xml:space="preserve">Gráfico </w:t>
      </w:r>
      <w:r w:rsidR="00983213" w:rsidRPr="00983213">
        <w:rPr>
          <w:rFonts w:ascii="Arial" w:hAnsi="Arial" w:cs="Arial"/>
          <w:b/>
        </w:rPr>
        <w:t>2</w:t>
      </w:r>
      <w:r w:rsidR="006D48B5">
        <w:rPr>
          <w:rFonts w:ascii="Arial" w:hAnsi="Arial" w:cs="Arial"/>
          <w:b/>
        </w:rPr>
        <w:t>3</w:t>
      </w:r>
      <w:r w:rsidRPr="00983213">
        <w:rPr>
          <w:rFonts w:ascii="Arial" w:hAnsi="Arial" w:cs="Arial"/>
          <w:b/>
        </w:rPr>
        <w:t xml:space="preserve"> </w:t>
      </w:r>
    </w:p>
    <w:p w:rsidR="00475BBF" w:rsidRPr="00983213" w:rsidRDefault="00475BBF" w:rsidP="00475BBF">
      <w:pPr>
        <w:spacing w:line="360" w:lineRule="auto"/>
        <w:jc w:val="center"/>
        <w:rPr>
          <w:rFonts w:ascii="Arial" w:hAnsi="Arial" w:cs="Arial"/>
          <w:b/>
        </w:rPr>
      </w:pPr>
      <w:r w:rsidRPr="00983213">
        <w:rPr>
          <w:rFonts w:ascii="Arial" w:hAnsi="Arial" w:cs="Arial"/>
          <w:b/>
        </w:rPr>
        <w:t>Costa Rica</w:t>
      </w:r>
      <w:r w:rsidR="00983213" w:rsidRPr="00983213">
        <w:rPr>
          <w:rFonts w:ascii="Arial" w:hAnsi="Arial" w:cs="Arial"/>
          <w:b/>
        </w:rPr>
        <w:t>:</w:t>
      </w:r>
      <w:r w:rsidRPr="00983213">
        <w:rPr>
          <w:rFonts w:ascii="Arial" w:hAnsi="Arial" w:cs="Arial"/>
          <w:b/>
        </w:rPr>
        <w:t xml:space="preserve"> </w:t>
      </w:r>
      <w:r w:rsidR="00983213" w:rsidRPr="00983213">
        <w:rPr>
          <w:rFonts w:ascii="Arial" w:hAnsi="Arial" w:cs="Arial"/>
          <w:b/>
        </w:rPr>
        <w:t xml:space="preserve">Número de </w:t>
      </w:r>
      <w:r w:rsidRPr="00983213">
        <w:rPr>
          <w:rFonts w:ascii="Arial" w:hAnsi="Arial" w:cs="Arial"/>
          <w:b/>
        </w:rPr>
        <w:t>casos notificados de leishmaniasis, 2013-2017.</w:t>
      </w:r>
    </w:p>
    <w:p w:rsidR="00475BBF" w:rsidRPr="00983213" w:rsidRDefault="00475BBF" w:rsidP="00475BBF">
      <w:pPr>
        <w:spacing w:line="360" w:lineRule="auto"/>
        <w:jc w:val="both"/>
        <w:rPr>
          <w:rFonts w:ascii="Arial" w:hAnsi="Arial" w:cs="Arial"/>
          <w:b/>
        </w:rPr>
      </w:pPr>
    </w:p>
    <w:p w:rsidR="00475BBF" w:rsidRDefault="00475BBF" w:rsidP="00475BBF">
      <w:pPr>
        <w:spacing w:line="360" w:lineRule="auto"/>
        <w:jc w:val="center"/>
        <w:rPr>
          <w:rFonts w:ascii="Arial" w:hAnsi="Arial" w:cs="Arial"/>
        </w:rPr>
      </w:pPr>
      <w:r>
        <w:rPr>
          <w:noProof/>
          <w:lang w:val="es-CR" w:eastAsia="es-CR"/>
        </w:rPr>
        <w:drawing>
          <wp:inline distT="0" distB="0" distL="0" distR="0" wp14:anchorId="18A8C1A1" wp14:editId="1D18FD2E">
            <wp:extent cx="4953000" cy="2743200"/>
            <wp:effectExtent l="0" t="0" r="0" b="0"/>
            <wp:docPr id="80" name="Gráfico 80">
              <a:extLst xmlns:a="http://schemas.openxmlformats.org/drawingml/2006/main">
                <a:ext uri="{FF2B5EF4-FFF2-40B4-BE49-F238E27FC236}">
                  <a16:creationId xmlns:a16="http://schemas.microsoft.com/office/drawing/2014/main" id="{CF0CB3E3-C3A5-421A-B842-660E273BA3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475BBF" w:rsidRDefault="00475BBF" w:rsidP="00983213">
      <w:pPr>
        <w:spacing w:line="360" w:lineRule="auto"/>
        <w:jc w:val="right"/>
        <w:rPr>
          <w:rFonts w:ascii="Arial" w:hAnsi="Arial" w:cs="Arial"/>
        </w:rPr>
      </w:pPr>
      <w:r w:rsidRPr="00983213">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Dirección de Vigilancia de la Salud. Ministerio de Salud</w:t>
      </w:r>
      <w:r w:rsidR="00983213">
        <w:rPr>
          <w:rFonts w:ascii="Arial" w:hAnsi="Arial" w:cs="Arial"/>
          <w:sz w:val="20"/>
          <w:szCs w:val="20"/>
          <w:lang w:val="es-MX"/>
        </w:rPr>
        <w:t>, 2019.</w:t>
      </w:r>
    </w:p>
    <w:p w:rsidR="00475BBF" w:rsidRDefault="00475BBF" w:rsidP="00475BBF">
      <w:pPr>
        <w:spacing w:line="360" w:lineRule="auto"/>
        <w:jc w:val="both"/>
        <w:rPr>
          <w:rFonts w:ascii="Arial" w:hAnsi="Arial" w:cs="Arial"/>
        </w:rPr>
      </w:pPr>
    </w:p>
    <w:p w:rsidR="00475BBF" w:rsidRDefault="00475BBF" w:rsidP="00475BBF">
      <w:pPr>
        <w:spacing w:line="276" w:lineRule="auto"/>
        <w:jc w:val="both"/>
        <w:rPr>
          <w:rFonts w:ascii="Arial" w:hAnsi="Arial" w:cs="Arial"/>
        </w:rPr>
      </w:pPr>
      <w:r>
        <w:rPr>
          <w:rFonts w:ascii="Arial" w:hAnsi="Arial" w:cs="Arial"/>
        </w:rPr>
        <w:t xml:space="preserve">La provincia que presenta mayor número de casos es Limón con un promedio de 680 por año, </w:t>
      </w:r>
      <w:r w:rsidR="0079259B">
        <w:rPr>
          <w:rFonts w:ascii="Arial" w:hAnsi="Arial" w:cs="Arial"/>
        </w:rPr>
        <w:t>especialmente en el</w:t>
      </w:r>
      <w:r>
        <w:rPr>
          <w:rFonts w:ascii="Arial" w:hAnsi="Arial" w:cs="Arial"/>
        </w:rPr>
        <w:t xml:space="preserve"> cantón de Talamanca</w:t>
      </w:r>
      <w:r w:rsidR="0079259B">
        <w:rPr>
          <w:rFonts w:ascii="Arial" w:hAnsi="Arial" w:cs="Arial"/>
        </w:rPr>
        <w:t xml:space="preserve">. </w:t>
      </w:r>
      <w:r>
        <w:rPr>
          <w:rFonts w:ascii="Arial" w:hAnsi="Arial" w:cs="Arial"/>
        </w:rPr>
        <w:t>La provincia de Guanacaste es la de menor incidencia con un promedio de 12 casos</w:t>
      </w:r>
      <w:r w:rsidR="0079259B">
        <w:rPr>
          <w:rFonts w:ascii="Arial" w:hAnsi="Arial" w:cs="Arial"/>
        </w:rPr>
        <w:t xml:space="preserve"> anuales</w:t>
      </w:r>
      <w:r>
        <w:rPr>
          <w:rFonts w:ascii="Arial" w:hAnsi="Arial" w:cs="Arial"/>
        </w:rPr>
        <w:t xml:space="preserve">. </w:t>
      </w:r>
    </w:p>
    <w:p w:rsidR="00475BBF" w:rsidRDefault="00475BBF" w:rsidP="00475BBF">
      <w:pPr>
        <w:spacing w:line="360" w:lineRule="auto"/>
        <w:jc w:val="both"/>
        <w:rPr>
          <w:rFonts w:ascii="Arial" w:hAnsi="Arial" w:cs="Arial"/>
        </w:rPr>
      </w:pPr>
    </w:p>
    <w:p w:rsidR="0079259B" w:rsidRPr="0079259B" w:rsidRDefault="00475BBF" w:rsidP="0079259B">
      <w:pPr>
        <w:jc w:val="center"/>
        <w:rPr>
          <w:rFonts w:ascii="Arial" w:hAnsi="Arial" w:cs="Arial"/>
          <w:b/>
        </w:rPr>
      </w:pPr>
      <w:r w:rsidRPr="0079259B">
        <w:rPr>
          <w:rFonts w:ascii="Arial" w:hAnsi="Arial" w:cs="Arial"/>
          <w:b/>
        </w:rPr>
        <w:t xml:space="preserve">Gráfico </w:t>
      </w:r>
      <w:r w:rsidR="0079259B" w:rsidRPr="0079259B">
        <w:rPr>
          <w:rFonts w:ascii="Arial" w:hAnsi="Arial" w:cs="Arial"/>
          <w:b/>
        </w:rPr>
        <w:t>2</w:t>
      </w:r>
      <w:r w:rsidR="006D48B5">
        <w:rPr>
          <w:rFonts w:ascii="Arial" w:hAnsi="Arial" w:cs="Arial"/>
          <w:b/>
        </w:rPr>
        <w:t>4</w:t>
      </w:r>
    </w:p>
    <w:p w:rsidR="0079259B" w:rsidRPr="0079259B" w:rsidRDefault="00475BBF" w:rsidP="0079259B">
      <w:pPr>
        <w:jc w:val="center"/>
        <w:rPr>
          <w:rFonts w:ascii="Arial" w:hAnsi="Arial" w:cs="Arial"/>
          <w:b/>
        </w:rPr>
      </w:pPr>
      <w:r w:rsidRPr="0079259B">
        <w:rPr>
          <w:rFonts w:ascii="Arial" w:hAnsi="Arial" w:cs="Arial"/>
          <w:b/>
        </w:rPr>
        <w:t>Costa Rica</w:t>
      </w:r>
      <w:r w:rsidR="0079259B" w:rsidRPr="0079259B">
        <w:rPr>
          <w:rFonts w:ascii="Arial" w:hAnsi="Arial" w:cs="Arial"/>
          <w:b/>
        </w:rPr>
        <w:t>:</w:t>
      </w:r>
      <w:r w:rsidRPr="0079259B">
        <w:rPr>
          <w:rFonts w:ascii="Arial" w:hAnsi="Arial" w:cs="Arial"/>
          <w:b/>
        </w:rPr>
        <w:t xml:space="preserve"> </w:t>
      </w:r>
      <w:r w:rsidR="0079259B" w:rsidRPr="0079259B">
        <w:rPr>
          <w:rFonts w:ascii="Arial" w:hAnsi="Arial" w:cs="Arial"/>
          <w:b/>
        </w:rPr>
        <w:t xml:space="preserve">Número de </w:t>
      </w:r>
      <w:r w:rsidRPr="0079259B">
        <w:rPr>
          <w:rFonts w:ascii="Arial" w:hAnsi="Arial" w:cs="Arial"/>
          <w:b/>
        </w:rPr>
        <w:t>cas</w:t>
      </w:r>
      <w:r w:rsidR="0079259B" w:rsidRPr="0079259B">
        <w:rPr>
          <w:rFonts w:ascii="Arial" w:hAnsi="Arial" w:cs="Arial"/>
          <w:b/>
        </w:rPr>
        <w:t xml:space="preserve">os notificados de Leishmaniasis, </w:t>
      </w:r>
    </w:p>
    <w:p w:rsidR="00475BBF" w:rsidRPr="0079259B" w:rsidRDefault="0079259B" w:rsidP="0079259B">
      <w:pPr>
        <w:jc w:val="center"/>
        <w:rPr>
          <w:rFonts w:ascii="Arial" w:hAnsi="Arial" w:cs="Arial"/>
          <w:b/>
        </w:rPr>
      </w:pPr>
      <w:r w:rsidRPr="0079259B">
        <w:rPr>
          <w:rFonts w:ascii="Arial" w:hAnsi="Arial" w:cs="Arial"/>
          <w:b/>
        </w:rPr>
        <w:t xml:space="preserve">según </w:t>
      </w:r>
      <w:r w:rsidR="00475BBF" w:rsidRPr="0079259B">
        <w:rPr>
          <w:rFonts w:ascii="Arial" w:hAnsi="Arial" w:cs="Arial"/>
          <w:b/>
        </w:rPr>
        <w:t>provincia, 2013-2017.</w:t>
      </w:r>
    </w:p>
    <w:p w:rsidR="00475BBF" w:rsidRDefault="00475BBF" w:rsidP="00475BBF">
      <w:pPr>
        <w:spacing w:line="360" w:lineRule="auto"/>
        <w:jc w:val="center"/>
        <w:rPr>
          <w:rFonts w:ascii="Arial" w:hAnsi="Arial" w:cs="Arial"/>
        </w:rPr>
      </w:pPr>
      <w:r>
        <w:rPr>
          <w:noProof/>
          <w:lang w:val="es-CR" w:eastAsia="es-CR"/>
        </w:rPr>
        <w:drawing>
          <wp:inline distT="0" distB="0" distL="0" distR="0" wp14:anchorId="62B59052" wp14:editId="6A6E85FC">
            <wp:extent cx="5511800" cy="2553419"/>
            <wp:effectExtent l="0" t="0" r="12700" b="18415"/>
            <wp:docPr id="81" name="Gráfico 81">
              <a:extLst xmlns:a="http://schemas.openxmlformats.org/drawingml/2006/main">
                <a:ext uri="{FF2B5EF4-FFF2-40B4-BE49-F238E27FC236}">
                  <a16:creationId xmlns:a16="http://schemas.microsoft.com/office/drawing/2014/main" id="{03CD42CD-EE9C-472C-A14B-D9580F5E11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475BBF" w:rsidRDefault="00475BBF" w:rsidP="0079259B">
      <w:pPr>
        <w:spacing w:line="360" w:lineRule="auto"/>
        <w:jc w:val="right"/>
        <w:rPr>
          <w:rFonts w:ascii="Arial" w:hAnsi="Arial" w:cs="Arial"/>
        </w:rPr>
      </w:pPr>
      <w:r w:rsidRPr="0079259B">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Dirección de Vigilancia de la Salud. Ministerio de Salud</w:t>
      </w:r>
      <w:r w:rsidR="00472E6D">
        <w:rPr>
          <w:rFonts w:ascii="Arial" w:hAnsi="Arial" w:cs="Arial"/>
          <w:sz w:val="20"/>
          <w:szCs w:val="20"/>
          <w:lang w:val="es-MX"/>
        </w:rPr>
        <w:t>, 2019.</w:t>
      </w:r>
    </w:p>
    <w:p w:rsidR="00475BBF" w:rsidRDefault="00475BBF" w:rsidP="00475BBF">
      <w:pPr>
        <w:spacing w:line="360" w:lineRule="auto"/>
        <w:jc w:val="both"/>
        <w:rPr>
          <w:rFonts w:ascii="Arial" w:hAnsi="Arial" w:cs="Arial"/>
          <w:sz w:val="18"/>
        </w:rPr>
      </w:pPr>
    </w:p>
    <w:p w:rsidR="00475BBF" w:rsidRPr="00D72BC3" w:rsidRDefault="0079259B" w:rsidP="00475BBF">
      <w:pPr>
        <w:spacing w:line="276" w:lineRule="auto"/>
        <w:jc w:val="both"/>
        <w:rPr>
          <w:rFonts w:ascii="Arial" w:hAnsi="Arial" w:cs="Arial"/>
        </w:rPr>
      </w:pPr>
      <w:r>
        <w:rPr>
          <w:rFonts w:ascii="Arial" w:hAnsi="Arial" w:cs="Arial"/>
        </w:rPr>
        <w:t xml:space="preserve">No existe diferencia </w:t>
      </w:r>
      <w:r w:rsidR="00475BBF">
        <w:rPr>
          <w:rFonts w:ascii="Arial" w:hAnsi="Arial" w:cs="Arial"/>
        </w:rPr>
        <w:t xml:space="preserve">marcada </w:t>
      </w:r>
      <w:r>
        <w:rPr>
          <w:rFonts w:ascii="Arial" w:hAnsi="Arial" w:cs="Arial"/>
        </w:rPr>
        <w:t>entre hombres y mujeres,</w:t>
      </w:r>
      <w:r w:rsidR="00475BBF">
        <w:rPr>
          <w:rFonts w:ascii="Arial" w:hAnsi="Arial" w:cs="Arial"/>
        </w:rPr>
        <w:t xml:space="preserve"> ya que el 48% de los casos correspond</w:t>
      </w:r>
      <w:r>
        <w:rPr>
          <w:rFonts w:ascii="Arial" w:hAnsi="Arial" w:cs="Arial"/>
        </w:rPr>
        <w:t xml:space="preserve">ieron al </w:t>
      </w:r>
      <w:r w:rsidR="00475BBF">
        <w:rPr>
          <w:rFonts w:ascii="Arial" w:hAnsi="Arial" w:cs="Arial"/>
        </w:rPr>
        <w:t>sexo femenino y el 52% al masculino. El grupo de edad mayormente afectado es el de 1 a 4 años seguido del de 5 a 9 años.</w:t>
      </w:r>
    </w:p>
    <w:p w:rsidR="00475BBF" w:rsidRDefault="00475BBF" w:rsidP="00475BBF">
      <w:pPr>
        <w:spacing w:line="360" w:lineRule="auto"/>
        <w:jc w:val="both"/>
        <w:rPr>
          <w:rFonts w:ascii="Arial" w:hAnsi="Arial" w:cs="Arial"/>
          <w:lang w:val="es-MX"/>
        </w:rPr>
      </w:pPr>
    </w:p>
    <w:p w:rsidR="00475BBF" w:rsidRPr="006D48B5" w:rsidRDefault="00B00BF2" w:rsidP="006D48B5">
      <w:pPr>
        <w:pStyle w:val="Ttulo3"/>
        <w:rPr>
          <w:rFonts w:ascii="Arial" w:hAnsi="Arial" w:cs="Arial"/>
          <w:b/>
          <w:color w:val="auto"/>
        </w:rPr>
      </w:pPr>
      <w:bookmarkStart w:id="51" w:name="_Toc506187961"/>
      <w:bookmarkStart w:id="52" w:name="_Toc7439673"/>
      <w:r w:rsidRPr="006D48B5">
        <w:rPr>
          <w:rFonts w:ascii="Arial" w:hAnsi="Arial" w:cs="Arial"/>
          <w:b/>
          <w:color w:val="auto"/>
        </w:rPr>
        <w:t>Leptospirosis</w:t>
      </w:r>
      <w:bookmarkEnd w:id="51"/>
      <w:bookmarkEnd w:id="52"/>
    </w:p>
    <w:p w:rsidR="00475BBF" w:rsidRDefault="00475BBF" w:rsidP="00475BBF">
      <w:pPr>
        <w:jc w:val="both"/>
        <w:rPr>
          <w:rFonts w:ascii="Arial" w:hAnsi="Arial" w:cs="Arial"/>
          <w:b/>
          <w:lang w:val="es-MX"/>
        </w:rPr>
      </w:pPr>
    </w:p>
    <w:p w:rsidR="00B00BF2" w:rsidRDefault="00475BBF" w:rsidP="00475BBF">
      <w:pPr>
        <w:pStyle w:val="NormalWeb"/>
        <w:shd w:val="clear" w:color="auto" w:fill="FFFFFF"/>
        <w:spacing w:before="120" w:beforeAutospacing="0" w:after="120" w:afterAutospacing="0" w:line="276" w:lineRule="auto"/>
        <w:jc w:val="both"/>
        <w:rPr>
          <w:rFonts w:ascii="Arial" w:hAnsi="Arial" w:cs="Arial"/>
          <w:shd w:val="clear" w:color="auto" w:fill="FFFFFF"/>
        </w:rPr>
      </w:pPr>
      <w:r>
        <w:rPr>
          <w:rFonts w:ascii="Arial" w:hAnsi="Arial" w:cs="Arial"/>
          <w:shd w:val="clear" w:color="auto" w:fill="FFFFFF"/>
        </w:rPr>
        <w:t>E</w:t>
      </w:r>
      <w:r w:rsidRPr="00773E64">
        <w:rPr>
          <w:rFonts w:ascii="Arial" w:hAnsi="Arial" w:cs="Arial"/>
          <w:shd w:val="clear" w:color="auto" w:fill="FFFFFF"/>
        </w:rPr>
        <w:t>s una de las</w:t>
      </w:r>
      <w:r w:rsidR="00B00BF2">
        <w:rPr>
          <w:rFonts w:ascii="Arial" w:hAnsi="Arial" w:cs="Arial"/>
          <w:shd w:val="clear" w:color="auto" w:fill="FFFFFF"/>
        </w:rPr>
        <w:t xml:space="preserve"> </w:t>
      </w:r>
      <w:hyperlink r:id="rId54" w:tooltip="Zoonosis" w:history="1">
        <w:r w:rsidR="00B00BF2" w:rsidRPr="00B00BF2">
          <w:rPr>
            <w:rStyle w:val="Hipervnculo"/>
            <w:rFonts w:ascii="Arial" w:hAnsi="Arial" w:cs="Arial"/>
            <w:color w:val="auto"/>
            <w:u w:val="none"/>
            <w:shd w:val="clear" w:color="auto" w:fill="FFFFFF"/>
          </w:rPr>
          <w:t>zoonosis</w:t>
        </w:r>
      </w:hyperlink>
      <w:r w:rsidR="00B00BF2" w:rsidRPr="00B00BF2">
        <w:rPr>
          <w:rStyle w:val="Hipervnculo"/>
          <w:rFonts w:ascii="Arial" w:hAnsi="Arial" w:cs="Arial"/>
          <w:color w:val="auto"/>
          <w:u w:val="none"/>
          <w:shd w:val="clear" w:color="auto" w:fill="FFFFFF"/>
        </w:rPr>
        <w:t xml:space="preserve"> </w:t>
      </w:r>
      <w:r w:rsidRPr="00773E64">
        <w:rPr>
          <w:rFonts w:ascii="Arial" w:hAnsi="Arial" w:cs="Arial"/>
          <w:shd w:val="clear" w:color="auto" w:fill="FFFFFF"/>
        </w:rPr>
        <w:t>más comunes y un importante problema de salud pública</w:t>
      </w:r>
      <w:r w:rsidR="00B00BF2">
        <w:rPr>
          <w:rFonts w:ascii="Arial" w:hAnsi="Arial" w:cs="Arial"/>
          <w:shd w:val="clear" w:color="auto" w:fill="FFFFFF"/>
        </w:rPr>
        <w:t>.</w:t>
      </w:r>
      <w:r w:rsidRPr="00773E64">
        <w:rPr>
          <w:rFonts w:ascii="Arial" w:hAnsi="Arial" w:cs="Arial"/>
          <w:shd w:val="clear" w:color="auto" w:fill="FFFFFF"/>
        </w:rPr>
        <w:t xml:space="preserve"> </w:t>
      </w:r>
      <w:r w:rsidR="00B00BF2">
        <w:rPr>
          <w:rFonts w:ascii="Arial" w:hAnsi="Arial" w:cs="Arial"/>
          <w:shd w:val="clear" w:color="auto" w:fill="FFFFFF"/>
        </w:rPr>
        <w:t>L</w:t>
      </w:r>
      <w:r w:rsidRPr="00773E64">
        <w:rPr>
          <w:rFonts w:ascii="Arial" w:hAnsi="Arial" w:cs="Arial"/>
          <w:shd w:val="clear" w:color="auto" w:fill="FFFFFF"/>
        </w:rPr>
        <w:t>a infección es comúnmente transmitida a humanos cuando el agua que ha sido contaminada por</w:t>
      </w:r>
      <w:r w:rsidR="00B00BF2">
        <w:rPr>
          <w:rFonts w:ascii="Arial" w:hAnsi="Arial" w:cs="Arial"/>
          <w:shd w:val="clear" w:color="auto" w:fill="FFFFFF"/>
        </w:rPr>
        <w:t xml:space="preserve"> la </w:t>
      </w:r>
      <w:hyperlink r:id="rId55" w:history="1">
        <w:r w:rsidRPr="00B00BF2">
          <w:rPr>
            <w:rStyle w:val="Hipervnculo"/>
            <w:rFonts w:ascii="Arial" w:hAnsi="Arial" w:cs="Arial"/>
            <w:color w:val="auto"/>
            <w:u w:val="none"/>
            <w:shd w:val="clear" w:color="auto" w:fill="FFFFFF"/>
          </w:rPr>
          <w:t>orina</w:t>
        </w:r>
      </w:hyperlink>
      <w:r w:rsidR="00B00BF2" w:rsidRPr="00B00BF2">
        <w:rPr>
          <w:rStyle w:val="Hipervnculo"/>
          <w:rFonts w:ascii="Arial" w:hAnsi="Arial" w:cs="Arial"/>
          <w:color w:val="auto"/>
          <w:u w:val="none"/>
          <w:shd w:val="clear" w:color="auto" w:fill="FFFFFF"/>
        </w:rPr>
        <w:t xml:space="preserve"> </w:t>
      </w:r>
      <w:r w:rsidRPr="00773E64">
        <w:rPr>
          <w:rFonts w:ascii="Arial" w:hAnsi="Arial" w:cs="Arial"/>
          <w:shd w:val="clear" w:color="auto" w:fill="FFFFFF"/>
        </w:rPr>
        <w:t xml:space="preserve">animal </w:t>
      </w:r>
      <w:r w:rsidR="00B00BF2">
        <w:rPr>
          <w:rFonts w:ascii="Arial" w:hAnsi="Arial" w:cs="Arial"/>
          <w:shd w:val="clear" w:color="auto" w:fill="FFFFFF"/>
        </w:rPr>
        <w:t xml:space="preserve">(perros y ratas), </w:t>
      </w:r>
      <w:r w:rsidRPr="00773E64">
        <w:rPr>
          <w:rFonts w:ascii="Arial" w:hAnsi="Arial" w:cs="Arial"/>
          <w:shd w:val="clear" w:color="auto" w:fill="FFFFFF"/>
        </w:rPr>
        <w:t xml:space="preserve">se pone en contacto directo con lesiones en la piel, ojos o mucosas. Se manifiesta principalmente en época de lluvia </w:t>
      </w:r>
      <w:r w:rsidR="00B00BF2">
        <w:rPr>
          <w:rFonts w:ascii="Arial" w:hAnsi="Arial" w:cs="Arial"/>
          <w:shd w:val="clear" w:color="auto" w:fill="FFFFFF"/>
        </w:rPr>
        <w:t>e</w:t>
      </w:r>
      <w:r w:rsidRPr="00773E64">
        <w:rPr>
          <w:rFonts w:ascii="Arial" w:hAnsi="Arial" w:cs="Arial"/>
          <w:shd w:val="clear" w:color="auto" w:fill="FFFFFF"/>
        </w:rPr>
        <w:t xml:space="preserve"> inundaciones</w:t>
      </w:r>
      <w:r w:rsidR="00B00BF2">
        <w:rPr>
          <w:rFonts w:ascii="Arial" w:hAnsi="Arial" w:cs="Arial"/>
          <w:shd w:val="clear" w:color="auto" w:fill="FFFFFF"/>
        </w:rPr>
        <w:t xml:space="preserve"> y</w:t>
      </w:r>
      <w:r w:rsidRPr="00773E64">
        <w:rPr>
          <w:rFonts w:ascii="Arial" w:hAnsi="Arial" w:cs="Arial"/>
          <w:shd w:val="clear" w:color="auto" w:fill="FFFFFF"/>
        </w:rPr>
        <w:t xml:space="preserve"> es de amplia distribución mundial</w:t>
      </w:r>
      <w:r>
        <w:rPr>
          <w:rFonts w:ascii="Arial" w:hAnsi="Arial" w:cs="Arial"/>
          <w:shd w:val="clear" w:color="auto" w:fill="FFFFFF"/>
        </w:rPr>
        <w:t>.</w:t>
      </w:r>
      <w:r w:rsidRPr="00773E64">
        <w:rPr>
          <w:rFonts w:ascii="Arial" w:hAnsi="Arial" w:cs="Arial"/>
          <w:shd w:val="clear" w:color="auto" w:fill="FFFFFF"/>
        </w:rPr>
        <w:t xml:space="preserve">  </w:t>
      </w:r>
      <w:r w:rsidR="00B00BF2">
        <w:rPr>
          <w:rFonts w:ascii="Arial" w:hAnsi="Arial" w:cs="Arial"/>
          <w:shd w:val="clear" w:color="auto" w:fill="FFFFFF"/>
        </w:rPr>
        <w:t>La mayoría de los pacientes se expone de forma accidental al agua contaminada durante actividades recreativas.</w:t>
      </w:r>
    </w:p>
    <w:p w:rsidR="00475BBF" w:rsidRDefault="00475BBF" w:rsidP="00475BBF">
      <w:pPr>
        <w:spacing w:line="276" w:lineRule="auto"/>
        <w:jc w:val="both"/>
        <w:rPr>
          <w:rFonts w:ascii="Arial" w:hAnsi="Arial" w:cs="Arial"/>
          <w:shd w:val="clear" w:color="auto" w:fill="FFFFFF"/>
        </w:rPr>
      </w:pPr>
      <w:r w:rsidRPr="00C46319">
        <w:rPr>
          <w:rFonts w:ascii="Arial" w:hAnsi="Arial" w:cs="Arial"/>
          <w:shd w:val="clear" w:color="auto" w:fill="FFFFFF"/>
        </w:rPr>
        <w:t>Se estima que anualmente hay más de 500</w:t>
      </w:r>
      <w:r w:rsidR="00B00BF2">
        <w:rPr>
          <w:rFonts w:ascii="Arial" w:hAnsi="Arial" w:cs="Arial"/>
          <w:shd w:val="clear" w:color="auto" w:fill="FFFFFF"/>
        </w:rPr>
        <w:t>.</w:t>
      </w:r>
      <w:r w:rsidRPr="00C46319">
        <w:rPr>
          <w:rFonts w:ascii="Arial" w:hAnsi="Arial" w:cs="Arial"/>
          <w:shd w:val="clear" w:color="auto" w:fill="FFFFFF"/>
        </w:rPr>
        <w:t>000 casos de leptospirosis en el mundo. La mayoría de los casos registrados tienen una manifestación severa, por lo cual la mortalidad es mayor de 10%.</w:t>
      </w:r>
    </w:p>
    <w:p w:rsidR="00475BBF" w:rsidRPr="002352CA" w:rsidRDefault="00475BBF" w:rsidP="00475BBF">
      <w:pPr>
        <w:spacing w:line="276" w:lineRule="auto"/>
        <w:jc w:val="both"/>
        <w:rPr>
          <w:rFonts w:ascii="Arial" w:hAnsi="Arial" w:cs="Arial"/>
          <w:lang w:val="es-MX"/>
        </w:rPr>
      </w:pPr>
    </w:p>
    <w:p w:rsidR="00475BBF" w:rsidRPr="002352CA" w:rsidRDefault="00B00BF2" w:rsidP="00475BBF">
      <w:pPr>
        <w:spacing w:line="276" w:lineRule="auto"/>
        <w:jc w:val="both"/>
        <w:rPr>
          <w:rFonts w:ascii="Arial" w:hAnsi="Arial" w:cs="Arial"/>
          <w:lang w:val="es-MX"/>
        </w:rPr>
      </w:pPr>
      <w:r>
        <w:rPr>
          <w:rFonts w:ascii="Arial" w:hAnsi="Arial" w:cs="Arial"/>
          <w:lang w:val="es-MX"/>
        </w:rPr>
        <w:lastRenderedPageBreak/>
        <w:t xml:space="preserve">Del </w:t>
      </w:r>
      <w:r w:rsidR="00475BBF" w:rsidRPr="002352CA">
        <w:rPr>
          <w:rFonts w:ascii="Arial" w:hAnsi="Arial" w:cs="Arial"/>
          <w:lang w:val="es-MX"/>
        </w:rPr>
        <w:t>2014-2018</w:t>
      </w:r>
      <w:r w:rsidR="00475BBF">
        <w:rPr>
          <w:rFonts w:ascii="Arial" w:hAnsi="Arial" w:cs="Arial"/>
          <w:lang w:val="es-MX"/>
        </w:rPr>
        <w:t xml:space="preserve"> </w:t>
      </w:r>
      <w:r w:rsidR="00475BBF" w:rsidRPr="002352CA">
        <w:rPr>
          <w:rFonts w:ascii="Arial" w:hAnsi="Arial" w:cs="Arial"/>
          <w:lang w:val="es-MX"/>
        </w:rPr>
        <w:t>se notifica</w:t>
      </w:r>
      <w:r>
        <w:rPr>
          <w:rFonts w:ascii="Arial" w:hAnsi="Arial" w:cs="Arial"/>
          <w:lang w:val="es-MX"/>
        </w:rPr>
        <w:t>ron</w:t>
      </w:r>
      <w:r w:rsidR="00475BBF" w:rsidRPr="002352CA">
        <w:rPr>
          <w:rFonts w:ascii="Arial" w:hAnsi="Arial" w:cs="Arial"/>
          <w:lang w:val="es-MX"/>
        </w:rPr>
        <w:t xml:space="preserve"> </w:t>
      </w:r>
      <w:r>
        <w:rPr>
          <w:rFonts w:ascii="Arial" w:hAnsi="Arial" w:cs="Arial"/>
          <w:lang w:val="es-MX"/>
        </w:rPr>
        <w:t xml:space="preserve">en Costa Rica, </w:t>
      </w:r>
      <w:r w:rsidR="00475BBF" w:rsidRPr="002352CA">
        <w:rPr>
          <w:rFonts w:ascii="Arial" w:hAnsi="Arial" w:cs="Arial"/>
          <w:lang w:val="es-MX"/>
        </w:rPr>
        <w:t>2</w:t>
      </w:r>
      <w:r>
        <w:rPr>
          <w:rFonts w:ascii="Arial" w:hAnsi="Arial" w:cs="Arial"/>
          <w:lang w:val="es-MX"/>
        </w:rPr>
        <w:t>.</w:t>
      </w:r>
      <w:r w:rsidR="00475BBF" w:rsidRPr="002352CA">
        <w:rPr>
          <w:rFonts w:ascii="Arial" w:hAnsi="Arial" w:cs="Arial"/>
          <w:lang w:val="es-MX"/>
        </w:rPr>
        <w:t>379 casos de leptospirosis, con una incidencia de 9,7 casos por 100.000 habitantes</w:t>
      </w:r>
      <w:r w:rsidR="00475BBF">
        <w:rPr>
          <w:rFonts w:ascii="Arial" w:hAnsi="Arial" w:cs="Arial"/>
          <w:lang w:val="es-MX"/>
        </w:rPr>
        <w:t>.</w:t>
      </w:r>
      <w:r>
        <w:rPr>
          <w:rFonts w:ascii="Arial" w:hAnsi="Arial" w:cs="Arial"/>
          <w:lang w:val="es-MX"/>
        </w:rPr>
        <w:t xml:space="preserve"> </w:t>
      </w:r>
      <w:r w:rsidR="00475BBF" w:rsidRPr="002352CA">
        <w:rPr>
          <w:rFonts w:ascii="Arial" w:hAnsi="Arial" w:cs="Arial"/>
          <w:lang w:val="es-MX"/>
        </w:rPr>
        <w:t>Las provincias de Puntarenas y San José registraron el 52 % (28,2 % y 23,75%</w:t>
      </w:r>
      <w:r>
        <w:rPr>
          <w:rFonts w:ascii="Arial" w:hAnsi="Arial" w:cs="Arial"/>
          <w:lang w:val="es-MX"/>
        </w:rPr>
        <w:t xml:space="preserve"> respectivamente</w:t>
      </w:r>
      <w:r w:rsidR="00475BBF" w:rsidRPr="002352CA">
        <w:rPr>
          <w:rFonts w:ascii="Arial" w:hAnsi="Arial" w:cs="Arial"/>
          <w:lang w:val="es-MX"/>
        </w:rPr>
        <w:t>)</w:t>
      </w:r>
      <w:r>
        <w:rPr>
          <w:rFonts w:ascii="Arial" w:hAnsi="Arial" w:cs="Arial"/>
          <w:lang w:val="es-MX"/>
        </w:rPr>
        <w:t xml:space="preserve">, las de menor </w:t>
      </w:r>
      <w:r w:rsidR="00475BBF" w:rsidRPr="002352CA">
        <w:rPr>
          <w:rFonts w:ascii="Arial" w:hAnsi="Arial" w:cs="Arial"/>
          <w:lang w:val="es-MX"/>
        </w:rPr>
        <w:t xml:space="preserve"> incidencia son Puntarenas y Limón con 20,4 y 17,7 casos por 100.000 habitantes respectivamente.</w:t>
      </w:r>
    </w:p>
    <w:p w:rsidR="00475BBF" w:rsidRDefault="00475BBF" w:rsidP="00475BBF">
      <w:pPr>
        <w:jc w:val="both"/>
        <w:rPr>
          <w:rFonts w:ascii="Arial" w:hAnsi="Arial" w:cs="Arial"/>
          <w:b/>
          <w:lang w:val="es-MX"/>
        </w:rPr>
      </w:pPr>
    </w:p>
    <w:p w:rsidR="00475BBF" w:rsidRPr="00B00BF2" w:rsidRDefault="00B00BF2" w:rsidP="00475BBF">
      <w:pPr>
        <w:jc w:val="center"/>
        <w:rPr>
          <w:rFonts w:ascii="Arial" w:hAnsi="Arial" w:cs="Arial"/>
          <w:b/>
          <w:lang w:val="es-MX"/>
        </w:rPr>
      </w:pPr>
      <w:r w:rsidRPr="00B00BF2">
        <w:rPr>
          <w:rFonts w:ascii="Arial" w:hAnsi="Arial" w:cs="Arial"/>
          <w:b/>
          <w:lang w:val="es-MX"/>
        </w:rPr>
        <w:t xml:space="preserve">Cuadro </w:t>
      </w:r>
      <w:r w:rsidR="00472E6D">
        <w:rPr>
          <w:rFonts w:ascii="Arial" w:hAnsi="Arial" w:cs="Arial"/>
          <w:b/>
          <w:lang w:val="es-MX"/>
        </w:rPr>
        <w:t>28</w:t>
      </w:r>
    </w:p>
    <w:p w:rsidR="00B00BF2" w:rsidRDefault="00475BBF" w:rsidP="00475BBF">
      <w:pPr>
        <w:jc w:val="center"/>
        <w:rPr>
          <w:rFonts w:ascii="Arial" w:hAnsi="Arial" w:cs="Arial"/>
          <w:b/>
          <w:lang w:val="es-MX"/>
        </w:rPr>
      </w:pPr>
      <w:r w:rsidRPr="00EE7032">
        <w:rPr>
          <w:rFonts w:ascii="Arial" w:hAnsi="Arial" w:cs="Arial"/>
          <w:b/>
          <w:lang w:val="es-MX"/>
        </w:rPr>
        <w:t>Costa Rica:</w:t>
      </w:r>
      <w:r>
        <w:rPr>
          <w:rFonts w:ascii="Arial" w:hAnsi="Arial" w:cs="Arial"/>
          <w:lang w:val="es-MX"/>
        </w:rPr>
        <w:t xml:space="preserve"> </w:t>
      </w:r>
      <w:r w:rsidR="00B00BF2" w:rsidRPr="00B00BF2">
        <w:rPr>
          <w:rFonts w:ascii="Arial" w:hAnsi="Arial" w:cs="Arial"/>
          <w:b/>
          <w:lang w:val="es-MX"/>
        </w:rPr>
        <w:t>Número de c</w:t>
      </w:r>
      <w:r w:rsidRPr="00B00BF2">
        <w:rPr>
          <w:rFonts w:ascii="Arial" w:hAnsi="Arial" w:cs="Arial"/>
          <w:b/>
          <w:lang w:val="es-MX"/>
        </w:rPr>
        <w:t>asos</w:t>
      </w:r>
      <w:r>
        <w:rPr>
          <w:rFonts w:ascii="Arial" w:hAnsi="Arial" w:cs="Arial"/>
          <w:b/>
          <w:lang w:val="es-MX"/>
        </w:rPr>
        <w:t xml:space="preserve"> y tasas de leptospirosis</w:t>
      </w:r>
    </w:p>
    <w:p w:rsidR="00475BBF" w:rsidRDefault="00475BBF" w:rsidP="00475BBF">
      <w:pPr>
        <w:jc w:val="center"/>
        <w:rPr>
          <w:rFonts w:ascii="Arial" w:hAnsi="Arial" w:cs="Arial"/>
          <w:lang w:val="es-MX"/>
        </w:rPr>
      </w:pPr>
      <w:r>
        <w:rPr>
          <w:rFonts w:ascii="Arial" w:hAnsi="Arial" w:cs="Arial"/>
          <w:b/>
          <w:lang w:val="es-MX"/>
        </w:rPr>
        <w:t xml:space="preserve"> </w:t>
      </w:r>
      <w:r w:rsidR="00B00BF2">
        <w:rPr>
          <w:rFonts w:ascii="Arial" w:hAnsi="Arial" w:cs="Arial"/>
          <w:b/>
          <w:lang w:val="es-MX"/>
        </w:rPr>
        <w:t>según</w:t>
      </w:r>
      <w:r>
        <w:rPr>
          <w:rFonts w:ascii="Arial" w:hAnsi="Arial" w:cs="Arial"/>
          <w:b/>
          <w:lang w:val="es-MX"/>
        </w:rPr>
        <w:t xml:space="preserve"> provincia. 2014-2018</w:t>
      </w:r>
      <w:r w:rsidRPr="00EE7032">
        <w:rPr>
          <w:rFonts w:ascii="Arial" w:hAnsi="Arial" w:cs="Arial"/>
          <w:b/>
          <w:vertAlign w:val="superscript"/>
          <w:lang w:val="es-MX"/>
        </w:rPr>
        <w:t>1</w:t>
      </w:r>
      <w:r>
        <w:rPr>
          <w:rFonts w:ascii="Arial" w:hAnsi="Arial" w:cs="Arial"/>
          <w:b/>
          <w:lang w:val="es-MX"/>
        </w:rPr>
        <w:t>.</w:t>
      </w:r>
    </w:p>
    <w:p w:rsidR="00475BBF" w:rsidRDefault="00475BBF" w:rsidP="00475BBF">
      <w:pPr>
        <w:jc w:val="center"/>
        <w:rPr>
          <w:rFonts w:ascii="Arial" w:hAnsi="Arial" w:cs="Arial"/>
          <w:lang w:val="es-MX"/>
        </w:rPr>
      </w:pPr>
      <w:r>
        <w:rPr>
          <w:rFonts w:ascii="Arial" w:hAnsi="Arial" w:cs="Arial"/>
          <w:b/>
          <w:i/>
          <w:sz w:val="20"/>
          <w:szCs w:val="20"/>
          <w:lang w:val="es-MX"/>
        </w:rPr>
        <w:t>(Tasas por 100.000 habitantes)</w:t>
      </w:r>
    </w:p>
    <w:p w:rsidR="00475BBF" w:rsidRDefault="00475BBF" w:rsidP="00475BBF">
      <w:pPr>
        <w:jc w:val="center"/>
        <w:rPr>
          <w:rFonts w:ascii="Arial" w:hAnsi="Arial" w:cs="Arial"/>
          <w:b/>
          <w:lang w:val="es-MX"/>
        </w:rPr>
      </w:pPr>
    </w:p>
    <w:tbl>
      <w:tblPr>
        <w:tblStyle w:val="Sombreadoclaro-nfasis1"/>
        <w:tblW w:w="4330" w:type="pct"/>
        <w:jc w:val="center"/>
        <w:shd w:val="clear" w:color="auto" w:fill="FFFFFF" w:themeFill="background1"/>
        <w:tblLook w:val="04A0" w:firstRow="1" w:lastRow="0" w:firstColumn="1" w:lastColumn="0" w:noHBand="0" w:noVBand="1"/>
      </w:tblPr>
      <w:tblGrid>
        <w:gridCol w:w="1295"/>
        <w:gridCol w:w="817"/>
        <w:gridCol w:w="672"/>
        <w:gridCol w:w="817"/>
        <w:gridCol w:w="672"/>
        <w:gridCol w:w="817"/>
        <w:gridCol w:w="672"/>
        <w:gridCol w:w="817"/>
        <w:gridCol w:w="672"/>
        <w:gridCol w:w="817"/>
        <w:gridCol w:w="672"/>
      </w:tblGrid>
      <w:tr w:rsidR="00475BBF" w:rsidRPr="00B80DB1" w:rsidTr="00C81AD1">
        <w:trPr>
          <w:cnfStyle w:val="100000000000" w:firstRow="1" w:lastRow="0" w:firstColumn="0" w:lastColumn="0" w:oddVBand="0" w:evenVBand="0" w:oddHBand="0" w:evenHBand="0" w:firstRowFirstColumn="0" w:firstRowLastColumn="0" w:lastRowFirstColumn="0" w:lastRowLastColumn="0"/>
          <w:trHeight w:val="384"/>
          <w:jc w:val="center"/>
        </w:trPr>
        <w:tc>
          <w:tcPr>
            <w:cnfStyle w:val="001000000000" w:firstRow="0" w:lastRow="0" w:firstColumn="1" w:lastColumn="0" w:oddVBand="0" w:evenVBand="0" w:oddHBand="0" w:evenHBand="0" w:firstRowFirstColumn="0" w:firstRowLastColumn="0" w:lastRowFirstColumn="0" w:lastRowLastColumn="0"/>
            <w:tcW w:w="725" w:type="pct"/>
            <w:tcBorders>
              <w:top w:val="single" w:sz="8" w:space="0" w:color="auto"/>
              <w:left w:val="none" w:sz="0" w:space="0" w:color="auto"/>
              <w:bottom w:val="nil"/>
              <w:right w:val="none" w:sz="0" w:space="0" w:color="auto"/>
            </w:tcBorders>
            <w:shd w:val="clear" w:color="auto" w:fill="D5DCE4" w:themeFill="text2" w:themeFillTint="33"/>
            <w:hideMark/>
          </w:tcPr>
          <w:p w:rsidR="00475BBF" w:rsidRPr="00B80DB1" w:rsidRDefault="00475BBF" w:rsidP="00475BBF">
            <w:pPr>
              <w:spacing w:line="360" w:lineRule="auto"/>
              <w:jc w:val="both"/>
              <w:rPr>
                <w:rFonts w:ascii="Arial" w:hAnsi="Arial" w:cs="Arial"/>
                <w:color w:val="000000" w:themeColor="text1"/>
                <w:sz w:val="20"/>
                <w:szCs w:val="20"/>
                <w:lang w:val="es-MX"/>
              </w:rPr>
            </w:pPr>
            <w:r w:rsidRPr="00B80DB1">
              <w:rPr>
                <w:rFonts w:ascii="Arial" w:hAnsi="Arial" w:cs="Arial"/>
                <w:color w:val="000000" w:themeColor="text1"/>
                <w:sz w:val="20"/>
                <w:szCs w:val="20"/>
                <w:lang w:val="es-MX"/>
              </w:rPr>
              <w:t>Provincia</w:t>
            </w:r>
          </w:p>
        </w:tc>
        <w:tc>
          <w:tcPr>
            <w:tcW w:w="834" w:type="pct"/>
            <w:gridSpan w:val="2"/>
            <w:tcBorders>
              <w:top w:val="single" w:sz="8" w:space="0" w:color="auto"/>
              <w:left w:val="none" w:sz="0" w:space="0" w:color="auto"/>
              <w:bottom w:val="single" w:sz="8" w:space="0" w:color="auto"/>
              <w:right w:val="none" w:sz="0" w:space="0" w:color="auto"/>
            </w:tcBorders>
            <w:shd w:val="clear" w:color="auto" w:fill="D5DCE4" w:themeFill="text2" w:themeFillTint="33"/>
            <w:hideMark/>
          </w:tcPr>
          <w:p w:rsidR="00475BBF" w:rsidRPr="00B80DB1"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2014</w:t>
            </w:r>
          </w:p>
        </w:tc>
        <w:tc>
          <w:tcPr>
            <w:tcW w:w="834" w:type="pct"/>
            <w:gridSpan w:val="2"/>
            <w:tcBorders>
              <w:top w:val="single" w:sz="8" w:space="0" w:color="auto"/>
              <w:left w:val="none" w:sz="0" w:space="0" w:color="auto"/>
              <w:bottom w:val="single" w:sz="8" w:space="0" w:color="auto"/>
              <w:right w:val="none" w:sz="0" w:space="0" w:color="auto"/>
            </w:tcBorders>
            <w:shd w:val="clear" w:color="auto" w:fill="D5DCE4" w:themeFill="text2" w:themeFillTint="33"/>
            <w:hideMark/>
          </w:tcPr>
          <w:p w:rsidR="00475BBF" w:rsidRPr="00B80DB1"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2015</w:t>
            </w:r>
          </w:p>
        </w:tc>
        <w:tc>
          <w:tcPr>
            <w:tcW w:w="834" w:type="pct"/>
            <w:gridSpan w:val="2"/>
            <w:tcBorders>
              <w:top w:val="single" w:sz="8" w:space="0" w:color="auto"/>
              <w:left w:val="none" w:sz="0" w:space="0" w:color="auto"/>
              <w:bottom w:val="single" w:sz="8" w:space="0" w:color="auto"/>
              <w:right w:val="none" w:sz="0" w:space="0" w:color="auto"/>
            </w:tcBorders>
            <w:shd w:val="clear" w:color="auto" w:fill="D5DCE4" w:themeFill="text2" w:themeFillTint="33"/>
            <w:hideMark/>
          </w:tcPr>
          <w:p w:rsidR="00475BBF" w:rsidRPr="00B80DB1"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2016</w:t>
            </w:r>
          </w:p>
        </w:tc>
        <w:tc>
          <w:tcPr>
            <w:tcW w:w="834" w:type="pct"/>
            <w:gridSpan w:val="2"/>
            <w:tcBorders>
              <w:top w:val="single" w:sz="8" w:space="0" w:color="auto"/>
              <w:left w:val="none" w:sz="0" w:space="0" w:color="auto"/>
              <w:bottom w:val="nil"/>
              <w:right w:val="none" w:sz="0" w:space="0" w:color="auto"/>
            </w:tcBorders>
            <w:shd w:val="clear" w:color="auto" w:fill="D5DCE4" w:themeFill="text2" w:themeFillTint="33"/>
            <w:hideMark/>
          </w:tcPr>
          <w:p w:rsidR="00475BBF" w:rsidRPr="00B80DB1"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2017</w:t>
            </w:r>
          </w:p>
        </w:tc>
        <w:tc>
          <w:tcPr>
            <w:tcW w:w="941" w:type="pct"/>
            <w:gridSpan w:val="2"/>
            <w:tcBorders>
              <w:top w:val="single" w:sz="8" w:space="0" w:color="auto"/>
              <w:left w:val="none" w:sz="0" w:space="0" w:color="auto"/>
              <w:bottom w:val="nil"/>
              <w:right w:val="none" w:sz="0" w:space="0" w:color="auto"/>
            </w:tcBorders>
            <w:shd w:val="clear" w:color="auto" w:fill="D5DCE4" w:themeFill="text2" w:themeFillTint="33"/>
          </w:tcPr>
          <w:p w:rsidR="00475BBF" w:rsidRPr="00B80DB1" w:rsidRDefault="00475BBF" w:rsidP="00475BB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2018</w:t>
            </w:r>
          </w:p>
        </w:tc>
      </w:tr>
      <w:tr w:rsidR="00475BBF" w:rsidRPr="00B80DB1" w:rsidTr="00C81AD1">
        <w:trPr>
          <w:cnfStyle w:val="000000100000" w:firstRow="0" w:lastRow="0" w:firstColumn="0" w:lastColumn="0" w:oddVBand="0" w:evenVBand="0" w:oddHBand="1" w:evenHBand="0" w:firstRowFirstColumn="0" w:firstRowLastColumn="0" w:lastRowFirstColumn="0" w:lastRowLastColumn="0"/>
          <w:trHeight w:val="384"/>
          <w:jc w:val="center"/>
        </w:trPr>
        <w:tc>
          <w:tcPr>
            <w:cnfStyle w:val="001000000000" w:firstRow="0" w:lastRow="0" w:firstColumn="1" w:lastColumn="0" w:oddVBand="0" w:evenVBand="0" w:oddHBand="0" w:evenHBand="0" w:firstRowFirstColumn="0" w:firstRowLastColumn="0" w:lastRowFirstColumn="0" w:lastRowLastColumn="0"/>
            <w:tcW w:w="725" w:type="pct"/>
            <w:tcBorders>
              <w:top w:val="nil"/>
              <w:bottom w:val="single" w:sz="8" w:space="0" w:color="auto"/>
            </w:tcBorders>
            <w:shd w:val="clear" w:color="auto" w:fill="D5DCE4" w:themeFill="text2" w:themeFillTint="33"/>
          </w:tcPr>
          <w:p w:rsidR="00475BBF" w:rsidRPr="00B80DB1" w:rsidRDefault="00475BBF" w:rsidP="00475BBF">
            <w:pPr>
              <w:spacing w:line="360" w:lineRule="auto"/>
              <w:jc w:val="both"/>
              <w:rPr>
                <w:rFonts w:ascii="Arial" w:hAnsi="Arial" w:cs="Arial"/>
                <w:color w:val="000000" w:themeColor="text1"/>
                <w:sz w:val="20"/>
                <w:szCs w:val="20"/>
                <w:lang w:val="es-MX"/>
              </w:rPr>
            </w:pPr>
          </w:p>
        </w:tc>
        <w:tc>
          <w:tcPr>
            <w:tcW w:w="457" w:type="pct"/>
            <w:tcBorders>
              <w:top w:val="single" w:sz="8" w:space="0" w:color="auto"/>
              <w:bottom w:val="single" w:sz="8" w:space="0" w:color="auto"/>
            </w:tcBorders>
            <w:shd w:val="clear" w:color="auto" w:fill="D5DCE4" w:themeFill="text2" w:themeFillTint="33"/>
            <w:hideMark/>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Casos</w:t>
            </w:r>
          </w:p>
        </w:tc>
        <w:tc>
          <w:tcPr>
            <w:tcW w:w="376" w:type="pct"/>
            <w:tcBorders>
              <w:top w:val="single" w:sz="8" w:space="0" w:color="auto"/>
              <w:bottom w:val="single" w:sz="8" w:space="0" w:color="auto"/>
            </w:tcBorders>
            <w:shd w:val="clear" w:color="auto" w:fill="D5DCE4" w:themeFill="text2" w:themeFillTint="33"/>
            <w:hideMark/>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Tasa</w:t>
            </w:r>
          </w:p>
        </w:tc>
        <w:tc>
          <w:tcPr>
            <w:tcW w:w="457" w:type="pct"/>
            <w:tcBorders>
              <w:top w:val="single" w:sz="8" w:space="0" w:color="auto"/>
              <w:bottom w:val="single" w:sz="8" w:space="0" w:color="auto"/>
            </w:tcBorders>
            <w:shd w:val="clear" w:color="auto" w:fill="D5DCE4" w:themeFill="text2" w:themeFillTint="33"/>
            <w:hideMark/>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Casos</w:t>
            </w:r>
          </w:p>
        </w:tc>
        <w:tc>
          <w:tcPr>
            <w:tcW w:w="376" w:type="pct"/>
            <w:tcBorders>
              <w:top w:val="single" w:sz="8" w:space="0" w:color="auto"/>
              <w:bottom w:val="single" w:sz="8" w:space="0" w:color="auto"/>
            </w:tcBorders>
            <w:shd w:val="clear" w:color="auto" w:fill="D5DCE4" w:themeFill="text2" w:themeFillTint="33"/>
            <w:hideMark/>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Tasa</w:t>
            </w:r>
          </w:p>
        </w:tc>
        <w:tc>
          <w:tcPr>
            <w:tcW w:w="457" w:type="pct"/>
            <w:tcBorders>
              <w:top w:val="single" w:sz="8" w:space="0" w:color="auto"/>
              <w:bottom w:val="single" w:sz="8" w:space="0" w:color="auto"/>
            </w:tcBorders>
            <w:shd w:val="clear" w:color="auto" w:fill="D5DCE4" w:themeFill="text2" w:themeFillTint="33"/>
            <w:hideMark/>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Casos</w:t>
            </w:r>
          </w:p>
        </w:tc>
        <w:tc>
          <w:tcPr>
            <w:tcW w:w="376" w:type="pct"/>
            <w:tcBorders>
              <w:top w:val="single" w:sz="8" w:space="0" w:color="auto"/>
              <w:bottom w:val="single" w:sz="8" w:space="0" w:color="auto"/>
            </w:tcBorders>
            <w:shd w:val="clear" w:color="auto" w:fill="D5DCE4" w:themeFill="text2" w:themeFillTint="33"/>
            <w:hideMark/>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Tasa</w:t>
            </w:r>
          </w:p>
        </w:tc>
        <w:tc>
          <w:tcPr>
            <w:tcW w:w="457" w:type="pct"/>
            <w:tcBorders>
              <w:top w:val="single" w:sz="4" w:space="0" w:color="auto"/>
              <w:bottom w:val="single" w:sz="8" w:space="0" w:color="auto"/>
            </w:tcBorders>
            <w:shd w:val="clear" w:color="auto" w:fill="D5DCE4" w:themeFill="text2" w:themeFillTint="33"/>
            <w:hideMark/>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Casos</w:t>
            </w:r>
          </w:p>
        </w:tc>
        <w:tc>
          <w:tcPr>
            <w:tcW w:w="376" w:type="pct"/>
            <w:tcBorders>
              <w:top w:val="single" w:sz="4" w:space="0" w:color="auto"/>
              <w:bottom w:val="single" w:sz="8" w:space="0" w:color="auto"/>
            </w:tcBorders>
            <w:shd w:val="clear" w:color="auto" w:fill="D5DCE4" w:themeFill="text2" w:themeFillTint="33"/>
            <w:hideMark/>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Tasa</w:t>
            </w:r>
          </w:p>
        </w:tc>
        <w:tc>
          <w:tcPr>
            <w:tcW w:w="565" w:type="pct"/>
            <w:tcBorders>
              <w:top w:val="single" w:sz="4" w:space="0" w:color="auto"/>
              <w:bottom w:val="single" w:sz="8" w:space="0" w:color="auto"/>
            </w:tcBorders>
            <w:shd w:val="clear" w:color="auto" w:fill="D5DCE4" w:themeFill="text2" w:themeFillTint="33"/>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Casos</w:t>
            </w:r>
          </w:p>
        </w:tc>
        <w:tc>
          <w:tcPr>
            <w:tcW w:w="376" w:type="pct"/>
            <w:tcBorders>
              <w:top w:val="single" w:sz="4" w:space="0" w:color="auto"/>
              <w:bottom w:val="single" w:sz="8" w:space="0" w:color="auto"/>
            </w:tcBorders>
            <w:shd w:val="clear" w:color="auto" w:fill="D5DCE4" w:themeFill="text2" w:themeFillTint="33"/>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Tasa</w:t>
            </w:r>
          </w:p>
        </w:tc>
      </w:tr>
      <w:tr w:rsidR="00475BBF" w:rsidRPr="00B80DB1" w:rsidTr="00475BBF">
        <w:trPr>
          <w:trHeight w:val="384"/>
          <w:jc w:val="center"/>
        </w:trPr>
        <w:tc>
          <w:tcPr>
            <w:cnfStyle w:val="001000000000" w:firstRow="0" w:lastRow="0" w:firstColumn="1" w:lastColumn="0" w:oddVBand="0" w:evenVBand="0" w:oddHBand="0" w:evenHBand="0" w:firstRowFirstColumn="0" w:firstRowLastColumn="0" w:lastRowFirstColumn="0" w:lastRowLastColumn="0"/>
            <w:tcW w:w="725" w:type="pct"/>
            <w:tcBorders>
              <w:top w:val="single" w:sz="8" w:space="0" w:color="auto"/>
              <w:left w:val="nil"/>
              <w:bottom w:val="single" w:sz="8" w:space="0" w:color="auto"/>
              <w:right w:val="nil"/>
            </w:tcBorders>
            <w:shd w:val="clear" w:color="auto" w:fill="FFFFFF" w:themeFill="background1"/>
            <w:hideMark/>
          </w:tcPr>
          <w:p w:rsidR="00475BBF" w:rsidRPr="00B80DB1" w:rsidRDefault="00475BBF" w:rsidP="00475BBF">
            <w:pPr>
              <w:spacing w:line="360" w:lineRule="auto"/>
              <w:jc w:val="both"/>
              <w:rPr>
                <w:rFonts w:ascii="Arial" w:hAnsi="Arial" w:cs="Arial"/>
                <w:color w:val="000000" w:themeColor="text1"/>
                <w:sz w:val="20"/>
                <w:szCs w:val="20"/>
                <w:lang w:val="es-MX"/>
              </w:rPr>
            </w:pPr>
            <w:r w:rsidRPr="00B80DB1">
              <w:rPr>
                <w:rFonts w:ascii="Arial" w:hAnsi="Arial" w:cs="Arial"/>
                <w:color w:val="000000" w:themeColor="text1"/>
                <w:sz w:val="20"/>
                <w:szCs w:val="20"/>
                <w:lang w:val="es-MX"/>
              </w:rPr>
              <w:t>Total</w:t>
            </w:r>
          </w:p>
        </w:tc>
        <w:tc>
          <w:tcPr>
            <w:tcW w:w="457" w:type="pct"/>
            <w:tcBorders>
              <w:top w:val="single" w:sz="8" w:space="0" w:color="auto"/>
              <w:left w:val="nil"/>
              <w:bottom w:val="single" w:sz="8" w:space="0" w:color="auto"/>
              <w:right w:val="nil"/>
            </w:tcBorders>
            <w:shd w:val="clear" w:color="auto" w:fill="FFFFFF" w:themeFill="background1"/>
            <w:hideMark/>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465</w:t>
            </w:r>
          </w:p>
        </w:tc>
        <w:tc>
          <w:tcPr>
            <w:tcW w:w="376" w:type="pct"/>
            <w:tcBorders>
              <w:top w:val="single" w:sz="8" w:space="0" w:color="auto"/>
              <w:left w:val="nil"/>
              <w:bottom w:val="single" w:sz="8" w:space="0" w:color="auto"/>
              <w:right w:val="nil"/>
            </w:tcBorders>
            <w:shd w:val="clear" w:color="auto" w:fill="FFFFFF" w:themeFill="background1"/>
            <w:hideMark/>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9.7</w:t>
            </w:r>
          </w:p>
        </w:tc>
        <w:tc>
          <w:tcPr>
            <w:tcW w:w="457" w:type="pct"/>
            <w:tcBorders>
              <w:top w:val="single" w:sz="8" w:space="0" w:color="auto"/>
              <w:left w:val="nil"/>
              <w:bottom w:val="single" w:sz="8" w:space="0" w:color="auto"/>
              <w:right w:val="nil"/>
            </w:tcBorders>
            <w:shd w:val="clear" w:color="auto" w:fill="FFFFFF" w:themeFill="background1"/>
            <w:hideMark/>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507</w:t>
            </w:r>
          </w:p>
        </w:tc>
        <w:tc>
          <w:tcPr>
            <w:tcW w:w="376" w:type="pct"/>
            <w:tcBorders>
              <w:top w:val="single" w:sz="8" w:space="0" w:color="auto"/>
              <w:left w:val="nil"/>
              <w:bottom w:val="single" w:sz="8" w:space="0" w:color="auto"/>
              <w:right w:val="nil"/>
            </w:tcBorders>
            <w:shd w:val="clear" w:color="auto" w:fill="FFFFFF" w:themeFill="background1"/>
            <w:hideMark/>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10.5</w:t>
            </w:r>
          </w:p>
        </w:tc>
        <w:tc>
          <w:tcPr>
            <w:tcW w:w="457" w:type="pct"/>
            <w:tcBorders>
              <w:top w:val="single" w:sz="8" w:space="0" w:color="auto"/>
              <w:left w:val="nil"/>
              <w:bottom w:val="single" w:sz="8" w:space="0" w:color="auto"/>
              <w:right w:val="nil"/>
            </w:tcBorders>
            <w:shd w:val="clear" w:color="auto" w:fill="FFFFFF" w:themeFill="background1"/>
            <w:hideMark/>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394</w:t>
            </w:r>
          </w:p>
        </w:tc>
        <w:tc>
          <w:tcPr>
            <w:tcW w:w="376" w:type="pct"/>
            <w:tcBorders>
              <w:top w:val="single" w:sz="8" w:space="0" w:color="auto"/>
              <w:left w:val="nil"/>
              <w:bottom w:val="single" w:sz="8" w:space="0" w:color="auto"/>
              <w:right w:val="nil"/>
            </w:tcBorders>
            <w:shd w:val="clear" w:color="auto" w:fill="FFFFFF" w:themeFill="background1"/>
            <w:hideMark/>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8.1</w:t>
            </w:r>
          </w:p>
        </w:tc>
        <w:tc>
          <w:tcPr>
            <w:tcW w:w="457" w:type="pct"/>
            <w:tcBorders>
              <w:top w:val="single" w:sz="8" w:space="0" w:color="auto"/>
              <w:left w:val="nil"/>
              <w:bottom w:val="single" w:sz="8" w:space="0" w:color="auto"/>
              <w:right w:val="nil"/>
            </w:tcBorders>
            <w:shd w:val="clear" w:color="auto" w:fill="FFFFFF" w:themeFill="background1"/>
            <w:vAlign w:val="center"/>
            <w:hideMark/>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464</w:t>
            </w:r>
          </w:p>
        </w:tc>
        <w:tc>
          <w:tcPr>
            <w:tcW w:w="376" w:type="pct"/>
            <w:tcBorders>
              <w:top w:val="single" w:sz="8" w:space="0" w:color="auto"/>
              <w:left w:val="nil"/>
              <w:bottom w:val="single" w:sz="8" w:space="0" w:color="auto"/>
              <w:right w:val="nil"/>
            </w:tcBorders>
            <w:shd w:val="clear" w:color="auto" w:fill="FFFFFF" w:themeFill="background1"/>
            <w:vAlign w:val="center"/>
            <w:hideMark/>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9.4</w:t>
            </w:r>
          </w:p>
        </w:tc>
        <w:tc>
          <w:tcPr>
            <w:tcW w:w="565" w:type="pct"/>
            <w:tcBorders>
              <w:top w:val="single" w:sz="8" w:space="0" w:color="auto"/>
              <w:left w:val="nil"/>
              <w:bottom w:val="single" w:sz="8" w:space="0" w:color="auto"/>
              <w:right w:val="nil"/>
            </w:tcBorders>
            <w:shd w:val="clear" w:color="auto" w:fill="FFFFFF" w:themeFill="background1"/>
            <w:vAlign w:val="center"/>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549</w:t>
            </w:r>
          </w:p>
        </w:tc>
        <w:tc>
          <w:tcPr>
            <w:tcW w:w="376" w:type="pct"/>
            <w:tcBorders>
              <w:top w:val="single" w:sz="8" w:space="0" w:color="auto"/>
              <w:left w:val="nil"/>
              <w:bottom w:val="single" w:sz="8" w:space="0" w:color="auto"/>
              <w:right w:val="nil"/>
            </w:tcBorders>
            <w:shd w:val="clear" w:color="auto" w:fill="FFFFFF" w:themeFill="background1"/>
            <w:vAlign w:val="center"/>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0"/>
                <w:szCs w:val="20"/>
                <w:lang w:val="es-MX"/>
              </w:rPr>
            </w:pPr>
            <w:r w:rsidRPr="00B80DB1">
              <w:rPr>
                <w:rFonts w:ascii="Arial" w:hAnsi="Arial" w:cs="Arial"/>
                <w:b/>
                <w:color w:val="000000" w:themeColor="text1"/>
                <w:sz w:val="20"/>
                <w:szCs w:val="20"/>
                <w:lang w:val="es-MX"/>
              </w:rPr>
              <w:t>11.0</w:t>
            </w:r>
          </w:p>
        </w:tc>
      </w:tr>
      <w:tr w:rsidR="00475BBF" w:rsidRPr="00B80DB1" w:rsidTr="00475BBF">
        <w:trPr>
          <w:cnfStyle w:val="000000100000" w:firstRow="0" w:lastRow="0" w:firstColumn="0" w:lastColumn="0" w:oddVBand="0" w:evenVBand="0" w:oddHBand="1" w:evenHBand="0" w:firstRowFirstColumn="0" w:firstRowLastColumn="0" w:lastRowFirstColumn="0" w:lastRowLastColumn="0"/>
          <w:trHeight w:val="370"/>
          <w:jc w:val="center"/>
        </w:trPr>
        <w:tc>
          <w:tcPr>
            <w:cnfStyle w:val="001000000000" w:firstRow="0" w:lastRow="0" w:firstColumn="1" w:lastColumn="0" w:oddVBand="0" w:evenVBand="0" w:oddHBand="0" w:evenHBand="0" w:firstRowFirstColumn="0" w:firstRowLastColumn="0" w:lastRowFirstColumn="0" w:lastRowLastColumn="0"/>
            <w:tcW w:w="725" w:type="pct"/>
            <w:tcBorders>
              <w:top w:val="single" w:sz="8" w:space="0" w:color="auto"/>
              <w:bottom w:val="nil"/>
            </w:tcBorders>
            <w:shd w:val="clear" w:color="auto" w:fill="FFFFFF" w:themeFill="background1"/>
          </w:tcPr>
          <w:p w:rsidR="00475BBF" w:rsidRPr="00B80DB1" w:rsidRDefault="00475BBF" w:rsidP="00475BBF">
            <w:pPr>
              <w:spacing w:line="360" w:lineRule="auto"/>
              <w:jc w:val="both"/>
              <w:rPr>
                <w:rFonts w:ascii="Arial" w:hAnsi="Arial" w:cs="Arial"/>
                <w:b w:val="0"/>
                <w:color w:val="000000" w:themeColor="text1"/>
                <w:sz w:val="20"/>
                <w:szCs w:val="20"/>
                <w:lang w:val="es-MX"/>
              </w:rPr>
            </w:pPr>
            <w:r w:rsidRPr="00B80DB1">
              <w:rPr>
                <w:rFonts w:ascii="Arial" w:hAnsi="Arial" w:cs="Arial"/>
                <w:b w:val="0"/>
                <w:color w:val="000000" w:themeColor="text1"/>
                <w:sz w:val="20"/>
                <w:szCs w:val="20"/>
                <w:lang w:val="es-MX"/>
              </w:rPr>
              <w:t>San José</w:t>
            </w:r>
          </w:p>
        </w:tc>
        <w:tc>
          <w:tcPr>
            <w:tcW w:w="457" w:type="pct"/>
            <w:tcBorders>
              <w:top w:val="single" w:sz="8" w:space="0" w:color="auto"/>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98</w:t>
            </w:r>
          </w:p>
        </w:tc>
        <w:tc>
          <w:tcPr>
            <w:tcW w:w="376" w:type="pct"/>
            <w:tcBorders>
              <w:top w:val="single" w:sz="8" w:space="0" w:color="auto"/>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6.2</w:t>
            </w:r>
          </w:p>
        </w:tc>
        <w:tc>
          <w:tcPr>
            <w:tcW w:w="457" w:type="pct"/>
            <w:tcBorders>
              <w:top w:val="single" w:sz="8" w:space="0" w:color="auto"/>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124</w:t>
            </w:r>
          </w:p>
        </w:tc>
        <w:tc>
          <w:tcPr>
            <w:tcW w:w="376" w:type="pct"/>
            <w:tcBorders>
              <w:top w:val="single" w:sz="8" w:space="0" w:color="auto"/>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7.8</w:t>
            </w:r>
          </w:p>
        </w:tc>
        <w:tc>
          <w:tcPr>
            <w:tcW w:w="457" w:type="pct"/>
            <w:tcBorders>
              <w:top w:val="single" w:sz="8" w:space="0" w:color="auto"/>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394</w:t>
            </w:r>
          </w:p>
        </w:tc>
        <w:tc>
          <w:tcPr>
            <w:tcW w:w="376" w:type="pct"/>
            <w:tcBorders>
              <w:top w:val="single" w:sz="8" w:space="0" w:color="auto"/>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8.1</w:t>
            </w:r>
          </w:p>
        </w:tc>
        <w:tc>
          <w:tcPr>
            <w:tcW w:w="457" w:type="pct"/>
            <w:tcBorders>
              <w:top w:val="single" w:sz="8" w:space="0" w:color="auto"/>
              <w:bottom w:val="nil"/>
            </w:tcBorders>
            <w:shd w:val="clear" w:color="auto" w:fill="FFFFFF" w:themeFill="background1"/>
            <w:vAlign w:val="bottom"/>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94</w:t>
            </w:r>
          </w:p>
        </w:tc>
        <w:tc>
          <w:tcPr>
            <w:tcW w:w="376" w:type="pct"/>
            <w:tcBorders>
              <w:top w:val="single" w:sz="8" w:space="0" w:color="auto"/>
              <w:bottom w:val="nil"/>
            </w:tcBorders>
            <w:shd w:val="clear" w:color="auto" w:fill="FFFFFF" w:themeFill="background1"/>
            <w:vAlign w:val="center"/>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5.8</w:t>
            </w:r>
          </w:p>
        </w:tc>
        <w:tc>
          <w:tcPr>
            <w:tcW w:w="565" w:type="pct"/>
            <w:tcBorders>
              <w:top w:val="single" w:sz="8" w:space="0" w:color="auto"/>
              <w:bottom w:val="nil"/>
            </w:tcBorders>
            <w:shd w:val="clear" w:color="auto" w:fill="FFFFFF" w:themeFill="background1"/>
            <w:vAlign w:val="bottom"/>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141</w:t>
            </w:r>
          </w:p>
        </w:tc>
        <w:tc>
          <w:tcPr>
            <w:tcW w:w="376" w:type="pct"/>
            <w:tcBorders>
              <w:top w:val="single" w:sz="8" w:space="0" w:color="auto"/>
              <w:bottom w:val="nil"/>
            </w:tcBorders>
            <w:shd w:val="clear" w:color="auto" w:fill="FFFFFF" w:themeFill="background1"/>
            <w:vAlign w:val="center"/>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8.6</w:t>
            </w:r>
          </w:p>
        </w:tc>
      </w:tr>
      <w:tr w:rsidR="00475BBF" w:rsidRPr="00B80DB1" w:rsidTr="00475BBF">
        <w:trPr>
          <w:trHeight w:val="384"/>
          <w:jc w:val="center"/>
        </w:trPr>
        <w:tc>
          <w:tcPr>
            <w:cnfStyle w:val="001000000000" w:firstRow="0" w:lastRow="0" w:firstColumn="1" w:lastColumn="0" w:oddVBand="0" w:evenVBand="0" w:oddHBand="0" w:evenHBand="0" w:firstRowFirstColumn="0" w:firstRowLastColumn="0" w:lastRowFirstColumn="0" w:lastRowLastColumn="0"/>
            <w:tcW w:w="725" w:type="pct"/>
            <w:tcBorders>
              <w:top w:val="nil"/>
              <w:left w:val="nil"/>
              <w:bottom w:val="nil"/>
              <w:right w:val="nil"/>
            </w:tcBorders>
            <w:shd w:val="clear" w:color="auto" w:fill="FFFFFF" w:themeFill="background1"/>
          </w:tcPr>
          <w:p w:rsidR="00475BBF" w:rsidRPr="00B80DB1" w:rsidRDefault="00475BBF" w:rsidP="00475BBF">
            <w:pPr>
              <w:spacing w:line="360" w:lineRule="auto"/>
              <w:jc w:val="both"/>
              <w:rPr>
                <w:rFonts w:ascii="Arial" w:hAnsi="Arial" w:cs="Arial"/>
                <w:b w:val="0"/>
                <w:color w:val="000000" w:themeColor="text1"/>
                <w:sz w:val="20"/>
                <w:szCs w:val="20"/>
                <w:lang w:val="es-MX"/>
              </w:rPr>
            </w:pPr>
            <w:r w:rsidRPr="00B80DB1">
              <w:rPr>
                <w:rFonts w:ascii="Arial" w:hAnsi="Arial" w:cs="Arial"/>
                <w:b w:val="0"/>
                <w:color w:val="000000" w:themeColor="text1"/>
                <w:sz w:val="20"/>
                <w:szCs w:val="20"/>
                <w:lang w:val="es-MX"/>
              </w:rPr>
              <w:t>Alajuela</w:t>
            </w:r>
          </w:p>
        </w:tc>
        <w:tc>
          <w:tcPr>
            <w:tcW w:w="457"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92</w:t>
            </w:r>
          </w:p>
        </w:tc>
        <w:tc>
          <w:tcPr>
            <w:tcW w:w="376"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9.7</w:t>
            </w:r>
          </w:p>
        </w:tc>
        <w:tc>
          <w:tcPr>
            <w:tcW w:w="457"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61</w:t>
            </w:r>
          </w:p>
        </w:tc>
        <w:tc>
          <w:tcPr>
            <w:tcW w:w="376"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6.4</w:t>
            </w:r>
          </w:p>
        </w:tc>
        <w:tc>
          <w:tcPr>
            <w:tcW w:w="457"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59</w:t>
            </w:r>
          </w:p>
        </w:tc>
        <w:tc>
          <w:tcPr>
            <w:tcW w:w="376"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6.0</w:t>
            </w:r>
          </w:p>
        </w:tc>
        <w:tc>
          <w:tcPr>
            <w:tcW w:w="457" w:type="pct"/>
            <w:tcBorders>
              <w:top w:val="nil"/>
              <w:left w:val="nil"/>
              <w:bottom w:val="nil"/>
              <w:right w:val="nil"/>
            </w:tcBorders>
            <w:shd w:val="clear" w:color="auto" w:fill="FFFFFF" w:themeFill="background1"/>
            <w:vAlign w:val="bottom"/>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89</w:t>
            </w:r>
          </w:p>
        </w:tc>
        <w:tc>
          <w:tcPr>
            <w:tcW w:w="376" w:type="pct"/>
            <w:tcBorders>
              <w:top w:val="nil"/>
              <w:left w:val="nil"/>
              <w:bottom w:val="nil"/>
              <w:right w:val="nil"/>
            </w:tcBorders>
            <w:shd w:val="clear" w:color="auto" w:fill="FFFFFF" w:themeFill="background1"/>
            <w:vAlign w:val="center"/>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9.0</w:t>
            </w:r>
          </w:p>
        </w:tc>
        <w:tc>
          <w:tcPr>
            <w:tcW w:w="565" w:type="pct"/>
            <w:tcBorders>
              <w:top w:val="nil"/>
              <w:left w:val="nil"/>
              <w:bottom w:val="nil"/>
              <w:right w:val="nil"/>
            </w:tcBorders>
            <w:shd w:val="clear" w:color="auto" w:fill="FFFFFF" w:themeFill="background1"/>
            <w:vAlign w:val="bottom"/>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106</w:t>
            </w:r>
          </w:p>
        </w:tc>
        <w:tc>
          <w:tcPr>
            <w:tcW w:w="376" w:type="pct"/>
            <w:tcBorders>
              <w:top w:val="nil"/>
              <w:left w:val="nil"/>
              <w:bottom w:val="nil"/>
              <w:right w:val="nil"/>
            </w:tcBorders>
            <w:shd w:val="clear" w:color="auto" w:fill="FFFFFF" w:themeFill="background1"/>
            <w:vAlign w:val="center"/>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10.6</w:t>
            </w:r>
          </w:p>
        </w:tc>
      </w:tr>
      <w:tr w:rsidR="00475BBF" w:rsidRPr="00B80DB1" w:rsidTr="00475BBF">
        <w:trPr>
          <w:cnfStyle w:val="000000100000" w:firstRow="0" w:lastRow="0" w:firstColumn="0" w:lastColumn="0" w:oddVBand="0" w:evenVBand="0" w:oddHBand="1" w:evenHBand="0" w:firstRowFirstColumn="0" w:firstRowLastColumn="0" w:lastRowFirstColumn="0" w:lastRowLastColumn="0"/>
          <w:trHeight w:val="370"/>
          <w:jc w:val="center"/>
        </w:trPr>
        <w:tc>
          <w:tcPr>
            <w:cnfStyle w:val="001000000000" w:firstRow="0" w:lastRow="0" w:firstColumn="1" w:lastColumn="0" w:oddVBand="0" w:evenVBand="0" w:oddHBand="0" w:evenHBand="0" w:firstRowFirstColumn="0" w:firstRowLastColumn="0" w:lastRowFirstColumn="0" w:lastRowLastColumn="0"/>
            <w:tcW w:w="725" w:type="pct"/>
            <w:tcBorders>
              <w:top w:val="nil"/>
              <w:bottom w:val="nil"/>
            </w:tcBorders>
            <w:shd w:val="clear" w:color="auto" w:fill="FFFFFF" w:themeFill="background1"/>
          </w:tcPr>
          <w:p w:rsidR="00475BBF" w:rsidRPr="00B80DB1" w:rsidRDefault="00475BBF" w:rsidP="00475BBF">
            <w:pPr>
              <w:spacing w:line="360" w:lineRule="auto"/>
              <w:jc w:val="both"/>
              <w:rPr>
                <w:rFonts w:ascii="Arial" w:hAnsi="Arial" w:cs="Arial"/>
                <w:b w:val="0"/>
                <w:color w:val="000000" w:themeColor="text1"/>
                <w:sz w:val="20"/>
                <w:szCs w:val="20"/>
                <w:lang w:val="es-MX"/>
              </w:rPr>
            </w:pPr>
            <w:r w:rsidRPr="00B80DB1">
              <w:rPr>
                <w:rFonts w:ascii="Arial" w:hAnsi="Arial" w:cs="Arial"/>
                <w:b w:val="0"/>
                <w:color w:val="000000" w:themeColor="text1"/>
                <w:sz w:val="20"/>
                <w:szCs w:val="20"/>
                <w:lang w:val="es-MX"/>
              </w:rPr>
              <w:t>Cartago</w:t>
            </w:r>
          </w:p>
        </w:tc>
        <w:tc>
          <w:tcPr>
            <w:tcW w:w="457"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22</w:t>
            </w:r>
          </w:p>
        </w:tc>
        <w:tc>
          <w:tcPr>
            <w:tcW w:w="376"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4.3</w:t>
            </w:r>
          </w:p>
        </w:tc>
        <w:tc>
          <w:tcPr>
            <w:tcW w:w="457"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35</w:t>
            </w:r>
          </w:p>
        </w:tc>
        <w:tc>
          <w:tcPr>
            <w:tcW w:w="376"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6.7</w:t>
            </w:r>
          </w:p>
        </w:tc>
        <w:tc>
          <w:tcPr>
            <w:tcW w:w="457"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13</w:t>
            </w:r>
          </w:p>
        </w:tc>
        <w:tc>
          <w:tcPr>
            <w:tcW w:w="376"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2.5</w:t>
            </w:r>
          </w:p>
        </w:tc>
        <w:tc>
          <w:tcPr>
            <w:tcW w:w="457" w:type="pct"/>
            <w:tcBorders>
              <w:top w:val="nil"/>
              <w:bottom w:val="nil"/>
            </w:tcBorders>
            <w:shd w:val="clear" w:color="auto" w:fill="FFFFFF" w:themeFill="background1"/>
            <w:vAlign w:val="bottom"/>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15</w:t>
            </w:r>
          </w:p>
        </w:tc>
        <w:tc>
          <w:tcPr>
            <w:tcW w:w="376" w:type="pct"/>
            <w:tcBorders>
              <w:top w:val="nil"/>
              <w:bottom w:val="nil"/>
            </w:tcBorders>
            <w:shd w:val="clear" w:color="auto" w:fill="FFFFFF" w:themeFill="background1"/>
            <w:vAlign w:val="center"/>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2.8</w:t>
            </w:r>
          </w:p>
        </w:tc>
        <w:tc>
          <w:tcPr>
            <w:tcW w:w="565" w:type="pct"/>
            <w:tcBorders>
              <w:top w:val="nil"/>
              <w:bottom w:val="nil"/>
            </w:tcBorders>
            <w:shd w:val="clear" w:color="auto" w:fill="FFFFFF" w:themeFill="background1"/>
            <w:vAlign w:val="bottom"/>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39</w:t>
            </w:r>
          </w:p>
        </w:tc>
        <w:tc>
          <w:tcPr>
            <w:tcW w:w="376" w:type="pct"/>
            <w:tcBorders>
              <w:top w:val="nil"/>
              <w:bottom w:val="nil"/>
            </w:tcBorders>
            <w:shd w:val="clear" w:color="auto" w:fill="FFFFFF" w:themeFill="background1"/>
            <w:vAlign w:val="center"/>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7.3</w:t>
            </w:r>
          </w:p>
        </w:tc>
      </w:tr>
      <w:tr w:rsidR="00475BBF" w:rsidRPr="00B80DB1" w:rsidTr="00475BBF">
        <w:trPr>
          <w:trHeight w:val="384"/>
          <w:jc w:val="center"/>
        </w:trPr>
        <w:tc>
          <w:tcPr>
            <w:cnfStyle w:val="001000000000" w:firstRow="0" w:lastRow="0" w:firstColumn="1" w:lastColumn="0" w:oddVBand="0" w:evenVBand="0" w:oddHBand="0" w:evenHBand="0" w:firstRowFirstColumn="0" w:firstRowLastColumn="0" w:lastRowFirstColumn="0" w:lastRowLastColumn="0"/>
            <w:tcW w:w="725" w:type="pct"/>
            <w:tcBorders>
              <w:top w:val="nil"/>
              <w:left w:val="nil"/>
              <w:bottom w:val="nil"/>
              <w:right w:val="nil"/>
            </w:tcBorders>
            <w:shd w:val="clear" w:color="auto" w:fill="FFFFFF" w:themeFill="background1"/>
          </w:tcPr>
          <w:p w:rsidR="00475BBF" w:rsidRPr="00B80DB1" w:rsidRDefault="00475BBF" w:rsidP="00475BBF">
            <w:pPr>
              <w:spacing w:line="360" w:lineRule="auto"/>
              <w:jc w:val="both"/>
              <w:rPr>
                <w:rFonts w:ascii="Arial" w:hAnsi="Arial" w:cs="Arial"/>
                <w:b w:val="0"/>
                <w:color w:val="000000" w:themeColor="text1"/>
                <w:sz w:val="20"/>
                <w:szCs w:val="20"/>
                <w:lang w:val="es-MX"/>
              </w:rPr>
            </w:pPr>
            <w:r w:rsidRPr="00B80DB1">
              <w:rPr>
                <w:rFonts w:ascii="Arial" w:hAnsi="Arial" w:cs="Arial"/>
                <w:b w:val="0"/>
                <w:color w:val="000000" w:themeColor="text1"/>
                <w:sz w:val="20"/>
                <w:szCs w:val="20"/>
                <w:lang w:val="es-MX"/>
              </w:rPr>
              <w:t>Heredia</w:t>
            </w:r>
          </w:p>
        </w:tc>
        <w:tc>
          <w:tcPr>
            <w:tcW w:w="457"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19</w:t>
            </w:r>
          </w:p>
        </w:tc>
        <w:tc>
          <w:tcPr>
            <w:tcW w:w="376"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3.9</w:t>
            </w:r>
          </w:p>
        </w:tc>
        <w:tc>
          <w:tcPr>
            <w:tcW w:w="457"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30</w:t>
            </w:r>
          </w:p>
        </w:tc>
        <w:tc>
          <w:tcPr>
            <w:tcW w:w="376"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6.1</w:t>
            </w:r>
          </w:p>
        </w:tc>
        <w:tc>
          <w:tcPr>
            <w:tcW w:w="457"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0</w:t>
            </w:r>
          </w:p>
        </w:tc>
        <w:tc>
          <w:tcPr>
            <w:tcW w:w="376"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0</w:t>
            </w:r>
          </w:p>
        </w:tc>
        <w:tc>
          <w:tcPr>
            <w:tcW w:w="457" w:type="pct"/>
            <w:tcBorders>
              <w:top w:val="nil"/>
              <w:left w:val="nil"/>
              <w:bottom w:val="nil"/>
              <w:right w:val="nil"/>
            </w:tcBorders>
            <w:shd w:val="clear" w:color="auto" w:fill="FFFFFF" w:themeFill="background1"/>
            <w:vAlign w:val="bottom"/>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21</w:t>
            </w:r>
          </w:p>
        </w:tc>
        <w:tc>
          <w:tcPr>
            <w:tcW w:w="376" w:type="pct"/>
            <w:tcBorders>
              <w:top w:val="nil"/>
              <w:left w:val="nil"/>
              <w:bottom w:val="nil"/>
              <w:right w:val="nil"/>
            </w:tcBorders>
            <w:shd w:val="clear" w:color="auto" w:fill="FFFFFF" w:themeFill="background1"/>
            <w:vAlign w:val="center"/>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4.2</w:t>
            </w:r>
          </w:p>
        </w:tc>
        <w:tc>
          <w:tcPr>
            <w:tcW w:w="565" w:type="pct"/>
            <w:tcBorders>
              <w:top w:val="nil"/>
              <w:left w:val="nil"/>
              <w:bottom w:val="nil"/>
              <w:right w:val="nil"/>
            </w:tcBorders>
            <w:shd w:val="clear" w:color="auto" w:fill="FFFFFF" w:themeFill="background1"/>
            <w:vAlign w:val="bottom"/>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25</w:t>
            </w:r>
          </w:p>
        </w:tc>
        <w:tc>
          <w:tcPr>
            <w:tcW w:w="376" w:type="pct"/>
            <w:tcBorders>
              <w:top w:val="nil"/>
              <w:left w:val="nil"/>
              <w:bottom w:val="nil"/>
              <w:right w:val="nil"/>
            </w:tcBorders>
            <w:shd w:val="clear" w:color="auto" w:fill="FFFFFF" w:themeFill="background1"/>
            <w:vAlign w:val="center"/>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4.9</w:t>
            </w:r>
          </w:p>
        </w:tc>
      </w:tr>
      <w:tr w:rsidR="00475BBF" w:rsidRPr="00B80DB1" w:rsidTr="00475BBF">
        <w:trPr>
          <w:cnfStyle w:val="000000100000" w:firstRow="0" w:lastRow="0" w:firstColumn="0" w:lastColumn="0" w:oddVBand="0" w:evenVBand="0" w:oddHBand="1" w:evenHBand="0" w:firstRowFirstColumn="0" w:firstRowLastColumn="0" w:lastRowFirstColumn="0" w:lastRowLastColumn="0"/>
          <w:trHeight w:val="370"/>
          <w:jc w:val="center"/>
        </w:trPr>
        <w:tc>
          <w:tcPr>
            <w:cnfStyle w:val="001000000000" w:firstRow="0" w:lastRow="0" w:firstColumn="1" w:lastColumn="0" w:oddVBand="0" w:evenVBand="0" w:oddHBand="0" w:evenHBand="0" w:firstRowFirstColumn="0" w:firstRowLastColumn="0" w:lastRowFirstColumn="0" w:lastRowLastColumn="0"/>
            <w:tcW w:w="725" w:type="pct"/>
            <w:tcBorders>
              <w:top w:val="nil"/>
              <w:bottom w:val="nil"/>
            </w:tcBorders>
            <w:shd w:val="clear" w:color="auto" w:fill="FFFFFF" w:themeFill="background1"/>
          </w:tcPr>
          <w:p w:rsidR="00475BBF" w:rsidRPr="00B80DB1" w:rsidRDefault="00475BBF" w:rsidP="00475BBF">
            <w:pPr>
              <w:spacing w:line="360" w:lineRule="auto"/>
              <w:jc w:val="both"/>
              <w:rPr>
                <w:rFonts w:ascii="Arial" w:hAnsi="Arial" w:cs="Arial"/>
                <w:b w:val="0"/>
                <w:color w:val="000000" w:themeColor="text1"/>
                <w:sz w:val="20"/>
                <w:szCs w:val="20"/>
                <w:lang w:val="es-MX"/>
              </w:rPr>
            </w:pPr>
            <w:r w:rsidRPr="00B80DB1">
              <w:rPr>
                <w:rFonts w:ascii="Arial" w:hAnsi="Arial" w:cs="Arial"/>
                <w:b w:val="0"/>
                <w:color w:val="000000" w:themeColor="text1"/>
                <w:sz w:val="20"/>
                <w:szCs w:val="20"/>
                <w:lang w:val="es-MX"/>
              </w:rPr>
              <w:t>Guanacaste</w:t>
            </w:r>
          </w:p>
        </w:tc>
        <w:tc>
          <w:tcPr>
            <w:tcW w:w="457"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17</w:t>
            </w:r>
          </w:p>
        </w:tc>
        <w:tc>
          <w:tcPr>
            <w:tcW w:w="376"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4.7</w:t>
            </w:r>
          </w:p>
        </w:tc>
        <w:tc>
          <w:tcPr>
            <w:tcW w:w="457"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20</w:t>
            </w:r>
          </w:p>
        </w:tc>
        <w:tc>
          <w:tcPr>
            <w:tcW w:w="376"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5.5</w:t>
            </w:r>
          </w:p>
        </w:tc>
        <w:tc>
          <w:tcPr>
            <w:tcW w:w="457"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17</w:t>
            </w:r>
          </w:p>
        </w:tc>
        <w:tc>
          <w:tcPr>
            <w:tcW w:w="376" w:type="pct"/>
            <w:tcBorders>
              <w:top w:val="nil"/>
              <w:bottom w:val="nil"/>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4.6</w:t>
            </w:r>
          </w:p>
        </w:tc>
        <w:tc>
          <w:tcPr>
            <w:tcW w:w="457" w:type="pct"/>
            <w:tcBorders>
              <w:top w:val="nil"/>
              <w:bottom w:val="nil"/>
            </w:tcBorders>
            <w:shd w:val="clear" w:color="auto" w:fill="FFFFFF" w:themeFill="background1"/>
            <w:vAlign w:val="bottom"/>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42</w:t>
            </w:r>
          </w:p>
        </w:tc>
        <w:tc>
          <w:tcPr>
            <w:tcW w:w="376" w:type="pct"/>
            <w:tcBorders>
              <w:top w:val="nil"/>
              <w:bottom w:val="nil"/>
            </w:tcBorders>
            <w:shd w:val="clear" w:color="auto" w:fill="FFFFFF" w:themeFill="background1"/>
            <w:vAlign w:val="center"/>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11.1</w:t>
            </w:r>
          </w:p>
        </w:tc>
        <w:tc>
          <w:tcPr>
            <w:tcW w:w="565" w:type="pct"/>
            <w:tcBorders>
              <w:top w:val="nil"/>
              <w:bottom w:val="nil"/>
            </w:tcBorders>
            <w:shd w:val="clear" w:color="auto" w:fill="FFFFFF" w:themeFill="background1"/>
            <w:vAlign w:val="bottom"/>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33</w:t>
            </w:r>
          </w:p>
        </w:tc>
        <w:tc>
          <w:tcPr>
            <w:tcW w:w="376" w:type="pct"/>
            <w:tcBorders>
              <w:top w:val="nil"/>
              <w:bottom w:val="nil"/>
            </w:tcBorders>
            <w:shd w:val="clear" w:color="auto" w:fill="FFFFFF" w:themeFill="background1"/>
            <w:vAlign w:val="center"/>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8.6</w:t>
            </w:r>
          </w:p>
        </w:tc>
      </w:tr>
      <w:tr w:rsidR="00475BBF" w:rsidRPr="00B80DB1" w:rsidTr="00475BBF">
        <w:trPr>
          <w:trHeight w:val="370"/>
          <w:jc w:val="center"/>
        </w:trPr>
        <w:tc>
          <w:tcPr>
            <w:cnfStyle w:val="001000000000" w:firstRow="0" w:lastRow="0" w:firstColumn="1" w:lastColumn="0" w:oddVBand="0" w:evenVBand="0" w:oddHBand="0" w:evenHBand="0" w:firstRowFirstColumn="0" w:firstRowLastColumn="0" w:lastRowFirstColumn="0" w:lastRowLastColumn="0"/>
            <w:tcW w:w="725" w:type="pct"/>
            <w:tcBorders>
              <w:top w:val="nil"/>
              <w:left w:val="nil"/>
              <w:bottom w:val="nil"/>
              <w:right w:val="nil"/>
            </w:tcBorders>
            <w:shd w:val="clear" w:color="auto" w:fill="FFFFFF" w:themeFill="background1"/>
          </w:tcPr>
          <w:p w:rsidR="00475BBF" w:rsidRPr="00B80DB1" w:rsidRDefault="00475BBF" w:rsidP="00475BBF">
            <w:pPr>
              <w:spacing w:line="360" w:lineRule="auto"/>
              <w:jc w:val="both"/>
              <w:rPr>
                <w:rFonts w:ascii="Arial" w:hAnsi="Arial" w:cs="Arial"/>
                <w:b w:val="0"/>
                <w:color w:val="000000" w:themeColor="text1"/>
                <w:sz w:val="20"/>
                <w:szCs w:val="20"/>
                <w:lang w:val="es-MX"/>
              </w:rPr>
            </w:pPr>
            <w:r w:rsidRPr="00B80DB1">
              <w:rPr>
                <w:rFonts w:ascii="Arial" w:hAnsi="Arial" w:cs="Arial"/>
                <w:b w:val="0"/>
                <w:color w:val="000000" w:themeColor="text1"/>
                <w:sz w:val="20"/>
                <w:szCs w:val="20"/>
                <w:lang w:val="es-MX"/>
              </w:rPr>
              <w:t>Puntarenas</w:t>
            </w:r>
          </w:p>
        </w:tc>
        <w:tc>
          <w:tcPr>
            <w:tcW w:w="457"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154</w:t>
            </w:r>
          </w:p>
        </w:tc>
        <w:tc>
          <w:tcPr>
            <w:tcW w:w="376"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33.4</w:t>
            </w:r>
          </w:p>
        </w:tc>
        <w:tc>
          <w:tcPr>
            <w:tcW w:w="457"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151</w:t>
            </w:r>
          </w:p>
        </w:tc>
        <w:tc>
          <w:tcPr>
            <w:tcW w:w="376"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32.3</w:t>
            </w:r>
          </w:p>
        </w:tc>
        <w:tc>
          <w:tcPr>
            <w:tcW w:w="457"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137</w:t>
            </w:r>
          </w:p>
        </w:tc>
        <w:tc>
          <w:tcPr>
            <w:tcW w:w="376" w:type="pct"/>
            <w:tcBorders>
              <w:top w:val="nil"/>
              <w:left w:val="nil"/>
              <w:bottom w:val="nil"/>
              <w:right w:val="nil"/>
            </w:tcBorders>
            <w:shd w:val="clear" w:color="auto" w:fill="FFFFFF" w:themeFill="background1"/>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28.9</w:t>
            </w:r>
          </w:p>
        </w:tc>
        <w:tc>
          <w:tcPr>
            <w:tcW w:w="457" w:type="pct"/>
            <w:tcBorders>
              <w:top w:val="nil"/>
              <w:left w:val="nil"/>
              <w:bottom w:val="nil"/>
              <w:right w:val="nil"/>
            </w:tcBorders>
            <w:shd w:val="clear" w:color="auto" w:fill="FFFFFF" w:themeFill="background1"/>
            <w:vAlign w:val="bottom"/>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125</w:t>
            </w:r>
          </w:p>
        </w:tc>
        <w:tc>
          <w:tcPr>
            <w:tcW w:w="376" w:type="pct"/>
            <w:tcBorders>
              <w:top w:val="nil"/>
              <w:left w:val="nil"/>
              <w:bottom w:val="nil"/>
              <w:right w:val="nil"/>
            </w:tcBorders>
            <w:shd w:val="clear" w:color="auto" w:fill="FFFFFF" w:themeFill="background1"/>
            <w:vAlign w:val="center"/>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26.0</w:t>
            </w:r>
          </w:p>
        </w:tc>
        <w:tc>
          <w:tcPr>
            <w:tcW w:w="565" w:type="pct"/>
            <w:tcBorders>
              <w:top w:val="nil"/>
              <w:left w:val="nil"/>
              <w:bottom w:val="nil"/>
              <w:right w:val="nil"/>
            </w:tcBorders>
            <w:shd w:val="clear" w:color="auto" w:fill="FFFFFF" w:themeFill="background1"/>
            <w:vAlign w:val="bottom"/>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103</w:t>
            </w:r>
          </w:p>
        </w:tc>
        <w:tc>
          <w:tcPr>
            <w:tcW w:w="376" w:type="pct"/>
            <w:tcBorders>
              <w:top w:val="nil"/>
              <w:left w:val="nil"/>
              <w:bottom w:val="nil"/>
              <w:right w:val="nil"/>
            </w:tcBorders>
            <w:shd w:val="clear" w:color="auto" w:fill="FFFFFF" w:themeFill="background1"/>
            <w:vAlign w:val="center"/>
          </w:tcPr>
          <w:p w:rsidR="00475BBF" w:rsidRPr="00B80DB1" w:rsidRDefault="00475BBF" w:rsidP="00475BB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21.2</w:t>
            </w:r>
          </w:p>
        </w:tc>
      </w:tr>
      <w:tr w:rsidR="00475BBF" w:rsidRPr="00B80DB1" w:rsidTr="00475BBF">
        <w:trPr>
          <w:cnfStyle w:val="000000100000" w:firstRow="0" w:lastRow="0" w:firstColumn="0" w:lastColumn="0" w:oddVBand="0" w:evenVBand="0" w:oddHBand="1" w:evenHBand="0" w:firstRowFirstColumn="0" w:firstRowLastColumn="0" w:lastRowFirstColumn="0" w:lastRowLastColumn="0"/>
          <w:trHeight w:val="384"/>
          <w:jc w:val="center"/>
        </w:trPr>
        <w:tc>
          <w:tcPr>
            <w:cnfStyle w:val="001000000000" w:firstRow="0" w:lastRow="0" w:firstColumn="1" w:lastColumn="0" w:oddVBand="0" w:evenVBand="0" w:oddHBand="0" w:evenHBand="0" w:firstRowFirstColumn="0" w:firstRowLastColumn="0" w:lastRowFirstColumn="0" w:lastRowLastColumn="0"/>
            <w:tcW w:w="725" w:type="pct"/>
            <w:tcBorders>
              <w:top w:val="nil"/>
              <w:bottom w:val="single" w:sz="8" w:space="0" w:color="auto"/>
            </w:tcBorders>
            <w:shd w:val="clear" w:color="auto" w:fill="FFFFFF" w:themeFill="background1"/>
          </w:tcPr>
          <w:p w:rsidR="00475BBF" w:rsidRPr="00B80DB1" w:rsidRDefault="00475BBF" w:rsidP="00475BBF">
            <w:pPr>
              <w:spacing w:line="360" w:lineRule="auto"/>
              <w:jc w:val="both"/>
              <w:rPr>
                <w:rFonts w:ascii="Arial" w:hAnsi="Arial" w:cs="Arial"/>
                <w:b w:val="0"/>
                <w:color w:val="000000" w:themeColor="text1"/>
                <w:sz w:val="20"/>
                <w:szCs w:val="20"/>
                <w:lang w:val="es-MX"/>
              </w:rPr>
            </w:pPr>
            <w:r w:rsidRPr="00B80DB1">
              <w:rPr>
                <w:rFonts w:ascii="Arial" w:hAnsi="Arial" w:cs="Arial"/>
                <w:b w:val="0"/>
                <w:color w:val="000000" w:themeColor="text1"/>
                <w:sz w:val="20"/>
                <w:szCs w:val="20"/>
                <w:lang w:val="es-MX"/>
              </w:rPr>
              <w:t>Limón</w:t>
            </w:r>
          </w:p>
        </w:tc>
        <w:tc>
          <w:tcPr>
            <w:tcW w:w="457" w:type="pct"/>
            <w:tcBorders>
              <w:top w:val="nil"/>
              <w:bottom w:val="single" w:sz="8" w:space="0" w:color="auto"/>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63</w:t>
            </w:r>
          </w:p>
        </w:tc>
        <w:tc>
          <w:tcPr>
            <w:tcW w:w="376" w:type="pct"/>
            <w:tcBorders>
              <w:top w:val="nil"/>
              <w:bottom w:val="single" w:sz="8" w:space="0" w:color="auto"/>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14.7</w:t>
            </w:r>
          </w:p>
        </w:tc>
        <w:tc>
          <w:tcPr>
            <w:tcW w:w="457" w:type="pct"/>
            <w:tcBorders>
              <w:top w:val="nil"/>
              <w:bottom w:val="single" w:sz="8" w:space="0" w:color="auto"/>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86</w:t>
            </w:r>
          </w:p>
        </w:tc>
        <w:tc>
          <w:tcPr>
            <w:tcW w:w="376" w:type="pct"/>
            <w:tcBorders>
              <w:top w:val="nil"/>
              <w:bottom w:val="single" w:sz="8" w:space="0" w:color="auto"/>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19.8</w:t>
            </w:r>
          </w:p>
        </w:tc>
        <w:tc>
          <w:tcPr>
            <w:tcW w:w="457" w:type="pct"/>
            <w:tcBorders>
              <w:top w:val="nil"/>
              <w:bottom w:val="single" w:sz="8" w:space="0" w:color="auto"/>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60</w:t>
            </w:r>
          </w:p>
        </w:tc>
        <w:tc>
          <w:tcPr>
            <w:tcW w:w="376" w:type="pct"/>
            <w:tcBorders>
              <w:top w:val="nil"/>
              <w:bottom w:val="single" w:sz="8" w:space="0" w:color="auto"/>
            </w:tcBorders>
            <w:shd w:val="clear" w:color="auto" w:fill="FFFFFF" w:themeFill="background1"/>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13.7</w:t>
            </w:r>
          </w:p>
        </w:tc>
        <w:tc>
          <w:tcPr>
            <w:tcW w:w="457" w:type="pct"/>
            <w:tcBorders>
              <w:top w:val="nil"/>
              <w:bottom w:val="single" w:sz="8" w:space="0" w:color="auto"/>
            </w:tcBorders>
            <w:shd w:val="clear" w:color="auto" w:fill="FFFFFF" w:themeFill="background1"/>
            <w:vAlign w:val="bottom"/>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78</w:t>
            </w:r>
          </w:p>
        </w:tc>
        <w:tc>
          <w:tcPr>
            <w:tcW w:w="376" w:type="pct"/>
            <w:tcBorders>
              <w:top w:val="nil"/>
              <w:bottom w:val="single" w:sz="8" w:space="0" w:color="auto"/>
            </w:tcBorders>
            <w:shd w:val="clear" w:color="auto" w:fill="FFFFFF" w:themeFill="background1"/>
            <w:vAlign w:val="center"/>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17.5</w:t>
            </w:r>
          </w:p>
        </w:tc>
        <w:tc>
          <w:tcPr>
            <w:tcW w:w="565" w:type="pct"/>
            <w:tcBorders>
              <w:top w:val="nil"/>
              <w:bottom w:val="single" w:sz="8" w:space="0" w:color="auto"/>
            </w:tcBorders>
            <w:shd w:val="clear" w:color="auto" w:fill="FFFFFF" w:themeFill="background1"/>
            <w:vAlign w:val="bottom"/>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102</w:t>
            </w:r>
          </w:p>
        </w:tc>
        <w:tc>
          <w:tcPr>
            <w:tcW w:w="376" w:type="pct"/>
            <w:tcBorders>
              <w:top w:val="nil"/>
              <w:bottom w:val="single" w:sz="8" w:space="0" w:color="auto"/>
            </w:tcBorders>
            <w:shd w:val="clear" w:color="auto" w:fill="FFFFFF" w:themeFill="background1"/>
            <w:vAlign w:val="center"/>
          </w:tcPr>
          <w:p w:rsidR="00475BBF" w:rsidRPr="00B80DB1" w:rsidRDefault="00475BBF" w:rsidP="00475BB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B80DB1">
              <w:rPr>
                <w:rFonts w:ascii="Arial" w:hAnsi="Arial" w:cs="Arial"/>
                <w:color w:val="000000" w:themeColor="text1"/>
                <w:sz w:val="20"/>
                <w:szCs w:val="20"/>
                <w:lang w:val="es-MX"/>
              </w:rPr>
              <w:t>22.7</w:t>
            </w:r>
          </w:p>
        </w:tc>
      </w:tr>
    </w:tbl>
    <w:p w:rsidR="00475BBF" w:rsidRDefault="00475BBF" w:rsidP="00C81AD1">
      <w:pPr>
        <w:jc w:val="right"/>
        <w:rPr>
          <w:rFonts w:ascii="Arial" w:hAnsi="Arial" w:cs="Arial"/>
          <w:sz w:val="20"/>
          <w:szCs w:val="20"/>
          <w:lang w:val="es-MX"/>
        </w:rPr>
      </w:pPr>
      <w:r w:rsidRPr="00C81AD1">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Dirección de Vigilancia de la Salud. Ministerio de Salud</w:t>
      </w:r>
      <w:r w:rsidR="00C81AD1">
        <w:rPr>
          <w:rFonts w:ascii="Arial" w:hAnsi="Arial" w:cs="Arial"/>
          <w:sz w:val="20"/>
          <w:szCs w:val="20"/>
          <w:lang w:val="es-MX"/>
        </w:rPr>
        <w:t>, 2019.</w:t>
      </w:r>
    </w:p>
    <w:p w:rsidR="00C81AD1" w:rsidRPr="006C0849" w:rsidRDefault="00C81AD1" w:rsidP="00C81AD1">
      <w:pPr>
        <w:jc w:val="both"/>
        <w:rPr>
          <w:rFonts w:ascii="Arial" w:hAnsi="Arial" w:cs="Arial"/>
          <w:sz w:val="14"/>
          <w:szCs w:val="20"/>
          <w:lang w:val="es-MX"/>
        </w:rPr>
      </w:pPr>
      <w:r>
        <w:rPr>
          <w:rFonts w:ascii="Arial" w:hAnsi="Arial" w:cs="Arial"/>
          <w:sz w:val="14"/>
          <w:szCs w:val="20"/>
          <w:vertAlign w:val="superscript"/>
          <w:lang w:val="es-MX"/>
        </w:rPr>
        <w:t xml:space="preserve"> </w:t>
      </w:r>
      <w:r w:rsidRPr="006C0849">
        <w:rPr>
          <w:rFonts w:ascii="Arial" w:hAnsi="Arial" w:cs="Arial"/>
          <w:sz w:val="14"/>
          <w:szCs w:val="20"/>
          <w:vertAlign w:val="superscript"/>
          <w:lang w:val="es-MX"/>
        </w:rPr>
        <w:t>1</w:t>
      </w:r>
      <w:r w:rsidRPr="006C0849">
        <w:rPr>
          <w:rFonts w:ascii="Arial" w:hAnsi="Arial" w:cs="Arial"/>
          <w:sz w:val="14"/>
          <w:szCs w:val="20"/>
          <w:lang w:val="es-MX"/>
        </w:rPr>
        <w:t>/ Dato</w:t>
      </w:r>
      <w:r>
        <w:rPr>
          <w:rFonts w:ascii="Arial" w:hAnsi="Arial" w:cs="Arial"/>
          <w:sz w:val="14"/>
          <w:szCs w:val="20"/>
          <w:lang w:val="es-MX"/>
        </w:rPr>
        <w:t xml:space="preserve">s prelimiares SE 52 (17-01-19) </w:t>
      </w:r>
    </w:p>
    <w:p w:rsidR="00475BBF" w:rsidRDefault="00475BBF" w:rsidP="00C81AD1">
      <w:pPr>
        <w:rPr>
          <w:rFonts w:ascii="Arial" w:hAnsi="Arial" w:cs="Arial"/>
          <w:sz w:val="20"/>
          <w:szCs w:val="20"/>
          <w:lang w:val="es-MX"/>
        </w:rPr>
      </w:pPr>
    </w:p>
    <w:p w:rsidR="00475BBF" w:rsidRDefault="00475BBF" w:rsidP="00475BBF">
      <w:pPr>
        <w:jc w:val="both"/>
        <w:rPr>
          <w:rFonts w:ascii="Arial" w:hAnsi="Arial" w:cs="Arial"/>
          <w:sz w:val="20"/>
          <w:szCs w:val="20"/>
          <w:lang w:val="es-MX"/>
        </w:rPr>
      </w:pPr>
    </w:p>
    <w:p w:rsidR="00475BBF" w:rsidRPr="00F126CE" w:rsidRDefault="00475BBF" w:rsidP="00475BBF">
      <w:pPr>
        <w:spacing w:line="276" w:lineRule="auto"/>
        <w:jc w:val="both"/>
        <w:rPr>
          <w:rFonts w:ascii="Arial" w:hAnsi="Arial" w:cs="Arial"/>
          <w:lang w:val="es-MX"/>
        </w:rPr>
      </w:pPr>
      <w:r w:rsidRPr="00F126CE">
        <w:rPr>
          <w:rFonts w:ascii="Arial" w:hAnsi="Arial" w:cs="Arial"/>
          <w:lang w:val="es-MX"/>
        </w:rPr>
        <w:t xml:space="preserve">El 78.9% de los casos notificados en el período </w:t>
      </w:r>
      <w:r w:rsidR="00C81AD1">
        <w:rPr>
          <w:rFonts w:ascii="Arial" w:hAnsi="Arial" w:cs="Arial"/>
          <w:lang w:val="es-MX"/>
        </w:rPr>
        <w:t xml:space="preserve">fueron </w:t>
      </w:r>
      <w:r w:rsidRPr="00F126CE">
        <w:rPr>
          <w:rFonts w:ascii="Arial" w:hAnsi="Arial" w:cs="Arial"/>
          <w:lang w:val="es-MX"/>
        </w:rPr>
        <w:t xml:space="preserve">del sexo masculino, </w:t>
      </w:r>
      <w:r w:rsidR="00C81AD1">
        <w:rPr>
          <w:rFonts w:ascii="Arial" w:hAnsi="Arial" w:cs="Arial"/>
          <w:lang w:val="es-MX"/>
        </w:rPr>
        <w:t xml:space="preserve">para una </w:t>
      </w:r>
      <w:r w:rsidRPr="00F126CE">
        <w:rPr>
          <w:rFonts w:ascii="Arial" w:hAnsi="Arial" w:cs="Arial"/>
          <w:lang w:val="es-MX"/>
        </w:rPr>
        <w:t xml:space="preserve"> relación hombre mujer </w:t>
      </w:r>
      <w:r w:rsidR="00C81AD1">
        <w:rPr>
          <w:rFonts w:ascii="Arial" w:hAnsi="Arial" w:cs="Arial"/>
          <w:lang w:val="es-MX"/>
        </w:rPr>
        <w:t>de 4:1</w:t>
      </w:r>
      <w:r w:rsidRPr="00F126CE">
        <w:rPr>
          <w:rFonts w:ascii="Arial" w:hAnsi="Arial" w:cs="Arial"/>
          <w:lang w:val="es-MX"/>
        </w:rPr>
        <w:t>.</w:t>
      </w:r>
    </w:p>
    <w:p w:rsidR="00475BBF" w:rsidRPr="00F126CE" w:rsidRDefault="00475BBF" w:rsidP="00475BBF">
      <w:pPr>
        <w:rPr>
          <w:rFonts w:ascii="Arial" w:hAnsi="Arial" w:cs="Arial"/>
          <w:sz w:val="16"/>
          <w:szCs w:val="16"/>
        </w:rPr>
      </w:pPr>
    </w:p>
    <w:p w:rsidR="00475BBF" w:rsidRPr="00F126CE" w:rsidRDefault="00475BBF" w:rsidP="00475BBF">
      <w:pPr>
        <w:spacing w:line="276" w:lineRule="auto"/>
        <w:jc w:val="both"/>
        <w:rPr>
          <w:rFonts w:ascii="Arial" w:hAnsi="Arial" w:cs="Arial"/>
        </w:rPr>
      </w:pPr>
      <w:r w:rsidRPr="00F126CE">
        <w:rPr>
          <w:rFonts w:ascii="Arial" w:hAnsi="Arial" w:cs="Arial"/>
        </w:rPr>
        <w:t>Para el período 2014-2018, los casos se presenta</w:t>
      </w:r>
      <w:r w:rsidR="00C81AD1">
        <w:rPr>
          <w:rFonts w:ascii="Arial" w:hAnsi="Arial" w:cs="Arial"/>
        </w:rPr>
        <w:t>ron en todas las edades</w:t>
      </w:r>
      <w:r w:rsidRPr="00F126CE">
        <w:rPr>
          <w:rFonts w:ascii="Arial" w:hAnsi="Arial" w:cs="Arial"/>
        </w:rPr>
        <w:t>, sin embargo</w:t>
      </w:r>
      <w:r w:rsidR="00C81AD1">
        <w:rPr>
          <w:rFonts w:ascii="Arial" w:hAnsi="Arial" w:cs="Arial"/>
        </w:rPr>
        <w:t>,</w:t>
      </w:r>
      <w:r w:rsidRPr="00F126CE">
        <w:rPr>
          <w:rFonts w:ascii="Arial" w:hAnsi="Arial" w:cs="Arial"/>
        </w:rPr>
        <w:t xml:space="preserve"> los grupos en donde se registró la mayor incidencia fueron los de 20 a 59 años, aportando el 70,5% </w:t>
      </w:r>
      <w:r w:rsidR="00C81AD1">
        <w:rPr>
          <w:rFonts w:ascii="Arial" w:hAnsi="Arial" w:cs="Arial"/>
        </w:rPr>
        <w:t>de los casos.  Gráfico 2</w:t>
      </w:r>
      <w:r w:rsidR="00472E6D">
        <w:rPr>
          <w:rFonts w:ascii="Arial" w:hAnsi="Arial" w:cs="Arial"/>
        </w:rPr>
        <w:t>5</w:t>
      </w:r>
      <w:r w:rsidR="00C81AD1">
        <w:rPr>
          <w:rFonts w:ascii="Arial" w:hAnsi="Arial" w:cs="Arial"/>
        </w:rPr>
        <w:t>.</w:t>
      </w:r>
    </w:p>
    <w:p w:rsidR="00475BBF" w:rsidRPr="00C81AD1" w:rsidRDefault="00475BBF" w:rsidP="00475BBF">
      <w:pPr>
        <w:spacing w:line="276" w:lineRule="auto"/>
        <w:rPr>
          <w:rFonts w:ascii="Arial" w:hAnsi="Arial" w:cs="Arial"/>
          <w:sz w:val="16"/>
          <w:szCs w:val="16"/>
        </w:rPr>
      </w:pPr>
    </w:p>
    <w:p w:rsidR="00C81AD1" w:rsidRDefault="00C81AD1">
      <w:pPr>
        <w:spacing w:after="160" w:line="259" w:lineRule="auto"/>
        <w:rPr>
          <w:rFonts w:ascii="Arial" w:hAnsi="Arial" w:cs="Arial"/>
          <w:b/>
        </w:rPr>
      </w:pPr>
      <w:r>
        <w:rPr>
          <w:rFonts w:ascii="Arial" w:hAnsi="Arial" w:cs="Arial"/>
          <w:b/>
        </w:rPr>
        <w:br w:type="page"/>
      </w:r>
    </w:p>
    <w:p w:rsidR="00475BBF" w:rsidRPr="00C81AD1" w:rsidRDefault="00475BBF" w:rsidP="00475BBF">
      <w:pPr>
        <w:rPr>
          <w:rFonts w:ascii="Arial" w:hAnsi="Arial" w:cs="Arial"/>
          <w:b/>
        </w:rPr>
      </w:pPr>
    </w:p>
    <w:p w:rsidR="00475BBF" w:rsidRPr="00C81AD1" w:rsidRDefault="00475BBF" w:rsidP="00475BBF">
      <w:pPr>
        <w:jc w:val="center"/>
        <w:rPr>
          <w:rFonts w:ascii="Arial" w:hAnsi="Arial" w:cs="Arial"/>
          <w:b/>
        </w:rPr>
      </w:pPr>
      <w:r w:rsidRPr="00C81AD1">
        <w:rPr>
          <w:rFonts w:ascii="Arial" w:hAnsi="Arial" w:cs="Arial"/>
          <w:b/>
        </w:rPr>
        <w:t xml:space="preserve">Gráfico </w:t>
      </w:r>
      <w:r w:rsidR="00C81AD1" w:rsidRPr="00C81AD1">
        <w:rPr>
          <w:rFonts w:ascii="Arial" w:hAnsi="Arial" w:cs="Arial"/>
          <w:b/>
        </w:rPr>
        <w:t>2</w:t>
      </w:r>
      <w:r w:rsidR="00472E6D">
        <w:rPr>
          <w:rFonts w:ascii="Arial" w:hAnsi="Arial" w:cs="Arial"/>
          <w:b/>
        </w:rPr>
        <w:t>5</w:t>
      </w:r>
    </w:p>
    <w:p w:rsidR="00C81AD1" w:rsidRDefault="00475BBF" w:rsidP="00475BBF">
      <w:pPr>
        <w:jc w:val="center"/>
        <w:rPr>
          <w:rFonts w:ascii="Arial" w:hAnsi="Arial" w:cs="Arial"/>
          <w:b/>
        </w:rPr>
      </w:pPr>
      <w:r w:rsidRPr="008E7645">
        <w:rPr>
          <w:rFonts w:ascii="Arial" w:hAnsi="Arial" w:cs="Arial"/>
          <w:b/>
        </w:rPr>
        <w:t>Costa Rica</w:t>
      </w:r>
      <w:r w:rsidR="00C81AD1">
        <w:rPr>
          <w:rFonts w:ascii="Arial" w:hAnsi="Arial" w:cs="Arial"/>
          <w:b/>
        </w:rPr>
        <w:t>:</w:t>
      </w:r>
      <w:r w:rsidRPr="008E7645">
        <w:rPr>
          <w:rFonts w:ascii="Arial" w:hAnsi="Arial" w:cs="Arial"/>
          <w:b/>
        </w:rPr>
        <w:t xml:space="preserve"> Incidencia de leptospirosis </w:t>
      </w:r>
    </w:p>
    <w:p w:rsidR="00475BBF" w:rsidRPr="008E7645" w:rsidRDefault="00C81AD1" w:rsidP="00475BBF">
      <w:pPr>
        <w:jc w:val="center"/>
        <w:rPr>
          <w:rFonts w:ascii="Arial" w:hAnsi="Arial" w:cs="Arial"/>
          <w:b/>
        </w:rPr>
      </w:pPr>
      <w:r>
        <w:rPr>
          <w:rFonts w:ascii="Arial" w:hAnsi="Arial" w:cs="Arial"/>
          <w:b/>
        </w:rPr>
        <w:t xml:space="preserve">según </w:t>
      </w:r>
      <w:r w:rsidR="00475BBF" w:rsidRPr="008E7645">
        <w:rPr>
          <w:rFonts w:ascii="Arial" w:hAnsi="Arial" w:cs="Arial"/>
          <w:b/>
        </w:rPr>
        <w:t xml:space="preserve">edad </w:t>
      </w:r>
      <w:r>
        <w:rPr>
          <w:rFonts w:ascii="Arial" w:hAnsi="Arial" w:cs="Arial"/>
          <w:b/>
        </w:rPr>
        <w:t>y</w:t>
      </w:r>
      <w:r w:rsidR="00475BBF" w:rsidRPr="008E7645">
        <w:rPr>
          <w:rFonts w:ascii="Arial" w:hAnsi="Arial" w:cs="Arial"/>
          <w:b/>
        </w:rPr>
        <w:t xml:space="preserve"> sexo</w:t>
      </w:r>
      <w:r>
        <w:rPr>
          <w:rFonts w:ascii="Arial" w:hAnsi="Arial" w:cs="Arial"/>
          <w:b/>
        </w:rPr>
        <w:t>,</w:t>
      </w:r>
      <w:r w:rsidR="00475BBF" w:rsidRPr="008E7645">
        <w:rPr>
          <w:rFonts w:ascii="Arial" w:hAnsi="Arial" w:cs="Arial"/>
          <w:b/>
        </w:rPr>
        <w:t xml:space="preserve"> 2014-201</w:t>
      </w:r>
      <w:r w:rsidR="00475BBF">
        <w:rPr>
          <w:rFonts w:ascii="Arial" w:hAnsi="Arial" w:cs="Arial"/>
          <w:b/>
        </w:rPr>
        <w:t>8</w:t>
      </w:r>
    </w:p>
    <w:p w:rsidR="00475BBF" w:rsidRPr="00C81AD1" w:rsidRDefault="00475BBF" w:rsidP="00475BBF">
      <w:pPr>
        <w:jc w:val="center"/>
        <w:rPr>
          <w:rFonts w:ascii="Arial" w:hAnsi="Arial" w:cs="Arial"/>
          <w:sz w:val="20"/>
          <w:szCs w:val="20"/>
        </w:rPr>
      </w:pPr>
      <w:r w:rsidRPr="00C81AD1">
        <w:rPr>
          <w:rFonts w:ascii="Arial" w:hAnsi="Arial" w:cs="Arial"/>
          <w:sz w:val="20"/>
          <w:szCs w:val="20"/>
        </w:rPr>
        <w:t>(</w:t>
      </w:r>
      <w:r w:rsidR="00C81AD1" w:rsidRPr="00C81AD1">
        <w:rPr>
          <w:rFonts w:ascii="Arial" w:hAnsi="Arial" w:cs="Arial"/>
          <w:sz w:val="20"/>
          <w:szCs w:val="20"/>
        </w:rPr>
        <w:t>t</w:t>
      </w:r>
      <w:r w:rsidRPr="00C81AD1">
        <w:rPr>
          <w:rFonts w:ascii="Arial" w:hAnsi="Arial" w:cs="Arial"/>
          <w:sz w:val="20"/>
          <w:szCs w:val="20"/>
        </w:rPr>
        <w:t>asa por 100.000 habitantes)</w:t>
      </w:r>
    </w:p>
    <w:p w:rsidR="00475BBF" w:rsidRDefault="00475BBF" w:rsidP="00475BBF">
      <w:pPr>
        <w:rPr>
          <w:rFonts w:ascii="Arial" w:hAnsi="Arial" w:cs="Arial"/>
          <w:sz w:val="16"/>
          <w:szCs w:val="16"/>
        </w:rPr>
      </w:pPr>
    </w:p>
    <w:p w:rsidR="00475BBF" w:rsidRDefault="00475BBF" w:rsidP="00475BBF">
      <w:pPr>
        <w:rPr>
          <w:rFonts w:ascii="Arial" w:hAnsi="Arial" w:cs="Arial"/>
          <w:sz w:val="16"/>
          <w:szCs w:val="16"/>
        </w:rPr>
      </w:pPr>
    </w:p>
    <w:p w:rsidR="00475BBF" w:rsidRDefault="00475BBF" w:rsidP="00475BBF">
      <w:pPr>
        <w:jc w:val="center"/>
        <w:rPr>
          <w:rFonts w:ascii="Arial" w:hAnsi="Arial" w:cs="Arial"/>
          <w:sz w:val="16"/>
          <w:szCs w:val="16"/>
        </w:rPr>
      </w:pPr>
      <w:r>
        <w:rPr>
          <w:noProof/>
          <w:lang w:val="es-CR" w:eastAsia="es-CR"/>
        </w:rPr>
        <w:drawing>
          <wp:inline distT="0" distB="0" distL="0" distR="0" wp14:anchorId="2D16F97A" wp14:editId="656D8A7F">
            <wp:extent cx="4971802" cy="2630805"/>
            <wp:effectExtent l="0" t="0" r="635" b="1714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475BBF" w:rsidRDefault="00475BBF" w:rsidP="00C81AD1">
      <w:pPr>
        <w:jc w:val="right"/>
        <w:rPr>
          <w:rFonts w:ascii="Arial" w:hAnsi="Arial" w:cs="Arial"/>
          <w:sz w:val="20"/>
          <w:szCs w:val="20"/>
          <w:lang w:val="es-MX"/>
        </w:rPr>
      </w:pPr>
      <w:r w:rsidRPr="00C81AD1">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Dirección de Vigilancia de la Salud. Ministerio de Salud</w:t>
      </w:r>
      <w:r w:rsidR="00C81AD1">
        <w:rPr>
          <w:rFonts w:ascii="Arial" w:hAnsi="Arial" w:cs="Arial"/>
          <w:sz w:val="20"/>
          <w:szCs w:val="20"/>
          <w:lang w:val="es-MX"/>
        </w:rPr>
        <w:t>, 2019.</w:t>
      </w:r>
    </w:p>
    <w:p w:rsidR="00475BBF" w:rsidRDefault="00475BBF" w:rsidP="00475BBF">
      <w:pPr>
        <w:rPr>
          <w:rFonts w:ascii="Arial" w:hAnsi="Arial" w:cs="Arial"/>
          <w:sz w:val="16"/>
          <w:szCs w:val="16"/>
        </w:rPr>
      </w:pPr>
    </w:p>
    <w:p w:rsidR="00475BBF" w:rsidRPr="00C81AD1" w:rsidRDefault="00475BBF" w:rsidP="00475BBF">
      <w:pPr>
        <w:rPr>
          <w:rFonts w:ascii="Arial" w:hAnsi="Arial" w:cs="Arial"/>
        </w:rPr>
      </w:pPr>
    </w:p>
    <w:p w:rsidR="00475BBF" w:rsidRPr="00F126CE" w:rsidRDefault="00475BBF" w:rsidP="00475BBF">
      <w:pPr>
        <w:spacing w:line="276" w:lineRule="auto"/>
        <w:jc w:val="both"/>
        <w:rPr>
          <w:rFonts w:ascii="Arial" w:hAnsi="Arial" w:cs="Arial"/>
        </w:rPr>
      </w:pPr>
      <w:r w:rsidRPr="00F126CE">
        <w:rPr>
          <w:rFonts w:ascii="Arial" w:hAnsi="Arial" w:cs="Arial"/>
        </w:rPr>
        <w:t>Los once cantones con incidencia mayor a 20 casos por 100.000 habitantes aportaron el 32,5% de los casos para el período 2014-2018</w:t>
      </w:r>
      <w:r w:rsidR="00C81AD1">
        <w:rPr>
          <w:rFonts w:ascii="Arial" w:hAnsi="Arial" w:cs="Arial"/>
        </w:rPr>
        <w:t xml:space="preserve"> y se presentan en el gráfico 2</w:t>
      </w:r>
      <w:r w:rsidR="00472E6D">
        <w:rPr>
          <w:rFonts w:ascii="Arial" w:hAnsi="Arial" w:cs="Arial"/>
        </w:rPr>
        <w:t>6</w:t>
      </w:r>
      <w:r w:rsidRPr="00F126CE">
        <w:rPr>
          <w:rFonts w:ascii="Arial" w:hAnsi="Arial" w:cs="Arial"/>
        </w:rPr>
        <w:t>. Estos cantones están ubicados en su mayoría en zona rural, en donde se dedican a labores agrícolas y ganaderas que exponen a los trabajadores a aguas contaminadas con orina de animales.</w:t>
      </w:r>
    </w:p>
    <w:p w:rsidR="00C81AD1" w:rsidRDefault="00C81AD1" w:rsidP="00475BBF">
      <w:pPr>
        <w:rPr>
          <w:rFonts w:ascii="Arial" w:hAnsi="Arial" w:cs="Arial"/>
        </w:rPr>
      </w:pPr>
    </w:p>
    <w:p w:rsidR="006D48B5" w:rsidRDefault="006D48B5" w:rsidP="00475BBF">
      <w:pPr>
        <w:rPr>
          <w:rFonts w:ascii="Arial" w:hAnsi="Arial" w:cs="Arial"/>
        </w:rPr>
      </w:pPr>
    </w:p>
    <w:p w:rsidR="006D48B5" w:rsidRDefault="006D48B5">
      <w:pPr>
        <w:spacing w:after="160" w:line="259" w:lineRule="auto"/>
        <w:rPr>
          <w:rFonts w:ascii="Arial" w:hAnsi="Arial" w:cs="Arial"/>
        </w:rPr>
      </w:pPr>
      <w:r>
        <w:rPr>
          <w:rFonts w:ascii="Arial" w:hAnsi="Arial" w:cs="Arial"/>
        </w:rPr>
        <w:br w:type="page"/>
      </w:r>
    </w:p>
    <w:p w:rsidR="006D48B5" w:rsidRPr="00C81AD1" w:rsidRDefault="006D48B5" w:rsidP="00475BBF">
      <w:pPr>
        <w:rPr>
          <w:rFonts w:ascii="Arial" w:hAnsi="Arial" w:cs="Arial"/>
        </w:rPr>
      </w:pPr>
    </w:p>
    <w:p w:rsidR="00475BBF" w:rsidRPr="00C81AD1" w:rsidRDefault="00475BBF" w:rsidP="00475BBF">
      <w:pPr>
        <w:jc w:val="center"/>
        <w:rPr>
          <w:rFonts w:ascii="Arial" w:hAnsi="Arial" w:cs="Arial"/>
          <w:b/>
        </w:rPr>
      </w:pPr>
      <w:r w:rsidRPr="00C81AD1">
        <w:rPr>
          <w:rFonts w:ascii="Arial" w:hAnsi="Arial" w:cs="Arial"/>
          <w:b/>
        </w:rPr>
        <w:t xml:space="preserve">Gráfico </w:t>
      </w:r>
      <w:r w:rsidR="00C81AD1" w:rsidRPr="00C81AD1">
        <w:rPr>
          <w:rFonts w:ascii="Arial" w:hAnsi="Arial" w:cs="Arial"/>
          <w:b/>
        </w:rPr>
        <w:t>2</w:t>
      </w:r>
      <w:r w:rsidR="00472E6D">
        <w:rPr>
          <w:rFonts w:ascii="Arial" w:hAnsi="Arial" w:cs="Arial"/>
          <w:b/>
        </w:rPr>
        <w:t>6</w:t>
      </w:r>
    </w:p>
    <w:p w:rsidR="00475BBF" w:rsidRDefault="00475BBF" w:rsidP="00475BBF">
      <w:pPr>
        <w:jc w:val="center"/>
        <w:rPr>
          <w:rFonts w:ascii="Arial" w:hAnsi="Arial" w:cs="Arial"/>
          <w:b/>
        </w:rPr>
      </w:pPr>
      <w:r>
        <w:rPr>
          <w:rFonts w:ascii="Arial" w:hAnsi="Arial" w:cs="Arial"/>
          <w:b/>
        </w:rPr>
        <w:t>Costa Rica</w:t>
      </w:r>
      <w:r w:rsidR="00C81AD1">
        <w:rPr>
          <w:rFonts w:ascii="Arial" w:hAnsi="Arial" w:cs="Arial"/>
          <w:b/>
        </w:rPr>
        <w:t>:</w:t>
      </w:r>
      <w:r>
        <w:rPr>
          <w:rFonts w:ascii="Arial" w:hAnsi="Arial" w:cs="Arial"/>
          <w:b/>
        </w:rPr>
        <w:t xml:space="preserve"> Incidencia de leptospirosis según </w:t>
      </w:r>
      <w:r w:rsidR="00C81AD1">
        <w:rPr>
          <w:rFonts w:ascii="Arial" w:hAnsi="Arial" w:cs="Arial"/>
          <w:b/>
        </w:rPr>
        <w:t>cantón,</w:t>
      </w:r>
      <w:r>
        <w:rPr>
          <w:rFonts w:ascii="Arial" w:hAnsi="Arial" w:cs="Arial"/>
          <w:b/>
        </w:rPr>
        <w:t xml:space="preserve"> 2014-2018</w:t>
      </w:r>
      <w:r w:rsidRPr="0089361A">
        <w:rPr>
          <w:rFonts w:ascii="Arial" w:hAnsi="Arial" w:cs="Arial"/>
          <w:b/>
          <w:vertAlign w:val="superscript"/>
        </w:rPr>
        <w:t>1</w:t>
      </w:r>
    </w:p>
    <w:p w:rsidR="00475BBF" w:rsidRPr="00C81AD1" w:rsidRDefault="00C81AD1" w:rsidP="00475BBF">
      <w:pPr>
        <w:jc w:val="center"/>
        <w:rPr>
          <w:rFonts w:ascii="Arial" w:hAnsi="Arial" w:cs="Arial"/>
        </w:rPr>
      </w:pPr>
      <w:r w:rsidRPr="00C81AD1">
        <w:rPr>
          <w:rFonts w:ascii="Arial" w:hAnsi="Arial" w:cs="Arial"/>
        </w:rPr>
        <w:t>(t</w:t>
      </w:r>
      <w:r w:rsidR="00475BBF" w:rsidRPr="00C81AD1">
        <w:rPr>
          <w:rFonts w:ascii="Arial" w:hAnsi="Arial" w:cs="Arial"/>
        </w:rPr>
        <w:t>asa por 100</w:t>
      </w:r>
      <w:r w:rsidRPr="00C81AD1">
        <w:rPr>
          <w:rFonts w:ascii="Arial" w:hAnsi="Arial" w:cs="Arial"/>
        </w:rPr>
        <w:t>.</w:t>
      </w:r>
      <w:r w:rsidR="00475BBF" w:rsidRPr="00C81AD1">
        <w:rPr>
          <w:rFonts w:ascii="Arial" w:hAnsi="Arial" w:cs="Arial"/>
        </w:rPr>
        <w:t>000 habitantes</w:t>
      </w:r>
      <w:r w:rsidRPr="00C81AD1">
        <w:rPr>
          <w:rFonts w:ascii="Arial" w:hAnsi="Arial" w:cs="Arial"/>
        </w:rPr>
        <w:t>)</w:t>
      </w:r>
    </w:p>
    <w:p w:rsidR="00475BBF" w:rsidRDefault="00475BBF" w:rsidP="00475BBF">
      <w:pPr>
        <w:jc w:val="center"/>
        <w:rPr>
          <w:rFonts w:ascii="Arial" w:hAnsi="Arial" w:cs="Arial"/>
          <w:noProof/>
          <w:sz w:val="16"/>
          <w:szCs w:val="16"/>
          <w:lang w:val="es-PA" w:eastAsia="es-PA"/>
        </w:rPr>
      </w:pPr>
    </w:p>
    <w:p w:rsidR="00475BBF" w:rsidRDefault="00475BBF" w:rsidP="00475BBF">
      <w:pPr>
        <w:spacing w:line="276" w:lineRule="auto"/>
        <w:jc w:val="center"/>
        <w:rPr>
          <w:rFonts w:ascii="Arial" w:hAnsi="Arial" w:cs="Arial"/>
          <w:b/>
        </w:rPr>
      </w:pPr>
      <w:r>
        <w:rPr>
          <w:noProof/>
          <w:lang w:val="es-CR" w:eastAsia="es-CR"/>
        </w:rPr>
        <w:drawing>
          <wp:inline distT="0" distB="0" distL="0" distR="0" wp14:anchorId="3667076C" wp14:editId="2994998B">
            <wp:extent cx="4794739" cy="2678723"/>
            <wp:effectExtent l="0" t="0" r="6350" b="762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475BBF" w:rsidRPr="0012184A" w:rsidRDefault="00475BBF" w:rsidP="0012184A">
      <w:pPr>
        <w:jc w:val="right"/>
        <w:rPr>
          <w:rFonts w:ascii="Arial" w:hAnsi="Arial" w:cs="Arial"/>
          <w:sz w:val="18"/>
          <w:szCs w:val="18"/>
          <w:lang w:val="es-MX"/>
        </w:rPr>
      </w:pPr>
      <w:r w:rsidRPr="0012184A">
        <w:rPr>
          <w:rFonts w:ascii="Arial" w:hAnsi="Arial" w:cs="Arial"/>
          <w:b/>
          <w:sz w:val="18"/>
          <w:szCs w:val="18"/>
          <w:lang w:val="es-MX"/>
        </w:rPr>
        <w:t>Fuente:</w:t>
      </w:r>
      <w:r w:rsidRPr="0012184A">
        <w:rPr>
          <w:rFonts w:ascii="Arial" w:hAnsi="Arial" w:cs="Arial"/>
          <w:sz w:val="18"/>
          <w:szCs w:val="18"/>
          <w:lang w:val="es-MX"/>
        </w:rPr>
        <w:t xml:space="preserve"> Dirección de Vigilancia de la Salud. Ministerio de Salud</w:t>
      </w:r>
      <w:r w:rsidR="0012184A" w:rsidRPr="0012184A">
        <w:rPr>
          <w:rFonts w:ascii="Arial" w:hAnsi="Arial" w:cs="Arial"/>
          <w:sz w:val="18"/>
          <w:szCs w:val="18"/>
          <w:lang w:val="es-MX"/>
        </w:rPr>
        <w:t>, 2019.</w:t>
      </w:r>
    </w:p>
    <w:p w:rsidR="00475BBF" w:rsidRPr="0012184A" w:rsidRDefault="00475BBF" w:rsidP="00475BBF">
      <w:pPr>
        <w:spacing w:line="360" w:lineRule="auto"/>
        <w:rPr>
          <w:bCs/>
          <w:iCs/>
          <w:color w:val="000000"/>
          <w:sz w:val="18"/>
          <w:szCs w:val="18"/>
        </w:rPr>
      </w:pPr>
    </w:p>
    <w:p w:rsidR="006D48B5" w:rsidRDefault="006D48B5">
      <w:pPr>
        <w:spacing w:after="160" w:line="259" w:lineRule="auto"/>
        <w:rPr>
          <w:rFonts w:ascii="Arial" w:eastAsia="Calibri" w:hAnsi="Arial" w:cs="Arial"/>
          <w:bCs/>
        </w:rPr>
      </w:pPr>
      <w:r>
        <w:rPr>
          <w:rFonts w:ascii="Arial" w:eastAsia="Calibri" w:hAnsi="Arial" w:cs="Arial"/>
          <w:bCs/>
        </w:rPr>
        <w:br w:type="page"/>
      </w:r>
    </w:p>
    <w:p w:rsidR="00475BBF" w:rsidRPr="006D48B5" w:rsidRDefault="0012184A" w:rsidP="006D48B5">
      <w:pPr>
        <w:pStyle w:val="Ttulo2"/>
        <w:spacing w:after="240"/>
        <w:rPr>
          <w:rFonts w:ascii="Arial" w:hAnsi="Arial" w:cs="Arial"/>
          <w:b/>
          <w:color w:val="auto"/>
        </w:rPr>
      </w:pPr>
      <w:bookmarkStart w:id="53" w:name="_Toc7439674"/>
      <w:r w:rsidRPr="006D48B5">
        <w:rPr>
          <w:rFonts w:ascii="Arial" w:hAnsi="Arial" w:cs="Arial"/>
          <w:b/>
          <w:color w:val="auto"/>
        </w:rPr>
        <w:lastRenderedPageBreak/>
        <w:t>Enfermedades Inmunoprevenibles</w:t>
      </w:r>
      <w:bookmarkEnd w:id="53"/>
    </w:p>
    <w:p w:rsidR="00475BBF" w:rsidRPr="005C359F" w:rsidRDefault="00475BBF" w:rsidP="0012184A">
      <w:pPr>
        <w:autoSpaceDE w:val="0"/>
        <w:autoSpaceDN w:val="0"/>
        <w:adjustRightInd w:val="0"/>
        <w:spacing w:after="240" w:line="276" w:lineRule="auto"/>
        <w:jc w:val="both"/>
        <w:rPr>
          <w:rFonts w:ascii="Arial" w:eastAsia="Calibri" w:hAnsi="Arial" w:cs="Arial"/>
          <w:color w:val="000000"/>
          <w:lang w:eastAsia="es-CR"/>
        </w:rPr>
      </w:pPr>
      <w:r w:rsidRPr="005C359F">
        <w:rPr>
          <w:rFonts w:ascii="Arial" w:eastAsia="Calibri" w:hAnsi="Arial" w:cs="Arial"/>
          <w:color w:val="000000"/>
          <w:lang w:eastAsia="es-CR"/>
        </w:rPr>
        <w:t xml:space="preserve">Las enfermedades infectocontagiosas han sido un problema de salud pública a nivel mundial, presentándose como casos individuales, brotes, epidemias, pandemias y, produciendo mortalidad. </w:t>
      </w:r>
      <w:r w:rsidR="0012184A">
        <w:rPr>
          <w:rFonts w:ascii="Arial" w:eastAsia="Calibri" w:hAnsi="Arial" w:cs="Arial"/>
          <w:color w:val="000000"/>
          <w:lang w:eastAsia="es-CR"/>
        </w:rPr>
        <w:t>E</w:t>
      </w:r>
      <w:r w:rsidRPr="005C359F">
        <w:rPr>
          <w:rFonts w:ascii="Arial" w:eastAsia="Calibri" w:hAnsi="Arial" w:cs="Arial"/>
          <w:color w:val="000000"/>
          <w:lang w:eastAsia="es-CR"/>
        </w:rPr>
        <w:t xml:space="preserve">ntre sus características </w:t>
      </w:r>
      <w:r w:rsidR="0012184A">
        <w:rPr>
          <w:rFonts w:ascii="Arial" w:eastAsia="Calibri" w:hAnsi="Arial" w:cs="Arial"/>
          <w:color w:val="000000"/>
          <w:lang w:eastAsia="es-CR"/>
        </w:rPr>
        <w:t xml:space="preserve">se encuentran, la </w:t>
      </w:r>
      <w:r w:rsidRPr="005C359F">
        <w:rPr>
          <w:rFonts w:ascii="Arial" w:eastAsia="Calibri" w:hAnsi="Arial" w:cs="Arial"/>
          <w:color w:val="000000"/>
          <w:lang w:eastAsia="es-CR"/>
        </w:rPr>
        <w:t xml:space="preserve">rápida y fácil transmisión directamente de una persona infectada a otra sana (contacto directo, secreciones) o </w:t>
      </w:r>
      <w:r w:rsidR="0012184A">
        <w:rPr>
          <w:rFonts w:ascii="Arial" w:eastAsia="Calibri" w:hAnsi="Arial" w:cs="Arial"/>
          <w:color w:val="000000"/>
          <w:lang w:eastAsia="es-CR"/>
        </w:rPr>
        <w:t xml:space="preserve">por medio </w:t>
      </w:r>
      <w:r w:rsidRPr="005C359F">
        <w:rPr>
          <w:rFonts w:ascii="Arial" w:eastAsia="Calibri" w:hAnsi="Arial" w:cs="Arial"/>
          <w:color w:val="000000"/>
          <w:lang w:eastAsia="es-CR"/>
        </w:rPr>
        <w:t xml:space="preserve">de </w:t>
      </w:r>
      <w:r>
        <w:rPr>
          <w:rFonts w:ascii="Arial" w:eastAsia="Calibri" w:hAnsi="Arial" w:cs="Arial"/>
          <w:color w:val="000000"/>
          <w:lang w:eastAsia="es-CR"/>
        </w:rPr>
        <w:t>fomites (</w:t>
      </w:r>
      <w:r w:rsidRPr="005C359F">
        <w:rPr>
          <w:rFonts w:ascii="Arial" w:eastAsia="Calibri" w:hAnsi="Arial" w:cs="Arial"/>
          <w:color w:val="000000"/>
          <w:lang w:eastAsia="es-CR"/>
        </w:rPr>
        <w:t>alimentos o agua</w:t>
      </w:r>
      <w:r w:rsidR="0012184A">
        <w:rPr>
          <w:rFonts w:ascii="Arial" w:eastAsia="Calibri" w:hAnsi="Arial" w:cs="Arial"/>
          <w:color w:val="000000"/>
          <w:lang w:eastAsia="es-CR"/>
        </w:rPr>
        <w:t>)</w:t>
      </w:r>
      <w:r w:rsidRPr="005C359F">
        <w:rPr>
          <w:rFonts w:ascii="Arial" w:eastAsia="Calibri" w:hAnsi="Arial" w:cs="Arial"/>
          <w:color w:val="000000"/>
          <w:lang w:eastAsia="es-CR"/>
        </w:rPr>
        <w:t>, afectando a los individuos que se exponen a ellos.</w:t>
      </w:r>
    </w:p>
    <w:p w:rsidR="00475BBF" w:rsidRDefault="0012184A" w:rsidP="00475BBF">
      <w:pPr>
        <w:autoSpaceDE w:val="0"/>
        <w:autoSpaceDN w:val="0"/>
        <w:adjustRightInd w:val="0"/>
        <w:spacing w:line="276" w:lineRule="auto"/>
        <w:jc w:val="both"/>
        <w:rPr>
          <w:rFonts w:ascii="Arial" w:eastAsia="Calibri" w:hAnsi="Arial" w:cs="Arial"/>
          <w:color w:val="000000"/>
          <w:lang w:eastAsia="es-CR"/>
        </w:rPr>
      </w:pPr>
      <w:r>
        <w:rPr>
          <w:rFonts w:ascii="Arial" w:eastAsia="Calibri" w:hAnsi="Arial" w:cs="Arial"/>
          <w:color w:val="000000"/>
          <w:lang w:eastAsia="es-CR"/>
        </w:rPr>
        <w:t xml:space="preserve">Estas enfermedades incluyen al: </w:t>
      </w:r>
      <w:r w:rsidR="00475BBF" w:rsidRPr="005C359F">
        <w:rPr>
          <w:rFonts w:ascii="Arial" w:eastAsia="Calibri" w:hAnsi="Arial" w:cs="Arial"/>
          <w:color w:val="000000"/>
          <w:lang w:eastAsia="es-CR"/>
        </w:rPr>
        <w:t xml:space="preserve">sarampión, rubéola, hepatitis, difteria, tosferina, tétanos, influenza, neumonía, varicela, polio, rotavirus, </w:t>
      </w:r>
      <w:r>
        <w:rPr>
          <w:rFonts w:ascii="Arial" w:eastAsia="Calibri" w:hAnsi="Arial" w:cs="Arial"/>
          <w:color w:val="000000"/>
          <w:lang w:eastAsia="es-CR"/>
        </w:rPr>
        <w:t>entre otras</w:t>
      </w:r>
      <w:r w:rsidR="00475BBF" w:rsidRPr="005C359F">
        <w:rPr>
          <w:rFonts w:ascii="Arial" w:eastAsia="Calibri" w:hAnsi="Arial" w:cs="Arial"/>
          <w:color w:val="000000"/>
          <w:lang w:eastAsia="es-CR"/>
        </w:rPr>
        <w:t xml:space="preserve">, eventos todos prevenibles </w:t>
      </w:r>
      <w:r>
        <w:rPr>
          <w:rFonts w:ascii="Arial" w:eastAsia="Calibri" w:hAnsi="Arial" w:cs="Arial"/>
          <w:color w:val="000000"/>
          <w:lang w:eastAsia="es-CR"/>
        </w:rPr>
        <w:t xml:space="preserve">mediante el </w:t>
      </w:r>
      <w:r w:rsidR="00475BBF" w:rsidRPr="005C359F">
        <w:rPr>
          <w:rFonts w:ascii="Arial" w:eastAsia="Calibri" w:hAnsi="Arial" w:cs="Arial"/>
          <w:color w:val="000000"/>
          <w:lang w:eastAsia="es-CR"/>
        </w:rPr>
        <w:t xml:space="preserve">uso de </w:t>
      </w:r>
      <w:r>
        <w:rPr>
          <w:rFonts w:ascii="Arial" w:eastAsia="Calibri" w:hAnsi="Arial" w:cs="Arial"/>
          <w:color w:val="000000"/>
          <w:lang w:eastAsia="es-CR"/>
        </w:rPr>
        <w:t>vacunas,</w:t>
      </w:r>
      <w:r w:rsidR="00475BBF" w:rsidRPr="005C359F">
        <w:rPr>
          <w:rFonts w:ascii="Arial" w:eastAsia="Calibri" w:hAnsi="Arial" w:cs="Arial"/>
          <w:color w:val="000000"/>
          <w:lang w:eastAsia="es-CR"/>
        </w:rPr>
        <w:t xml:space="preserve"> cuya aplicación modifica la prevalencia y la </w:t>
      </w:r>
      <w:r w:rsidR="00475BBF">
        <w:rPr>
          <w:rFonts w:ascii="Arial" w:eastAsia="Calibri" w:hAnsi="Arial" w:cs="Arial"/>
          <w:color w:val="000000"/>
          <w:lang w:eastAsia="es-CR"/>
        </w:rPr>
        <w:t>incidencia de dichas patologías.</w:t>
      </w:r>
    </w:p>
    <w:p w:rsidR="0012184A" w:rsidRDefault="0012184A">
      <w:pPr>
        <w:spacing w:after="160" w:line="259" w:lineRule="auto"/>
        <w:rPr>
          <w:rFonts w:ascii="Arial" w:eastAsia="Calibri" w:hAnsi="Arial" w:cs="Arial"/>
        </w:rPr>
      </w:pPr>
    </w:p>
    <w:p w:rsidR="00475BBF" w:rsidRPr="006D48B5" w:rsidRDefault="0012184A" w:rsidP="006D48B5">
      <w:pPr>
        <w:pStyle w:val="Ttulo3"/>
        <w:spacing w:after="240"/>
        <w:rPr>
          <w:rFonts w:ascii="Arial" w:hAnsi="Arial" w:cs="Arial"/>
          <w:b/>
          <w:color w:val="auto"/>
        </w:rPr>
      </w:pPr>
      <w:bookmarkStart w:id="54" w:name="_Toc506187967"/>
      <w:bookmarkStart w:id="55" w:name="_Toc7439675"/>
      <w:r w:rsidRPr="006D48B5">
        <w:rPr>
          <w:rFonts w:ascii="Arial" w:hAnsi="Arial" w:cs="Arial"/>
          <w:b/>
          <w:color w:val="auto"/>
        </w:rPr>
        <w:t>Sarampión y rubéola</w:t>
      </w:r>
      <w:bookmarkEnd w:id="54"/>
      <w:bookmarkEnd w:id="55"/>
    </w:p>
    <w:p w:rsidR="00475BBF" w:rsidRDefault="00475BBF" w:rsidP="00475BBF">
      <w:pPr>
        <w:spacing w:line="276" w:lineRule="auto"/>
        <w:jc w:val="both"/>
        <w:rPr>
          <w:rFonts w:ascii="Arial" w:hAnsi="Arial" w:cs="Arial"/>
          <w:lang w:val="es-CR"/>
        </w:rPr>
      </w:pPr>
      <w:r w:rsidRPr="009E0679">
        <w:rPr>
          <w:rFonts w:ascii="Arial" w:hAnsi="Arial" w:cs="Arial"/>
          <w:lang w:val="es-CR"/>
        </w:rPr>
        <w:t>El sarampión y la rubéola son enfermedades virales transmitidas por personas infectadas durante el per</w:t>
      </w:r>
      <w:r w:rsidR="0012184A">
        <w:rPr>
          <w:rFonts w:ascii="Arial" w:hAnsi="Arial" w:cs="Arial"/>
          <w:lang w:val="es-CR"/>
        </w:rPr>
        <w:t>í</w:t>
      </w:r>
      <w:r w:rsidRPr="009E0679">
        <w:rPr>
          <w:rFonts w:ascii="Arial" w:hAnsi="Arial" w:cs="Arial"/>
          <w:lang w:val="es-CR"/>
        </w:rPr>
        <w:t>odo de contagio</w:t>
      </w:r>
      <w:r w:rsidR="0012184A">
        <w:rPr>
          <w:rFonts w:ascii="Arial" w:hAnsi="Arial" w:cs="Arial"/>
          <w:lang w:val="es-CR"/>
        </w:rPr>
        <w:t xml:space="preserve">; el cual se realiza </w:t>
      </w:r>
      <w:r w:rsidRPr="009E0679">
        <w:rPr>
          <w:rFonts w:ascii="Arial" w:hAnsi="Arial" w:cs="Arial"/>
          <w:lang w:val="es-CR"/>
        </w:rPr>
        <w:t>mediante gotas expulsadas de las vías respiratorias</w:t>
      </w:r>
      <w:r w:rsidR="0012184A">
        <w:rPr>
          <w:rFonts w:ascii="Arial" w:hAnsi="Arial" w:cs="Arial"/>
          <w:lang w:val="es-CR"/>
        </w:rPr>
        <w:t xml:space="preserve"> </w:t>
      </w:r>
      <w:r w:rsidR="0012184A" w:rsidRPr="009E0679">
        <w:rPr>
          <w:rFonts w:ascii="Arial" w:hAnsi="Arial" w:cs="Arial"/>
          <w:lang w:val="es-CR"/>
        </w:rPr>
        <w:t>(aerosoles)</w:t>
      </w:r>
      <w:r w:rsidR="0012184A">
        <w:rPr>
          <w:rFonts w:ascii="Arial" w:hAnsi="Arial" w:cs="Arial"/>
          <w:lang w:val="es-CR"/>
        </w:rPr>
        <w:t>,</w:t>
      </w:r>
      <w:r w:rsidR="0012184A" w:rsidRPr="009E0679">
        <w:rPr>
          <w:rFonts w:ascii="Arial" w:hAnsi="Arial" w:cs="Arial"/>
          <w:lang w:val="es-CR"/>
        </w:rPr>
        <w:t xml:space="preserve"> </w:t>
      </w:r>
      <w:r w:rsidR="0012184A">
        <w:rPr>
          <w:rFonts w:ascii="Arial" w:hAnsi="Arial" w:cs="Arial"/>
          <w:lang w:val="es-CR"/>
        </w:rPr>
        <w:t xml:space="preserve">que luego son </w:t>
      </w:r>
      <w:r w:rsidRPr="009E0679">
        <w:rPr>
          <w:rFonts w:ascii="Arial" w:hAnsi="Arial" w:cs="Arial"/>
          <w:lang w:val="es-CR"/>
        </w:rPr>
        <w:t>transportadas por el aire hasta las membranas mucosas del tracto respiratorio superior</w:t>
      </w:r>
      <w:r w:rsidR="0012184A">
        <w:rPr>
          <w:rFonts w:ascii="Arial" w:hAnsi="Arial" w:cs="Arial"/>
          <w:lang w:val="es-CR"/>
        </w:rPr>
        <w:t xml:space="preserve"> de una persona sana</w:t>
      </w:r>
      <w:r w:rsidRPr="009E0679">
        <w:rPr>
          <w:rFonts w:ascii="Arial" w:hAnsi="Arial" w:cs="Arial"/>
          <w:lang w:val="es-CR"/>
        </w:rPr>
        <w:t xml:space="preserve">. </w:t>
      </w:r>
    </w:p>
    <w:p w:rsidR="00475BBF" w:rsidRDefault="00475BBF" w:rsidP="00475BBF">
      <w:pPr>
        <w:spacing w:line="276" w:lineRule="auto"/>
        <w:jc w:val="both"/>
        <w:rPr>
          <w:rFonts w:ascii="Arial" w:hAnsi="Arial" w:cs="Arial"/>
          <w:lang w:val="es-CR"/>
        </w:rPr>
      </w:pPr>
    </w:p>
    <w:p w:rsidR="00475BBF" w:rsidRPr="009F62BA" w:rsidRDefault="00475BBF" w:rsidP="00475BBF">
      <w:pPr>
        <w:spacing w:line="276" w:lineRule="auto"/>
        <w:jc w:val="both"/>
        <w:rPr>
          <w:rFonts w:ascii="Arial" w:hAnsi="Arial" w:cs="Arial"/>
          <w:lang w:val="es-CR"/>
        </w:rPr>
      </w:pPr>
      <w:r w:rsidRPr="009F62BA">
        <w:rPr>
          <w:rFonts w:ascii="Arial" w:hAnsi="Arial" w:cs="Arial"/>
          <w:lang w:val="es-CR"/>
        </w:rPr>
        <w:t xml:space="preserve">El sarampión es una enfermedad infecciosa exantemática </w:t>
      </w:r>
      <w:r w:rsidR="006F4212">
        <w:rPr>
          <w:rFonts w:ascii="Arial" w:hAnsi="Arial" w:cs="Arial"/>
          <w:lang w:val="es-CR"/>
        </w:rPr>
        <w:t>qie s</w:t>
      </w:r>
      <w:r w:rsidRPr="009F62BA">
        <w:rPr>
          <w:rFonts w:ascii="Arial" w:hAnsi="Arial" w:cs="Arial"/>
          <w:lang w:val="es-CR"/>
        </w:rPr>
        <w:t>e caracteriza por las típicas manchas en la piel de color rojo (exantema)</w:t>
      </w:r>
      <w:r>
        <w:rPr>
          <w:rFonts w:ascii="Arial" w:hAnsi="Arial" w:cs="Arial"/>
          <w:lang w:val="es-CR"/>
        </w:rPr>
        <w:t xml:space="preserve"> con distribución cefalo caudal (cabeza hacia abajo), conjuntivitis, </w:t>
      </w:r>
      <w:r w:rsidR="006F4212">
        <w:rPr>
          <w:rFonts w:ascii="Arial" w:hAnsi="Arial" w:cs="Arial"/>
          <w:lang w:val="es-CR"/>
        </w:rPr>
        <w:t>catarro</w:t>
      </w:r>
      <w:r>
        <w:rPr>
          <w:rFonts w:ascii="Arial" w:hAnsi="Arial" w:cs="Arial"/>
          <w:lang w:val="es-CR"/>
        </w:rPr>
        <w:t xml:space="preserve">, </w:t>
      </w:r>
      <w:r w:rsidRPr="009F62BA">
        <w:rPr>
          <w:rFonts w:ascii="Arial" w:hAnsi="Arial" w:cs="Arial"/>
          <w:lang w:val="es-CR"/>
        </w:rPr>
        <w:t>así como fiebre y un estado general debilitado</w:t>
      </w:r>
      <w:r>
        <w:rPr>
          <w:rFonts w:ascii="Arial" w:hAnsi="Arial" w:cs="Arial"/>
          <w:lang w:val="es-CR"/>
        </w:rPr>
        <w:t>.</w:t>
      </w:r>
    </w:p>
    <w:p w:rsidR="00475BBF" w:rsidRDefault="00475BBF" w:rsidP="00475BBF">
      <w:pPr>
        <w:spacing w:line="276" w:lineRule="auto"/>
        <w:jc w:val="both"/>
        <w:rPr>
          <w:rFonts w:ascii="Arial" w:hAnsi="Arial" w:cs="Arial"/>
          <w:lang w:val="es-CR"/>
        </w:rPr>
      </w:pPr>
    </w:p>
    <w:p w:rsidR="00475BBF" w:rsidRDefault="00475BBF" w:rsidP="003C6043">
      <w:pPr>
        <w:spacing w:after="240" w:line="276" w:lineRule="auto"/>
        <w:jc w:val="both"/>
        <w:rPr>
          <w:rFonts w:ascii="Arial" w:hAnsi="Arial" w:cs="Arial"/>
          <w:lang w:val="es-CR"/>
        </w:rPr>
      </w:pPr>
      <w:r>
        <w:rPr>
          <w:rFonts w:ascii="Arial" w:hAnsi="Arial" w:cs="Arial"/>
          <w:lang w:val="es-CR"/>
        </w:rPr>
        <w:t>La rub</w:t>
      </w:r>
      <w:r w:rsidR="006F4212">
        <w:rPr>
          <w:rFonts w:ascii="Arial" w:hAnsi="Arial" w:cs="Arial"/>
          <w:lang w:val="es-CR"/>
        </w:rPr>
        <w:t>é</w:t>
      </w:r>
      <w:r>
        <w:rPr>
          <w:rFonts w:ascii="Arial" w:hAnsi="Arial" w:cs="Arial"/>
          <w:lang w:val="es-CR"/>
        </w:rPr>
        <w:t xml:space="preserve">ola </w:t>
      </w:r>
      <w:r w:rsidR="006F4212">
        <w:rPr>
          <w:rFonts w:ascii="Arial" w:hAnsi="Arial" w:cs="Arial"/>
          <w:lang w:val="es-CR"/>
        </w:rPr>
        <w:t>s</w:t>
      </w:r>
      <w:r w:rsidR="006F4212" w:rsidRPr="0061236D">
        <w:rPr>
          <w:rFonts w:ascii="Arial" w:hAnsi="Arial" w:cs="Arial"/>
          <w:lang w:val="es-CR"/>
        </w:rPr>
        <w:t xml:space="preserve">e caracteriza por una erupción en la piel, la inflamación de las </w:t>
      </w:r>
      <w:r w:rsidR="006F4212">
        <w:rPr>
          <w:rFonts w:ascii="Arial" w:hAnsi="Arial" w:cs="Arial"/>
          <w:lang w:val="es-CR"/>
        </w:rPr>
        <w:t xml:space="preserve">amígdalas </w:t>
      </w:r>
      <w:r w:rsidR="006F4212" w:rsidRPr="0061236D">
        <w:rPr>
          <w:rFonts w:ascii="Arial" w:hAnsi="Arial" w:cs="Arial"/>
          <w:lang w:val="es-CR"/>
        </w:rPr>
        <w:t>y especialmente en los adultos dolores en las articulaciones. Por lo general</w:t>
      </w:r>
      <w:r w:rsidR="006F4212">
        <w:rPr>
          <w:rFonts w:ascii="Arial" w:hAnsi="Arial" w:cs="Arial"/>
          <w:lang w:val="es-CR"/>
        </w:rPr>
        <w:t>,</w:t>
      </w:r>
      <w:r w:rsidR="006F4212" w:rsidRPr="0061236D">
        <w:rPr>
          <w:rFonts w:ascii="Arial" w:hAnsi="Arial" w:cs="Arial"/>
          <w:lang w:val="es-CR"/>
        </w:rPr>
        <w:t xml:space="preserve"> la erupción en la piel dura tres días y puede presentarse acompañada de una ligera fiebre</w:t>
      </w:r>
      <w:r w:rsidR="006F4212">
        <w:rPr>
          <w:rFonts w:ascii="Arial" w:hAnsi="Arial" w:cs="Arial"/>
          <w:lang w:val="es-CR"/>
        </w:rPr>
        <w:t>. E</w:t>
      </w:r>
      <w:r w:rsidR="006F4212" w:rsidRPr="00BA41BD">
        <w:rPr>
          <w:rFonts w:ascii="Arial" w:hAnsi="Arial" w:cs="Arial"/>
          <w:lang w:val="es-CR"/>
        </w:rPr>
        <w:t>n el 50% de los casos, es asintomática</w:t>
      </w:r>
      <w:r w:rsidR="006F4212">
        <w:rPr>
          <w:rFonts w:ascii="Arial" w:hAnsi="Arial" w:cs="Arial"/>
          <w:lang w:val="es-CR"/>
        </w:rPr>
        <w:t xml:space="preserve">.  Al ser </w:t>
      </w:r>
      <w:r w:rsidRPr="0061236D">
        <w:rPr>
          <w:rFonts w:ascii="Arial" w:hAnsi="Arial" w:cs="Arial"/>
          <w:lang w:val="es-CR"/>
        </w:rPr>
        <w:t xml:space="preserve">contraída por la madre durante el embarazo, </w:t>
      </w:r>
      <w:r w:rsidR="006F4212">
        <w:rPr>
          <w:rFonts w:ascii="Arial" w:hAnsi="Arial" w:cs="Arial"/>
          <w:lang w:val="es-CR"/>
        </w:rPr>
        <w:t>constituye</w:t>
      </w:r>
      <w:r w:rsidRPr="0061236D">
        <w:rPr>
          <w:rFonts w:ascii="Arial" w:hAnsi="Arial" w:cs="Arial"/>
          <w:lang w:val="es-CR"/>
        </w:rPr>
        <w:t xml:space="preserve"> una grave amenaza para el feto, </w:t>
      </w:r>
      <w:r w:rsidR="006F4212">
        <w:rPr>
          <w:rFonts w:ascii="Arial" w:hAnsi="Arial" w:cs="Arial"/>
          <w:lang w:val="es-CR"/>
        </w:rPr>
        <w:t xml:space="preserve">ya que puede provocar </w:t>
      </w:r>
      <w:r w:rsidRPr="0061236D">
        <w:rPr>
          <w:rFonts w:ascii="Arial" w:hAnsi="Arial" w:cs="Arial"/>
          <w:lang w:val="es-CR"/>
        </w:rPr>
        <w:t>abortos espontáneos en el 20% de los</w:t>
      </w:r>
      <w:r>
        <w:rPr>
          <w:rFonts w:ascii="Arial" w:hAnsi="Arial" w:cs="Arial"/>
          <w:lang w:val="es-CR"/>
        </w:rPr>
        <w:t xml:space="preserve"> casos. </w:t>
      </w:r>
    </w:p>
    <w:p w:rsidR="004F1627" w:rsidRDefault="003C6043" w:rsidP="00475BBF">
      <w:pPr>
        <w:spacing w:line="276" w:lineRule="auto"/>
        <w:jc w:val="both"/>
        <w:rPr>
          <w:rFonts w:ascii="Arial" w:hAnsi="Arial" w:cs="Arial"/>
          <w:lang w:val="es-CR"/>
        </w:rPr>
      </w:pPr>
      <w:r>
        <w:rPr>
          <w:rFonts w:ascii="Arial" w:hAnsi="Arial" w:cs="Arial"/>
          <w:lang w:val="es-CR"/>
        </w:rPr>
        <w:t xml:space="preserve">Debido a que </w:t>
      </w:r>
      <w:r w:rsidR="00475BBF">
        <w:rPr>
          <w:rFonts w:ascii="Arial" w:hAnsi="Arial" w:cs="Arial"/>
          <w:lang w:val="es-CR"/>
        </w:rPr>
        <w:t xml:space="preserve">el </w:t>
      </w:r>
      <w:r>
        <w:rPr>
          <w:rFonts w:ascii="Arial" w:hAnsi="Arial" w:cs="Arial"/>
          <w:lang w:val="es-CR"/>
        </w:rPr>
        <w:t>s</w:t>
      </w:r>
      <w:r w:rsidR="00475BBF">
        <w:rPr>
          <w:rFonts w:ascii="Arial" w:hAnsi="Arial" w:cs="Arial"/>
          <w:lang w:val="es-CR"/>
        </w:rPr>
        <w:t>arampión</w:t>
      </w:r>
      <w:r w:rsidR="00475BBF" w:rsidRPr="00FB64D8">
        <w:rPr>
          <w:rFonts w:ascii="Arial" w:hAnsi="Arial" w:cs="Arial"/>
          <w:lang w:val="es-CR"/>
        </w:rPr>
        <w:t xml:space="preserve"> </w:t>
      </w:r>
      <w:r w:rsidR="004F1627">
        <w:rPr>
          <w:rFonts w:ascii="Arial" w:hAnsi="Arial" w:cs="Arial"/>
          <w:lang w:val="es-CR"/>
        </w:rPr>
        <w:t>y la rubéola constituyen ca</w:t>
      </w:r>
      <w:r w:rsidR="00475BBF" w:rsidRPr="00FB64D8">
        <w:rPr>
          <w:rFonts w:ascii="Arial" w:hAnsi="Arial" w:cs="Arial"/>
          <w:lang w:val="es-CR"/>
        </w:rPr>
        <w:t xml:space="preserve">usa de muerte en niños pequeños, </w:t>
      </w:r>
      <w:r w:rsidR="004F1627">
        <w:rPr>
          <w:rFonts w:ascii="Arial" w:hAnsi="Arial" w:cs="Arial"/>
          <w:lang w:val="es-CR"/>
        </w:rPr>
        <w:t xml:space="preserve">o defectos congénitos, </w:t>
      </w:r>
      <w:r w:rsidR="00475BBF" w:rsidRPr="00FB64D8">
        <w:rPr>
          <w:rFonts w:ascii="Arial" w:hAnsi="Arial" w:cs="Arial"/>
          <w:lang w:val="es-CR"/>
        </w:rPr>
        <w:t>a pesar de que existe una vacuna segura y eficaz</w:t>
      </w:r>
      <w:r>
        <w:rPr>
          <w:rFonts w:ascii="Arial" w:hAnsi="Arial" w:cs="Arial"/>
          <w:lang w:val="es-CR"/>
        </w:rPr>
        <w:t xml:space="preserve">; en el 2001 se presentó la </w:t>
      </w:r>
      <w:r w:rsidRPr="00E05538">
        <w:rPr>
          <w:rFonts w:ascii="Arial" w:hAnsi="Arial" w:cs="Arial"/>
          <w:lang w:val="es-CR"/>
        </w:rPr>
        <w:t xml:space="preserve">Iniciativa Sarampión y Rubéola (ISR), </w:t>
      </w:r>
      <w:r>
        <w:rPr>
          <w:rFonts w:ascii="Arial" w:hAnsi="Arial" w:cs="Arial"/>
          <w:lang w:val="es-CR"/>
        </w:rPr>
        <w:t xml:space="preserve">la cual </w:t>
      </w:r>
      <w:r w:rsidRPr="00E05538">
        <w:rPr>
          <w:rFonts w:ascii="Arial" w:hAnsi="Arial" w:cs="Arial"/>
          <w:lang w:val="es-CR"/>
        </w:rPr>
        <w:t>se compromet</w:t>
      </w:r>
      <w:r>
        <w:rPr>
          <w:rFonts w:ascii="Arial" w:hAnsi="Arial" w:cs="Arial"/>
          <w:lang w:val="es-CR"/>
        </w:rPr>
        <w:t>ió a</w:t>
      </w:r>
      <w:r w:rsidRPr="00E05538">
        <w:rPr>
          <w:rFonts w:ascii="Arial" w:hAnsi="Arial" w:cs="Arial"/>
          <w:lang w:val="es-CR"/>
        </w:rPr>
        <w:t xml:space="preserve"> lograr que ningún niño nazca con síndrome de rubéola con</w:t>
      </w:r>
      <w:r>
        <w:rPr>
          <w:rFonts w:ascii="Arial" w:hAnsi="Arial" w:cs="Arial"/>
          <w:lang w:val="es-CR"/>
        </w:rPr>
        <w:t xml:space="preserve">génita o muera de sarampión; y </w:t>
      </w:r>
      <w:r w:rsidRPr="00E05538">
        <w:rPr>
          <w:rFonts w:ascii="Arial" w:hAnsi="Arial" w:cs="Arial"/>
          <w:lang w:val="es-CR"/>
        </w:rPr>
        <w:t xml:space="preserve">lograr la eliminación de ambas enfermedades, en al menos cinco regiones de la OMS para </w:t>
      </w:r>
      <w:r>
        <w:rPr>
          <w:rFonts w:ascii="Arial" w:hAnsi="Arial" w:cs="Arial"/>
          <w:lang w:val="es-CR"/>
        </w:rPr>
        <w:t xml:space="preserve">el año </w:t>
      </w:r>
      <w:r w:rsidRPr="00E05538">
        <w:rPr>
          <w:rFonts w:ascii="Arial" w:hAnsi="Arial" w:cs="Arial"/>
          <w:lang w:val="es-CR"/>
        </w:rPr>
        <w:t>2020.</w:t>
      </w:r>
      <w:r w:rsidRPr="00E05538">
        <w:rPr>
          <w:rFonts w:ascii="Arial" w:hAnsi="Arial" w:cs="Arial"/>
          <w:lang w:val="es-CR"/>
        </w:rPr>
        <w:cr/>
      </w:r>
    </w:p>
    <w:p w:rsidR="003C6043" w:rsidRDefault="00475BBF" w:rsidP="003C6043">
      <w:pPr>
        <w:spacing w:line="276" w:lineRule="auto"/>
        <w:jc w:val="both"/>
        <w:rPr>
          <w:rFonts w:ascii="Arial" w:hAnsi="Arial" w:cs="Arial"/>
          <w:lang w:val="es-CR"/>
        </w:rPr>
      </w:pPr>
      <w:r>
        <w:rPr>
          <w:rFonts w:ascii="Arial" w:hAnsi="Arial" w:cs="Arial"/>
          <w:lang w:val="es-CR"/>
        </w:rPr>
        <w:lastRenderedPageBreak/>
        <w:t>En Costa Rica estas enfermedades tenían casi dos décadas de no tener</w:t>
      </w:r>
      <w:r w:rsidR="003C6043">
        <w:rPr>
          <w:rFonts w:ascii="Arial" w:hAnsi="Arial" w:cs="Arial"/>
          <w:lang w:val="es-CR"/>
        </w:rPr>
        <w:t xml:space="preserve"> </w:t>
      </w:r>
      <w:r>
        <w:rPr>
          <w:rFonts w:ascii="Arial" w:hAnsi="Arial" w:cs="Arial"/>
          <w:lang w:val="es-CR"/>
        </w:rPr>
        <w:t>contagio autóctono</w:t>
      </w:r>
      <w:r w:rsidR="003C6043">
        <w:rPr>
          <w:rFonts w:ascii="Arial" w:hAnsi="Arial" w:cs="Arial"/>
          <w:lang w:val="es-CR"/>
        </w:rPr>
        <w:t xml:space="preserve"> para el sarampión. E</w:t>
      </w:r>
      <w:r>
        <w:rPr>
          <w:rFonts w:ascii="Arial" w:hAnsi="Arial" w:cs="Arial"/>
          <w:lang w:val="es-CR"/>
        </w:rPr>
        <w:t>n el año 1999</w:t>
      </w:r>
      <w:r w:rsidRPr="004E6F05">
        <w:rPr>
          <w:rFonts w:ascii="Arial" w:hAnsi="Arial" w:cs="Arial"/>
          <w:lang w:val="es-CR"/>
        </w:rPr>
        <w:t xml:space="preserve">, se presentaron </w:t>
      </w:r>
      <w:r w:rsidR="003C6043">
        <w:rPr>
          <w:rFonts w:ascii="Arial" w:hAnsi="Arial" w:cs="Arial"/>
          <w:lang w:val="es-CR"/>
        </w:rPr>
        <w:t>cuatro</w:t>
      </w:r>
      <w:r w:rsidRPr="004E6F05">
        <w:rPr>
          <w:rFonts w:ascii="Arial" w:hAnsi="Arial" w:cs="Arial"/>
          <w:lang w:val="es-CR"/>
        </w:rPr>
        <w:t xml:space="preserve"> casos</w:t>
      </w:r>
      <w:r>
        <w:rPr>
          <w:rFonts w:ascii="Arial" w:hAnsi="Arial" w:cs="Arial"/>
          <w:lang w:val="es-CR"/>
        </w:rPr>
        <w:t xml:space="preserve"> de sarampión </w:t>
      </w:r>
      <w:r w:rsidRPr="004E6F05">
        <w:rPr>
          <w:rFonts w:ascii="Arial" w:hAnsi="Arial" w:cs="Arial"/>
          <w:lang w:val="es-CR"/>
        </w:rPr>
        <w:t xml:space="preserve">a partir de </w:t>
      </w:r>
      <w:r w:rsidR="003C6043">
        <w:rPr>
          <w:rFonts w:ascii="Arial" w:hAnsi="Arial" w:cs="Arial"/>
          <w:lang w:val="es-CR"/>
        </w:rPr>
        <w:t>dos</w:t>
      </w:r>
      <w:r w:rsidRPr="004E6F05">
        <w:rPr>
          <w:rFonts w:ascii="Arial" w:hAnsi="Arial" w:cs="Arial"/>
          <w:lang w:val="es-CR"/>
        </w:rPr>
        <w:t xml:space="preserve"> casos importados. En el 2005, el último caso autóctono </w:t>
      </w:r>
      <w:r>
        <w:rPr>
          <w:rFonts w:ascii="Arial" w:hAnsi="Arial" w:cs="Arial"/>
          <w:lang w:val="es-CR"/>
        </w:rPr>
        <w:t xml:space="preserve">fue </w:t>
      </w:r>
      <w:r w:rsidR="003C6043">
        <w:rPr>
          <w:rFonts w:ascii="Arial" w:hAnsi="Arial" w:cs="Arial"/>
          <w:lang w:val="es-CR"/>
        </w:rPr>
        <w:t xml:space="preserve">el de </w:t>
      </w:r>
      <w:r w:rsidRPr="004E6F05">
        <w:rPr>
          <w:rFonts w:ascii="Arial" w:hAnsi="Arial" w:cs="Arial"/>
          <w:lang w:val="es-CR"/>
        </w:rPr>
        <w:t>niña de dos años y seis meses, y en el 2014</w:t>
      </w:r>
      <w:r>
        <w:rPr>
          <w:rFonts w:ascii="Arial" w:hAnsi="Arial" w:cs="Arial"/>
          <w:lang w:val="es-CR"/>
        </w:rPr>
        <w:t>,</w:t>
      </w:r>
      <w:r w:rsidRPr="004E6F05">
        <w:rPr>
          <w:rFonts w:ascii="Arial" w:hAnsi="Arial" w:cs="Arial"/>
          <w:lang w:val="es-CR"/>
        </w:rPr>
        <w:t xml:space="preserve"> el último caso importado </w:t>
      </w:r>
      <w:r>
        <w:rPr>
          <w:rFonts w:ascii="Arial" w:hAnsi="Arial" w:cs="Arial"/>
          <w:lang w:val="es-CR"/>
        </w:rPr>
        <w:t xml:space="preserve">se presentó </w:t>
      </w:r>
      <w:r w:rsidRPr="004E6F05">
        <w:rPr>
          <w:rFonts w:ascii="Arial" w:hAnsi="Arial" w:cs="Arial"/>
          <w:lang w:val="es-CR"/>
        </w:rPr>
        <w:t xml:space="preserve">en un adulto de 44 años. </w:t>
      </w:r>
      <w:r>
        <w:rPr>
          <w:rFonts w:ascii="Arial" w:hAnsi="Arial" w:cs="Arial"/>
          <w:lang w:val="es-CR"/>
        </w:rPr>
        <w:t xml:space="preserve"> </w:t>
      </w:r>
      <w:r w:rsidR="003C6043">
        <w:rPr>
          <w:rFonts w:ascii="Arial" w:hAnsi="Arial" w:cs="Arial"/>
          <w:lang w:val="es-CR"/>
        </w:rPr>
        <w:t>En Costa Rica no se presentan casos d</w:t>
      </w:r>
      <w:r w:rsidR="003C6043" w:rsidRPr="004E6F05">
        <w:rPr>
          <w:rFonts w:ascii="Arial" w:hAnsi="Arial" w:cs="Arial"/>
          <w:lang w:val="es-CR"/>
        </w:rPr>
        <w:t>e rubéola desde el año 2001.</w:t>
      </w:r>
    </w:p>
    <w:p w:rsidR="00475BBF" w:rsidRDefault="00475BBF" w:rsidP="00475BBF">
      <w:pPr>
        <w:spacing w:line="276" w:lineRule="auto"/>
        <w:jc w:val="both"/>
        <w:rPr>
          <w:rFonts w:ascii="Arial" w:hAnsi="Arial" w:cs="Arial"/>
          <w:lang w:val="es-CR"/>
        </w:rPr>
      </w:pPr>
    </w:p>
    <w:p w:rsidR="00475BBF" w:rsidRDefault="004F1627" w:rsidP="00475BBF">
      <w:pPr>
        <w:spacing w:line="276" w:lineRule="auto"/>
        <w:jc w:val="both"/>
        <w:rPr>
          <w:rFonts w:ascii="Arial" w:hAnsi="Arial" w:cs="Arial"/>
          <w:lang w:val="es-ES"/>
        </w:rPr>
      </w:pPr>
      <w:r>
        <w:rPr>
          <w:rFonts w:ascii="Arial" w:eastAsia="Times New Roman" w:hAnsi="Arial" w:cs="Arial"/>
          <w:lang w:val="es-ES" w:eastAsia="es-ES"/>
        </w:rPr>
        <w:t xml:space="preserve">Nuestro país </w:t>
      </w:r>
      <w:r w:rsidR="00475BBF">
        <w:rPr>
          <w:rFonts w:ascii="Arial" w:eastAsia="Times New Roman" w:hAnsi="Arial" w:cs="Arial"/>
          <w:lang w:val="es-ES" w:eastAsia="es-ES"/>
        </w:rPr>
        <w:t>mantiene una vigilancia activa de estas enfermedades</w:t>
      </w:r>
      <w:r>
        <w:rPr>
          <w:rFonts w:ascii="Arial" w:eastAsia="Times New Roman" w:hAnsi="Arial" w:cs="Arial"/>
          <w:lang w:val="es-ES" w:eastAsia="es-ES"/>
        </w:rPr>
        <w:t>.</w:t>
      </w:r>
      <w:r w:rsidR="00475BBF">
        <w:rPr>
          <w:rFonts w:ascii="Arial" w:eastAsia="Times New Roman" w:hAnsi="Arial" w:cs="Arial"/>
          <w:lang w:val="es-ES" w:eastAsia="es-ES"/>
        </w:rPr>
        <w:t xml:space="preserve"> </w:t>
      </w:r>
      <w:r>
        <w:rPr>
          <w:rFonts w:ascii="Arial" w:eastAsia="Times New Roman" w:hAnsi="Arial" w:cs="Arial"/>
          <w:lang w:val="es-ES" w:eastAsia="es-ES"/>
        </w:rPr>
        <w:t>E</w:t>
      </w:r>
      <w:r w:rsidR="00475BBF" w:rsidRPr="00FB47BB">
        <w:rPr>
          <w:rFonts w:ascii="Arial" w:eastAsia="Times New Roman" w:hAnsi="Arial" w:cs="Arial"/>
          <w:lang w:val="es-ES" w:eastAsia="es-ES"/>
        </w:rPr>
        <w:t xml:space="preserve">n el período </w:t>
      </w:r>
      <w:r w:rsidR="00475BBF">
        <w:rPr>
          <w:rFonts w:ascii="Arial" w:eastAsia="Times New Roman" w:hAnsi="Arial" w:cs="Arial"/>
          <w:lang w:val="es-ES" w:eastAsia="es-ES"/>
        </w:rPr>
        <w:t>2014-</w:t>
      </w:r>
      <w:r w:rsidR="00475BBF" w:rsidRPr="00FB47BB">
        <w:rPr>
          <w:rFonts w:ascii="Arial" w:eastAsia="Times New Roman" w:hAnsi="Arial" w:cs="Arial"/>
          <w:lang w:val="es-ES" w:eastAsia="es-ES"/>
        </w:rPr>
        <w:t>201</w:t>
      </w:r>
      <w:r w:rsidR="00475BBF">
        <w:rPr>
          <w:rFonts w:ascii="Arial" w:eastAsia="Times New Roman" w:hAnsi="Arial" w:cs="Arial"/>
          <w:lang w:val="es-ES" w:eastAsia="es-ES"/>
        </w:rPr>
        <w:t xml:space="preserve">8, </w:t>
      </w:r>
      <w:r>
        <w:rPr>
          <w:rFonts w:ascii="Arial" w:eastAsia="Times New Roman" w:hAnsi="Arial" w:cs="Arial"/>
          <w:lang w:val="es-ES" w:eastAsia="es-ES"/>
        </w:rPr>
        <w:t xml:space="preserve">se </w:t>
      </w:r>
      <w:r w:rsidR="00475BBF" w:rsidRPr="00FB47BB">
        <w:rPr>
          <w:rFonts w:ascii="Arial" w:eastAsia="Times New Roman" w:hAnsi="Arial" w:cs="Arial"/>
          <w:lang w:val="es-ES" w:eastAsia="es-ES"/>
        </w:rPr>
        <w:t>registr</w:t>
      </w:r>
      <w:r>
        <w:rPr>
          <w:rFonts w:ascii="Arial" w:eastAsia="Times New Roman" w:hAnsi="Arial" w:cs="Arial"/>
          <w:lang w:val="es-ES" w:eastAsia="es-ES"/>
        </w:rPr>
        <w:t>aron</w:t>
      </w:r>
      <w:r w:rsidR="00475BBF" w:rsidRPr="00FB47BB">
        <w:rPr>
          <w:rFonts w:ascii="Arial" w:eastAsia="Times New Roman" w:hAnsi="Arial" w:cs="Arial"/>
          <w:lang w:val="es-ES" w:eastAsia="es-ES"/>
        </w:rPr>
        <w:t xml:space="preserve"> </w:t>
      </w:r>
      <w:r w:rsidR="00475BBF">
        <w:rPr>
          <w:rFonts w:ascii="Arial" w:eastAsia="Times New Roman" w:hAnsi="Arial" w:cs="Arial"/>
          <w:lang w:val="es-ES" w:eastAsia="es-ES"/>
        </w:rPr>
        <w:t>229 casos sospechosos de Sarampión/Rub</w:t>
      </w:r>
      <w:r>
        <w:rPr>
          <w:rFonts w:ascii="Arial" w:eastAsia="Times New Roman" w:hAnsi="Arial" w:cs="Arial"/>
          <w:lang w:val="es-ES" w:eastAsia="es-ES"/>
        </w:rPr>
        <w:t>é</w:t>
      </w:r>
      <w:r w:rsidR="00475BBF">
        <w:rPr>
          <w:rFonts w:ascii="Arial" w:eastAsia="Times New Roman" w:hAnsi="Arial" w:cs="Arial"/>
          <w:lang w:val="es-ES" w:eastAsia="es-ES"/>
        </w:rPr>
        <w:t>ola que ingresaron al sistema de vigilancia</w:t>
      </w:r>
      <w:r>
        <w:rPr>
          <w:rFonts w:ascii="Arial" w:eastAsia="Times New Roman" w:hAnsi="Arial" w:cs="Arial"/>
          <w:lang w:val="es-ES" w:eastAsia="es-ES"/>
        </w:rPr>
        <w:t xml:space="preserve"> epidemiológica</w:t>
      </w:r>
      <w:r w:rsidR="00475BBF">
        <w:rPr>
          <w:rFonts w:ascii="Arial" w:eastAsia="Times New Roman" w:hAnsi="Arial" w:cs="Arial"/>
          <w:lang w:val="es-ES" w:eastAsia="es-ES"/>
        </w:rPr>
        <w:t xml:space="preserve">, descartándose en el laboratorio. </w:t>
      </w:r>
    </w:p>
    <w:p w:rsidR="00475BBF" w:rsidRPr="00047D4F" w:rsidRDefault="00475BBF" w:rsidP="00475BBF">
      <w:pPr>
        <w:spacing w:line="360" w:lineRule="auto"/>
        <w:jc w:val="both"/>
        <w:rPr>
          <w:rFonts w:ascii="Arial" w:hAnsi="Arial" w:cs="Arial"/>
          <w:lang w:val="es-ES"/>
        </w:rPr>
      </w:pPr>
    </w:p>
    <w:p w:rsidR="00475BBF" w:rsidRPr="001A66B6" w:rsidRDefault="00475BBF" w:rsidP="004F1627">
      <w:pPr>
        <w:jc w:val="center"/>
        <w:rPr>
          <w:rFonts w:ascii="Arial" w:hAnsi="Arial" w:cs="Arial"/>
          <w:b/>
          <w:color w:val="000000" w:themeColor="text1"/>
          <w:lang w:val="es-CR"/>
        </w:rPr>
      </w:pPr>
      <w:r w:rsidRPr="004F1627">
        <w:rPr>
          <w:rFonts w:ascii="Arial" w:hAnsi="Arial" w:cs="Arial"/>
          <w:b/>
          <w:color w:val="000000" w:themeColor="text1"/>
          <w:lang w:val="es-CR"/>
        </w:rPr>
        <w:t xml:space="preserve">Gráfico </w:t>
      </w:r>
      <w:r w:rsidR="004F1627" w:rsidRPr="004F1627">
        <w:rPr>
          <w:rFonts w:ascii="Arial" w:hAnsi="Arial" w:cs="Arial"/>
          <w:b/>
          <w:color w:val="000000" w:themeColor="text1"/>
          <w:lang w:val="es-CR"/>
        </w:rPr>
        <w:t>2</w:t>
      </w:r>
      <w:r w:rsidR="00BB0F6E">
        <w:rPr>
          <w:rFonts w:ascii="Arial" w:hAnsi="Arial" w:cs="Arial"/>
          <w:b/>
          <w:color w:val="000000" w:themeColor="text1"/>
          <w:lang w:val="es-CR"/>
        </w:rPr>
        <w:t>7</w:t>
      </w:r>
    </w:p>
    <w:p w:rsidR="004F1627" w:rsidRDefault="00475BBF" w:rsidP="004F1627">
      <w:pPr>
        <w:jc w:val="center"/>
        <w:rPr>
          <w:rFonts w:ascii="Arial" w:hAnsi="Arial" w:cs="Arial"/>
          <w:b/>
          <w:color w:val="000000" w:themeColor="text1"/>
          <w:sz w:val="18"/>
          <w:szCs w:val="18"/>
        </w:rPr>
      </w:pPr>
      <w:r w:rsidRPr="001A66B6">
        <w:rPr>
          <w:rFonts w:ascii="Arial" w:hAnsi="Arial" w:cs="Arial"/>
          <w:b/>
          <w:color w:val="000000" w:themeColor="text1"/>
          <w:lang w:val="es-CR"/>
        </w:rPr>
        <w:t>Costa Rica: Incidencia de casos sospechosos de Sarampión/Rubéola, descartados por laboratorio, según año, 2014-2018.</w:t>
      </w:r>
      <w:r w:rsidRPr="001A66B6">
        <w:rPr>
          <w:rFonts w:ascii="Arial" w:hAnsi="Arial" w:cs="Arial"/>
          <w:b/>
          <w:color w:val="000000" w:themeColor="text1"/>
          <w:sz w:val="18"/>
          <w:szCs w:val="18"/>
        </w:rPr>
        <w:t xml:space="preserve"> </w:t>
      </w:r>
    </w:p>
    <w:p w:rsidR="00475BBF" w:rsidRDefault="00475BBF" w:rsidP="00475BBF">
      <w:pPr>
        <w:spacing w:line="276" w:lineRule="auto"/>
        <w:jc w:val="center"/>
        <w:rPr>
          <w:rFonts w:ascii="Arial" w:hAnsi="Arial" w:cs="Arial"/>
          <w:color w:val="000000" w:themeColor="text1"/>
          <w:sz w:val="18"/>
          <w:szCs w:val="18"/>
        </w:rPr>
      </w:pPr>
      <w:r w:rsidRPr="004F1627">
        <w:rPr>
          <w:rFonts w:ascii="Arial" w:hAnsi="Arial" w:cs="Arial"/>
          <w:color w:val="000000" w:themeColor="text1"/>
          <w:sz w:val="18"/>
          <w:szCs w:val="18"/>
        </w:rPr>
        <w:t>(</w:t>
      </w:r>
      <w:r w:rsidR="004F1627">
        <w:rPr>
          <w:rFonts w:ascii="Arial" w:hAnsi="Arial" w:cs="Arial"/>
          <w:color w:val="000000" w:themeColor="text1"/>
          <w:sz w:val="18"/>
          <w:szCs w:val="18"/>
        </w:rPr>
        <w:t>t</w:t>
      </w:r>
      <w:r w:rsidRPr="004F1627">
        <w:rPr>
          <w:rFonts w:ascii="Arial" w:hAnsi="Arial" w:cs="Arial"/>
          <w:color w:val="000000" w:themeColor="text1"/>
          <w:sz w:val="18"/>
          <w:szCs w:val="18"/>
        </w:rPr>
        <w:t>asa por 100.000 habitantes)</w:t>
      </w:r>
    </w:p>
    <w:p w:rsidR="004F1627" w:rsidRPr="004F1627" w:rsidRDefault="004F1627" w:rsidP="00475BBF">
      <w:pPr>
        <w:spacing w:line="276" w:lineRule="auto"/>
        <w:jc w:val="center"/>
        <w:rPr>
          <w:rFonts w:ascii="Arial" w:hAnsi="Arial" w:cs="Arial"/>
          <w:color w:val="000000" w:themeColor="text1"/>
          <w:lang w:val="es-CR"/>
        </w:rPr>
      </w:pPr>
    </w:p>
    <w:p w:rsidR="00475BBF" w:rsidRDefault="00475BBF" w:rsidP="00475BBF">
      <w:pPr>
        <w:spacing w:line="360" w:lineRule="auto"/>
        <w:jc w:val="center"/>
        <w:rPr>
          <w:rFonts w:ascii="Arial" w:hAnsi="Arial" w:cs="Arial"/>
          <w:lang w:val="es-CR"/>
        </w:rPr>
      </w:pPr>
      <w:r w:rsidRPr="00271C13">
        <w:rPr>
          <w:noProof/>
          <w:lang w:val="es-CR" w:eastAsia="es-CR"/>
        </w:rPr>
        <w:drawing>
          <wp:inline distT="0" distB="0" distL="0" distR="0" wp14:anchorId="44D34522" wp14:editId="781008CF">
            <wp:extent cx="4370263" cy="2157095"/>
            <wp:effectExtent l="0" t="0" r="11430" b="14605"/>
            <wp:docPr id="11"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475BBF" w:rsidRPr="003C4094" w:rsidRDefault="00475BBF" w:rsidP="004F1627">
      <w:pPr>
        <w:jc w:val="right"/>
        <w:rPr>
          <w:rFonts w:ascii="Arial" w:hAnsi="Arial" w:cs="Arial"/>
          <w:sz w:val="20"/>
          <w:szCs w:val="20"/>
          <w:lang w:val="es-MX"/>
        </w:rPr>
      </w:pPr>
      <w:r w:rsidRPr="004F1627">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INCIENSA</w:t>
      </w:r>
      <w:r w:rsidR="004F1627">
        <w:rPr>
          <w:rFonts w:ascii="Arial" w:hAnsi="Arial" w:cs="Arial"/>
          <w:sz w:val="20"/>
          <w:szCs w:val="20"/>
          <w:lang w:val="es-MX"/>
        </w:rPr>
        <w:t>,</w:t>
      </w:r>
      <w:r>
        <w:rPr>
          <w:rFonts w:ascii="Arial" w:hAnsi="Arial" w:cs="Arial"/>
          <w:sz w:val="20"/>
          <w:szCs w:val="20"/>
          <w:lang w:val="es-MX"/>
        </w:rPr>
        <w:t xml:space="preserve"> CCSS</w:t>
      </w:r>
      <w:r w:rsidR="004F1627">
        <w:rPr>
          <w:rFonts w:ascii="Arial" w:hAnsi="Arial" w:cs="Arial"/>
          <w:sz w:val="20"/>
          <w:szCs w:val="20"/>
          <w:lang w:val="es-MX"/>
        </w:rPr>
        <w:t>,</w:t>
      </w:r>
      <w:r>
        <w:rPr>
          <w:rFonts w:ascii="Arial" w:hAnsi="Arial" w:cs="Arial"/>
          <w:sz w:val="20"/>
          <w:szCs w:val="20"/>
          <w:lang w:val="es-MX"/>
        </w:rPr>
        <w:t xml:space="preserve"> Ministerio de Salud</w:t>
      </w:r>
      <w:r w:rsidR="004F1627">
        <w:rPr>
          <w:rFonts w:ascii="Arial" w:hAnsi="Arial" w:cs="Arial"/>
          <w:sz w:val="20"/>
          <w:szCs w:val="20"/>
          <w:lang w:val="es-MX"/>
        </w:rPr>
        <w:t>, 2019.</w:t>
      </w:r>
    </w:p>
    <w:p w:rsidR="00475BBF" w:rsidRDefault="00475BBF" w:rsidP="00475BBF">
      <w:pPr>
        <w:spacing w:line="360" w:lineRule="auto"/>
        <w:jc w:val="both"/>
        <w:rPr>
          <w:rFonts w:ascii="Arial" w:hAnsi="Arial" w:cs="Arial"/>
          <w:lang w:val="es-CR"/>
        </w:rPr>
      </w:pPr>
    </w:p>
    <w:p w:rsidR="00475BBF" w:rsidRPr="003C4094" w:rsidRDefault="00475BBF" w:rsidP="00475BBF">
      <w:pPr>
        <w:spacing w:line="276" w:lineRule="auto"/>
        <w:jc w:val="both"/>
        <w:rPr>
          <w:rFonts w:ascii="Arial" w:eastAsia="Times New Roman" w:hAnsi="Arial" w:cs="Arial"/>
          <w:lang w:val="es-ES" w:eastAsia="es-ES"/>
        </w:rPr>
      </w:pPr>
      <w:r w:rsidRPr="00082F09">
        <w:rPr>
          <w:rFonts w:ascii="Arial" w:hAnsi="Arial" w:cs="Arial"/>
          <w:lang w:val="es-CR"/>
        </w:rPr>
        <w:t xml:space="preserve">En el período 2014-2018, se reportaron </w:t>
      </w:r>
      <w:r>
        <w:rPr>
          <w:rFonts w:ascii="Arial" w:hAnsi="Arial" w:cs="Arial"/>
          <w:lang w:val="es-CR"/>
        </w:rPr>
        <w:t>134</w:t>
      </w:r>
      <w:r w:rsidRPr="00082F09">
        <w:rPr>
          <w:rFonts w:ascii="Arial" w:hAnsi="Arial" w:cs="Arial"/>
          <w:lang w:val="es-CR"/>
        </w:rPr>
        <w:t xml:space="preserve"> casos </w:t>
      </w:r>
      <w:r>
        <w:rPr>
          <w:rFonts w:ascii="Arial" w:hAnsi="Arial" w:cs="Arial"/>
          <w:lang w:val="es-CR"/>
        </w:rPr>
        <w:t>sospechosos de Sarampión/Rubéola</w:t>
      </w:r>
      <w:r w:rsidRPr="00082F09">
        <w:rPr>
          <w:rFonts w:ascii="Arial" w:hAnsi="Arial" w:cs="Arial"/>
          <w:lang w:val="es-CR"/>
        </w:rPr>
        <w:t xml:space="preserve"> en </w:t>
      </w:r>
      <w:r>
        <w:rPr>
          <w:rFonts w:ascii="Arial" w:hAnsi="Arial" w:cs="Arial"/>
          <w:lang w:val="es-CR"/>
        </w:rPr>
        <w:t>mujeres</w:t>
      </w:r>
      <w:r w:rsidRPr="00082F09">
        <w:rPr>
          <w:rFonts w:ascii="Arial" w:hAnsi="Arial" w:cs="Arial"/>
          <w:lang w:val="es-CR"/>
        </w:rPr>
        <w:t xml:space="preserve">, representando </w:t>
      </w:r>
      <w:r w:rsidRPr="00025730">
        <w:rPr>
          <w:rFonts w:ascii="Arial" w:hAnsi="Arial" w:cs="Arial"/>
          <w:noProof/>
          <w:lang w:val="es-MX" w:eastAsia="es-MX"/>
        </w:rPr>
        <w:t xml:space="preserve">el </w:t>
      </w:r>
      <w:r>
        <w:rPr>
          <w:rFonts w:ascii="Arial" w:hAnsi="Arial" w:cs="Arial"/>
          <w:noProof/>
          <w:lang w:val="es-MX" w:eastAsia="es-MX"/>
        </w:rPr>
        <w:t>58,5</w:t>
      </w:r>
      <w:r w:rsidRPr="00025730">
        <w:rPr>
          <w:rFonts w:ascii="Arial" w:hAnsi="Arial" w:cs="Arial"/>
          <w:noProof/>
          <w:lang w:val="es-MX" w:eastAsia="es-MX"/>
        </w:rPr>
        <w:t>% del total</w:t>
      </w:r>
      <w:r>
        <w:rPr>
          <w:rFonts w:ascii="Arial" w:hAnsi="Arial" w:cs="Arial"/>
          <w:noProof/>
          <w:lang w:val="es-MX" w:eastAsia="es-MX"/>
        </w:rPr>
        <w:t>.</w:t>
      </w:r>
      <w:r w:rsidRPr="00082F09">
        <w:rPr>
          <w:rFonts w:ascii="Arial" w:hAnsi="Arial" w:cs="Arial"/>
          <w:lang w:val="es-CR"/>
        </w:rPr>
        <w:t xml:space="preserve"> </w:t>
      </w:r>
      <w:r>
        <w:rPr>
          <w:rFonts w:ascii="Arial" w:eastAsia="Times New Roman" w:hAnsi="Arial" w:cs="Arial"/>
          <w:lang w:val="es-ES" w:eastAsia="es-ES"/>
        </w:rPr>
        <w:t xml:space="preserve">La razón de notificación </w:t>
      </w:r>
      <w:r w:rsidRPr="001704C2">
        <w:rPr>
          <w:rFonts w:ascii="Arial" w:eastAsia="Times New Roman" w:hAnsi="Arial" w:cs="Arial"/>
          <w:lang w:val="es-ES" w:eastAsia="es-ES"/>
        </w:rPr>
        <w:t>mujer</w:t>
      </w:r>
      <w:r>
        <w:rPr>
          <w:rFonts w:ascii="Arial" w:eastAsia="Times New Roman" w:hAnsi="Arial" w:cs="Arial"/>
          <w:lang w:val="es-ES" w:eastAsia="es-ES"/>
        </w:rPr>
        <w:t>-hombre</w:t>
      </w:r>
      <w:r w:rsidRPr="001704C2">
        <w:rPr>
          <w:rFonts w:ascii="Arial" w:eastAsia="Times New Roman" w:hAnsi="Arial" w:cs="Arial"/>
          <w:lang w:val="es-ES" w:eastAsia="es-ES"/>
        </w:rPr>
        <w:t xml:space="preserve"> </w:t>
      </w:r>
      <w:r>
        <w:rPr>
          <w:rFonts w:ascii="Arial" w:eastAsia="Times New Roman" w:hAnsi="Arial" w:cs="Arial"/>
          <w:lang w:val="es-ES" w:eastAsia="es-ES"/>
        </w:rPr>
        <w:t xml:space="preserve">del período de análisis </w:t>
      </w:r>
      <w:r w:rsidR="004F1627">
        <w:rPr>
          <w:rFonts w:ascii="Arial" w:eastAsia="Times New Roman" w:hAnsi="Arial" w:cs="Arial"/>
          <w:lang w:val="es-ES" w:eastAsia="es-ES"/>
        </w:rPr>
        <w:t>fue</w:t>
      </w:r>
      <w:r>
        <w:rPr>
          <w:rFonts w:ascii="Arial" w:eastAsia="Times New Roman" w:hAnsi="Arial" w:cs="Arial"/>
          <w:lang w:val="es-ES" w:eastAsia="es-ES"/>
        </w:rPr>
        <w:t xml:space="preserve"> de 1,4 veces.</w:t>
      </w:r>
    </w:p>
    <w:p w:rsidR="00475BBF" w:rsidRDefault="00475BBF" w:rsidP="00475BBF">
      <w:pPr>
        <w:spacing w:line="276" w:lineRule="auto"/>
        <w:jc w:val="both"/>
        <w:rPr>
          <w:rFonts w:ascii="Arial" w:hAnsi="Arial" w:cs="Arial"/>
          <w:lang w:val="es-CR"/>
        </w:rPr>
      </w:pPr>
    </w:p>
    <w:p w:rsidR="00475BBF" w:rsidRDefault="00475BBF" w:rsidP="00475BBF">
      <w:pPr>
        <w:spacing w:line="276" w:lineRule="auto"/>
        <w:jc w:val="both"/>
        <w:rPr>
          <w:rFonts w:ascii="Arial" w:hAnsi="Arial" w:cs="Arial"/>
          <w:lang w:val="es-CR"/>
        </w:rPr>
      </w:pPr>
      <w:r>
        <w:rPr>
          <w:rFonts w:ascii="Arial" w:hAnsi="Arial" w:cs="Arial"/>
          <w:lang w:val="es-CR"/>
        </w:rPr>
        <w:t xml:space="preserve">Costa Rica cuenta con un </w:t>
      </w:r>
      <w:r w:rsidR="004F1627" w:rsidRPr="004F1627">
        <w:rPr>
          <w:rFonts w:ascii="Arial" w:hAnsi="Arial" w:cs="Arial"/>
          <w:i/>
          <w:lang w:val="es-CR"/>
        </w:rPr>
        <w:t>“</w:t>
      </w:r>
      <w:r w:rsidRPr="004F1627">
        <w:rPr>
          <w:rFonts w:ascii="Arial" w:hAnsi="Arial" w:cs="Arial"/>
          <w:i/>
          <w:lang w:val="es-CR"/>
        </w:rPr>
        <w:t xml:space="preserve">Manual de </w:t>
      </w:r>
      <w:r w:rsidR="004F1627" w:rsidRPr="004F1627">
        <w:rPr>
          <w:rFonts w:ascii="Arial" w:hAnsi="Arial" w:cs="Arial"/>
          <w:i/>
          <w:lang w:val="es-CR"/>
        </w:rPr>
        <w:t>R</w:t>
      </w:r>
      <w:r w:rsidRPr="004F1627">
        <w:rPr>
          <w:rFonts w:ascii="Arial" w:hAnsi="Arial" w:cs="Arial"/>
          <w:i/>
          <w:lang w:val="es-CR"/>
        </w:rPr>
        <w:t xml:space="preserve">espuesta </w:t>
      </w:r>
      <w:r w:rsidR="004F1627" w:rsidRPr="004F1627">
        <w:rPr>
          <w:rFonts w:ascii="Arial" w:hAnsi="Arial" w:cs="Arial"/>
          <w:i/>
          <w:lang w:val="es-CR"/>
        </w:rPr>
        <w:t>R</w:t>
      </w:r>
      <w:r w:rsidRPr="004F1627">
        <w:rPr>
          <w:rFonts w:ascii="Arial" w:hAnsi="Arial" w:cs="Arial"/>
          <w:i/>
          <w:lang w:val="es-CR"/>
        </w:rPr>
        <w:t xml:space="preserve">ápida ante un </w:t>
      </w:r>
      <w:r w:rsidR="004F1627" w:rsidRPr="004F1627">
        <w:rPr>
          <w:rFonts w:ascii="Arial" w:hAnsi="Arial" w:cs="Arial"/>
          <w:i/>
          <w:lang w:val="es-CR"/>
        </w:rPr>
        <w:t>C</w:t>
      </w:r>
      <w:r w:rsidRPr="004F1627">
        <w:rPr>
          <w:rFonts w:ascii="Arial" w:hAnsi="Arial" w:cs="Arial"/>
          <w:i/>
          <w:lang w:val="es-CR"/>
        </w:rPr>
        <w:t xml:space="preserve">aso </w:t>
      </w:r>
      <w:r w:rsidR="004F1627" w:rsidRPr="004F1627">
        <w:rPr>
          <w:rFonts w:ascii="Arial" w:hAnsi="Arial" w:cs="Arial"/>
          <w:i/>
          <w:lang w:val="es-CR"/>
        </w:rPr>
        <w:t>S</w:t>
      </w:r>
      <w:r w:rsidRPr="004F1627">
        <w:rPr>
          <w:rFonts w:ascii="Arial" w:hAnsi="Arial" w:cs="Arial"/>
          <w:i/>
          <w:lang w:val="es-CR"/>
        </w:rPr>
        <w:t>ospechoso -</w:t>
      </w:r>
      <w:r w:rsidR="004F1627" w:rsidRPr="004F1627">
        <w:rPr>
          <w:rFonts w:ascii="Arial" w:hAnsi="Arial" w:cs="Arial"/>
          <w:i/>
          <w:lang w:val="es-CR"/>
        </w:rPr>
        <w:t>C</w:t>
      </w:r>
      <w:r w:rsidRPr="004F1627">
        <w:rPr>
          <w:rFonts w:ascii="Arial" w:hAnsi="Arial" w:cs="Arial"/>
          <w:i/>
          <w:lang w:val="es-CR"/>
        </w:rPr>
        <w:t xml:space="preserve">onfirmado de </w:t>
      </w:r>
      <w:r w:rsidR="004F1627" w:rsidRPr="004F1627">
        <w:rPr>
          <w:rFonts w:ascii="Arial" w:hAnsi="Arial" w:cs="Arial"/>
          <w:i/>
          <w:lang w:val="es-CR"/>
        </w:rPr>
        <w:t>S</w:t>
      </w:r>
      <w:r w:rsidRPr="004F1627">
        <w:rPr>
          <w:rFonts w:ascii="Arial" w:hAnsi="Arial" w:cs="Arial"/>
          <w:i/>
          <w:lang w:val="es-CR"/>
        </w:rPr>
        <w:t>arampión</w:t>
      </w:r>
      <w:r w:rsidR="004F1627" w:rsidRPr="004F1627">
        <w:rPr>
          <w:rFonts w:ascii="Arial" w:hAnsi="Arial" w:cs="Arial"/>
          <w:i/>
          <w:lang w:val="es-CR"/>
        </w:rPr>
        <w:t>”</w:t>
      </w:r>
      <w:r w:rsidR="004F1627">
        <w:rPr>
          <w:rFonts w:ascii="Arial" w:hAnsi="Arial" w:cs="Arial"/>
          <w:i/>
          <w:lang w:val="es-CR"/>
        </w:rPr>
        <w:t>,</w:t>
      </w:r>
      <w:r>
        <w:rPr>
          <w:rFonts w:ascii="Arial" w:hAnsi="Arial" w:cs="Arial"/>
          <w:lang w:val="es-CR"/>
        </w:rPr>
        <w:t xml:space="preserve"> que permite</w:t>
      </w:r>
      <w:r w:rsidR="004F1627">
        <w:rPr>
          <w:rFonts w:ascii="Arial" w:hAnsi="Arial" w:cs="Arial"/>
          <w:lang w:val="es-CR"/>
        </w:rPr>
        <w:t xml:space="preserve"> realizar un abordaje</w:t>
      </w:r>
      <w:r w:rsidRPr="003C4094">
        <w:rPr>
          <w:rFonts w:ascii="Arial" w:hAnsi="Arial" w:cs="Arial"/>
          <w:lang w:val="es-CR"/>
        </w:rPr>
        <w:t xml:space="preserve"> rápid</w:t>
      </w:r>
      <w:r w:rsidR="004F1627">
        <w:rPr>
          <w:rFonts w:ascii="Arial" w:hAnsi="Arial" w:cs="Arial"/>
          <w:lang w:val="es-CR"/>
        </w:rPr>
        <w:t>o</w:t>
      </w:r>
      <w:r w:rsidRPr="003C4094">
        <w:rPr>
          <w:rFonts w:ascii="Arial" w:hAnsi="Arial" w:cs="Arial"/>
          <w:lang w:val="es-CR"/>
        </w:rPr>
        <w:t xml:space="preserve"> y eficaz de </w:t>
      </w:r>
      <w:r w:rsidR="004F1627">
        <w:rPr>
          <w:rFonts w:ascii="Arial" w:hAnsi="Arial" w:cs="Arial"/>
          <w:lang w:val="es-CR"/>
        </w:rPr>
        <w:t xml:space="preserve">los </w:t>
      </w:r>
      <w:r w:rsidRPr="003C4094">
        <w:rPr>
          <w:rFonts w:ascii="Arial" w:hAnsi="Arial" w:cs="Arial"/>
          <w:lang w:val="es-CR"/>
        </w:rPr>
        <w:t xml:space="preserve">casos sospechosos o importados de sarampión-rubéola, </w:t>
      </w:r>
      <w:r w:rsidR="004F1627">
        <w:rPr>
          <w:rFonts w:ascii="Arial" w:hAnsi="Arial" w:cs="Arial"/>
          <w:lang w:val="es-CR"/>
        </w:rPr>
        <w:t xml:space="preserve">con el fin de </w:t>
      </w:r>
      <w:r w:rsidRPr="003C4094">
        <w:rPr>
          <w:rFonts w:ascii="Arial" w:hAnsi="Arial" w:cs="Arial"/>
          <w:lang w:val="es-CR"/>
        </w:rPr>
        <w:t>limitar la transmisión secundaria y evitar el establecimiento de la circulación endémica de ambos virus</w:t>
      </w:r>
      <w:r w:rsidR="004F1627">
        <w:rPr>
          <w:rFonts w:ascii="Arial" w:hAnsi="Arial" w:cs="Arial"/>
          <w:lang w:val="es-CR"/>
        </w:rPr>
        <w:t xml:space="preserve">. </w:t>
      </w:r>
    </w:p>
    <w:p w:rsidR="006D48B5" w:rsidRDefault="006D48B5">
      <w:pPr>
        <w:spacing w:after="160" w:line="259" w:lineRule="auto"/>
        <w:rPr>
          <w:rFonts w:ascii="Arial" w:hAnsi="Arial" w:cs="Arial"/>
          <w:lang w:val="es-CR"/>
        </w:rPr>
      </w:pPr>
      <w:r>
        <w:rPr>
          <w:rFonts w:ascii="Arial" w:hAnsi="Arial" w:cs="Arial"/>
          <w:lang w:val="es-CR"/>
        </w:rPr>
        <w:br w:type="page"/>
      </w:r>
    </w:p>
    <w:p w:rsidR="00475BBF" w:rsidRPr="006D48B5" w:rsidRDefault="00D01310" w:rsidP="006D48B5">
      <w:pPr>
        <w:pStyle w:val="Ttulo3"/>
        <w:rPr>
          <w:rFonts w:ascii="Arial" w:hAnsi="Arial" w:cs="Arial"/>
          <w:b/>
        </w:rPr>
      </w:pPr>
      <w:bookmarkStart w:id="56" w:name="_Toc506187968"/>
      <w:bookmarkStart w:id="57" w:name="_Toc7439676"/>
      <w:r w:rsidRPr="006D48B5">
        <w:rPr>
          <w:rFonts w:ascii="Arial" w:hAnsi="Arial" w:cs="Arial"/>
          <w:b/>
        </w:rPr>
        <w:lastRenderedPageBreak/>
        <w:t>Tosferina</w:t>
      </w:r>
      <w:bookmarkEnd w:id="56"/>
      <w:bookmarkEnd w:id="57"/>
    </w:p>
    <w:p w:rsidR="00475BBF" w:rsidRDefault="00475BBF" w:rsidP="00475BBF">
      <w:pPr>
        <w:widowControl w:val="0"/>
        <w:spacing w:line="276" w:lineRule="auto"/>
        <w:jc w:val="both"/>
        <w:rPr>
          <w:rFonts w:ascii="Arial" w:eastAsia="Calibri" w:hAnsi="Arial" w:cs="Arial"/>
        </w:rPr>
      </w:pPr>
    </w:p>
    <w:p w:rsidR="00475BBF" w:rsidRDefault="00475BBF" w:rsidP="00475BBF">
      <w:pPr>
        <w:spacing w:line="276" w:lineRule="auto"/>
        <w:jc w:val="both"/>
        <w:rPr>
          <w:rFonts w:ascii="Arial" w:hAnsi="Arial" w:cs="Arial"/>
          <w:lang w:val="es-CR"/>
        </w:rPr>
      </w:pPr>
      <w:r>
        <w:rPr>
          <w:rFonts w:ascii="Arial" w:hAnsi="Arial" w:cs="Arial"/>
          <w:lang w:val="es-CR"/>
        </w:rPr>
        <w:t xml:space="preserve">La tosferina </w:t>
      </w:r>
      <w:r w:rsidRPr="00067548">
        <w:rPr>
          <w:rFonts w:ascii="Arial" w:hAnsi="Arial" w:cs="Arial"/>
          <w:lang w:val="es-CR"/>
        </w:rPr>
        <w:t>es una enfermedad</w:t>
      </w:r>
      <w:r>
        <w:rPr>
          <w:rFonts w:ascii="Arial" w:hAnsi="Arial" w:cs="Arial"/>
          <w:lang w:val="es-CR"/>
        </w:rPr>
        <w:t xml:space="preserve"> </w:t>
      </w:r>
      <w:r w:rsidR="00D01310">
        <w:rPr>
          <w:rFonts w:ascii="Arial" w:hAnsi="Arial" w:cs="Arial"/>
          <w:lang w:val="es-CR"/>
        </w:rPr>
        <w:t xml:space="preserve">de las vías respiratoria causada por la bacteria </w:t>
      </w:r>
      <w:r w:rsidR="00D01310" w:rsidRPr="00D01310">
        <w:rPr>
          <w:rFonts w:ascii="Arial" w:hAnsi="Arial" w:cs="Arial"/>
          <w:i/>
          <w:lang w:val="es-CR"/>
        </w:rPr>
        <w:t>Bordetella pertussis</w:t>
      </w:r>
      <w:r w:rsidR="00D01310">
        <w:rPr>
          <w:rFonts w:ascii="Arial" w:hAnsi="Arial" w:cs="Arial"/>
          <w:lang w:val="es-CR"/>
        </w:rPr>
        <w:t>. Es</w:t>
      </w:r>
      <w:r>
        <w:rPr>
          <w:rFonts w:ascii="Arial" w:hAnsi="Arial" w:cs="Arial"/>
          <w:lang w:val="es-CR"/>
        </w:rPr>
        <w:t xml:space="preserve"> </w:t>
      </w:r>
      <w:r w:rsidRPr="00067548">
        <w:rPr>
          <w:rFonts w:ascii="Arial" w:hAnsi="Arial" w:cs="Arial"/>
          <w:lang w:val="es-CR"/>
        </w:rPr>
        <w:t>prevenible por vacuna</w:t>
      </w:r>
      <w:r w:rsidR="00D01310">
        <w:rPr>
          <w:rFonts w:ascii="Arial" w:hAnsi="Arial" w:cs="Arial"/>
          <w:lang w:val="es-CR"/>
        </w:rPr>
        <w:t>ción</w:t>
      </w:r>
      <w:r>
        <w:rPr>
          <w:rFonts w:ascii="Arial" w:hAnsi="Arial" w:cs="Arial"/>
          <w:lang w:val="es-CR"/>
        </w:rPr>
        <w:t>,</w:t>
      </w:r>
      <w:r w:rsidRPr="00067548">
        <w:rPr>
          <w:rFonts w:ascii="Arial" w:hAnsi="Arial" w:cs="Arial"/>
          <w:lang w:val="es-CR"/>
        </w:rPr>
        <w:t xml:space="preserve"> afecta a todos los</w:t>
      </w:r>
      <w:r>
        <w:rPr>
          <w:rFonts w:ascii="Arial" w:hAnsi="Arial" w:cs="Arial"/>
          <w:lang w:val="es-CR"/>
        </w:rPr>
        <w:t xml:space="preserve"> </w:t>
      </w:r>
      <w:r w:rsidR="00D01310">
        <w:rPr>
          <w:rFonts w:ascii="Arial" w:hAnsi="Arial" w:cs="Arial"/>
          <w:lang w:val="es-CR"/>
        </w:rPr>
        <w:t xml:space="preserve">grupos de edad y </w:t>
      </w:r>
      <w:r w:rsidRPr="00067548">
        <w:rPr>
          <w:rFonts w:ascii="Arial" w:hAnsi="Arial" w:cs="Arial"/>
          <w:lang w:val="es-CR"/>
        </w:rPr>
        <w:t>es</w:t>
      </w:r>
      <w:r w:rsidR="00D01310">
        <w:rPr>
          <w:rFonts w:ascii="Arial" w:hAnsi="Arial" w:cs="Arial"/>
          <w:lang w:val="es-CR"/>
        </w:rPr>
        <w:t xml:space="preserve">pecialmente a menores de un año. </w:t>
      </w:r>
      <w:r w:rsidRPr="00067548">
        <w:rPr>
          <w:rFonts w:ascii="Arial" w:hAnsi="Arial" w:cs="Arial"/>
          <w:lang w:val="es-CR"/>
        </w:rPr>
        <w:t xml:space="preserve"> </w:t>
      </w:r>
    </w:p>
    <w:p w:rsidR="00D01310" w:rsidRPr="006C2AAC" w:rsidRDefault="00D01310" w:rsidP="00475BBF">
      <w:pPr>
        <w:spacing w:line="276" w:lineRule="auto"/>
        <w:jc w:val="both"/>
        <w:rPr>
          <w:rFonts w:ascii="Arial" w:eastAsia="Times New Roman" w:hAnsi="Arial" w:cs="Arial"/>
          <w:lang w:val="es-CR" w:eastAsia="es-ES"/>
        </w:rPr>
      </w:pPr>
    </w:p>
    <w:p w:rsidR="00967173" w:rsidRDefault="008D40CC" w:rsidP="00475BBF">
      <w:pPr>
        <w:spacing w:line="276" w:lineRule="auto"/>
        <w:jc w:val="both"/>
        <w:rPr>
          <w:rFonts w:ascii="Arial" w:hAnsi="Arial" w:cs="Arial"/>
          <w:lang w:val="es-CR"/>
        </w:rPr>
      </w:pPr>
      <w:r>
        <w:rPr>
          <w:rFonts w:ascii="Arial" w:hAnsi="Arial" w:cs="Arial"/>
          <w:lang w:val="es-CR"/>
        </w:rPr>
        <w:t>S</w:t>
      </w:r>
      <w:r w:rsidR="00475BBF">
        <w:rPr>
          <w:rFonts w:ascii="Arial" w:hAnsi="Arial" w:cs="Arial"/>
          <w:lang w:val="es-CR"/>
        </w:rPr>
        <w:t xml:space="preserve">e transmite </w:t>
      </w:r>
      <w:r>
        <w:rPr>
          <w:rFonts w:ascii="Arial" w:hAnsi="Arial" w:cs="Arial"/>
          <w:lang w:val="es-CR"/>
        </w:rPr>
        <w:t>por medio</w:t>
      </w:r>
      <w:r w:rsidR="00475BBF">
        <w:rPr>
          <w:rFonts w:ascii="Arial" w:hAnsi="Arial" w:cs="Arial"/>
          <w:lang w:val="es-CR"/>
        </w:rPr>
        <w:t xml:space="preserve"> de got</w:t>
      </w:r>
      <w:r>
        <w:rPr>
          <w:rFonts w:ascii="Arial" w:hAnsi="Arial" w:cs="Arial"/>
          <w:lang w:val="es-CR"/>
        </w:rPr>
        <w:t>a</w:t>
      </w:r>
      <w:r w:rsidR="00475BBF">
        <w:rPr>
          <w:rFonts w:ascii="Arial" w:hAnsi="Arial" w:cs="Arial"/>
          <w:lang w:val="es-CR"/>
        </w:rPr>
        <w:t>s que s</w:t>
      </w:r>
      <w:r>
        <w:rPr>
          <w:rFonts w:ascii="Arial" w:hAnsi="Arial" w:cs="Arial"/>
          <w:lang w:val="es-CR"/>
        </w:rPr>
        <w:t>e producen al toser o estornudar</w:t>
      </w:r>
      <w:r w:rsidR="00967173">
        <w:rPr>
          <w:rFonts w:ascii="Arial" w:hAnsi="Arial" w:cs="Arial"/>
          <w:lang w:val="es-CR"/>
        </w:rPr>
        <w:t xml:space="preserve"> y se inicia con la fase catarral o temprana, seguida por la fase en la que </w:t>
      </w:r>
      <w:r>
        <w:rPr>
          <w:rFonts w:ascii="Arial" w:hAnsi="Arial" w:cs="Arial"/>
          <w:lang w:val="es-CR"/>
        </w:rPr>
        <w:t>el</w:t>
      </w:r>
      <w:r w:rsidR="00475BBF">
        <w:rPr>
          <w:rFonts w:ascii="Arial" w:hAnsi="Arial" w:cs="Arial"/>
          <w:lang w:val="es-CR"/>
        </w:rPr>
        <w:t xml:space="preserve"> paciente </w:t>
      </w:r>
      <w:r w:rsidR="00967173">
        <w:rPr>
          <w:rFonts w:ascii="Arial" w:hAnsi="Arial" w:cs="Arial"/>
          <w:lang w:val="es-CR"/>
        </w:rPr>
        <w:t xml:space="preserve">presenta </w:t>
      </w:r>
      <w:r w:rsidR="00475BBF">
        <w:rPr>
          <w:rFonts w:ascii="Arial" w:hAnsi="Arial" w:cs="Arial"/>
          <w:lang w:val="es-CR"/>
        </w:rPr>
        <w:t xml:space="preserve"> accesos </w:t>
      </w:r>
      <w:r w:rsidR="00475BBF" w:rsidRPr="000703ED">
        <w:rPr>
          <w:rFonts w:ascii="Arial" w:hAnsi="Arial" w:cs="Arial"/>
          <w:lang w:val="es-CR"/>
        </w:rPr>
        <w:t>de tos violenta y espasmódica con sensación de asfixia</w:t>
      </w:r>
      <w:r w:rsidR="00475BBF">
        <w:rPr>
          <w:rFonts w:ascii="Arial" w:hAnsi="Arial" w:cs="Arial"/>
          <w:lang w:val="es-CR"/>
        </w:rPr>
        <w:t>, que terminan con un</w:t>
      </w:r>
      <w:r w:rsidR="00475BBF" w:rsidRPr="00D8190C">
        <w:rPr>
          <w:lang w:val="es-CR"/>
        </w:rPr>
        <w:t xml:space="preserve"> </w:t>
      </w:r>
      <w:r w:rsidR="00475BBF" w:rsidRPr="00D8190C">
        <w:rPr>
          <w:rFonts w:ascii="Arial" w:hAnsi="Arial" w:cs="Arial"/>
          <w:lang w:val="es-CR"/>
        </w:rPr>
        <w:t>silbido o estri</w:t>
      </w:r>
      <w:r w:rsidR="00475BBF">
        <w:rPr>
          <w:rFonts w:ascii="Arial" w:hAnsi="Arial" w:cs="Arial"/>
          <w:lang w:val="es-CR"/>
        </w:rPr>
        <w:t>dor inspiratorio característico</w:t>
      </w:r>
      <w:r w:rsidR="00967173">
        <w:rPr>
          <w:rFonts w:ascii="Arial" w:hAnsi="Arial" w:cs="Arial"/>
          <w:lang w:val="es-CR"/>
        </w:rPr>
        <w:t xml:space="preserve"> y que </w:t>
      </w:r>
      <w:r w:rsidR="00475BBF">
        <w:rPr>
          <w:rFonts w:ascii="Arial" w:hAnsi="Arial" w:cs="Arial"/>
          <w:lang w:val="es-CR"/>
        </w:rPr>
        <w:t xml:space="preserve"> puede asociar</w:t>
      </w:r>
      <w:r w:rsidR="00967173">
        <w:rPr>
          <w:rFonts w:ascii="Arial" w:hAnsi="Arial" w:cs="Arial"/>
          <w:lang w:val="es-CR"/>
        </w:rPr>
        <w:t>se con</w:t>
      </w:r>
      <w:r w:rsidR="00475BBF">
        <w:rPr>
          <w:rFonts w:ascii="Arial" w:hAnsi="Arial" w:cs="Arial"/>
          <w:lang w:val="es-CR"/>
        </w:rPr>
        <w:t xml:space="preserve"> </w:t>
      </w:r>
      <w:r w:rsidR="00967173">
        <w:rPr>
          <w:rFonts w:ascii="Arial" w:hAnsi="Arial" w:cs="Arial"/>
          <w:lang w:val="es-CR"/>
        </w:rPr>
        <w:t>desmayos</w:t>
      </w:r>
      <w:r w:rsidR="00475BBF">
        <w:rPr>
          <w:rFonts w:ascii="Arial" w:hAnsi="Arial" w:cs="Arial"/>
          <w:lang w:val="es-CR"/>
        </w:rPr>
        <w:t xml:space="preserve"> y vómitos.</w:t>
      </w:r>
      <w:r w:rsidR="00475BBF" w:rsidRPr="00F40382">
        <w:rPr>
          <w:rFonts w:ascii="Arial" w:hAnsi="Arial" w:cs="Arial"/>
          <w:lang w:val="es-CR"/>
        </w:rPr>
        <w:t xml:space="preserve"> </w:t>
      </w:r>
    </w:p>
    <w:p w:rsidR="00475BBF" w:rsidRPr="00185641" w:rsidRDefault="00475BBF" w:rsidP="00475BBF">
      <w:pPr>
        <w:spacing w:line="276" w:lineRule="auto"/>
        <w:jc w:val="both"/>
        <w:rPr>
          <w:rFonts w:ascii="Arial" w:hAnsi="Arial" w:cs="Arial"/>
          <w:lang w:val="es-CR"/>
        </w:rPr>
      </w:pPr>
      <w:r w:rsidRPr="00C13B5A">
        <w:rPr>
          <w:rFonts w:ascii="Arial" w:hAnsi="Arial" w:cs="Arial"/>
          <w:lang w:val="es-CR"/>
        </w:rPr>
        <w:t>La última etapa, la de convale</w:t>
      </w:r>
      <w:r>
        <w:rPr>
          <w:rFonts w:ascii="Arial" w:hAnsi="Arial" w:cs="Arial"/>
          <w:lang w:val="es-CR"/>
        </w:rPr>
        <w:t>s</w:t>
      </w:r>
      <w:r w:rsidRPr="00C13B5A">
        <w:rPr>
          <w:rFonts w:ascii="Arial" w:hAnsi="Arial" w:cs="Arial"/>
          <w:lang w:val="es-CR"/>
        </w:rPr>
        <w:t xml:space="preserve">cencia, dura de </w:t>
      </w:r>
      <w:r>
        <w:rPr>
          <w:rFonts w:ascii="Arial" w:hAnsi="Arial" w:cs="Arial"/>
          <w:lang w:val="es-CR"/>
        </w:rPr>
        <w:t>dos</w:t>
      </w:r>
      <w:r w:rsidRPr="00C13B5A">
        <w:rPr>
          <w:rFonts w:ascii="Arial" w:hAnsi="Arial" w:cs="Arial"/>
          <w:lang w:val="es-CR"/>
        </w:rPr>
        <w:t xml:space="preserve"> a tres </w:t>
      </w:r>
      <w:r>
        <w:rPr>
          <w:rFonts w:ascii="Arial" w:hAnsi="Arial" w:cs="Arial"/>
          <w:lang w:val="es-CR"/>
        </w:rPr>
        <w:t>semanas</w:t>
      </w:r>
      <w:r w:rsidRPr="00C13B5A">
        <w:rPr>
          <w:rFonts w:ascii="Arial" w:hAnsi="Arial" w:cs="Arial"/>
          <w:lang w:val="es-CR"/>
        </w:rPr>
        <w:t xml:space="preserve"> y se caracteriza por una resolución gradual de los episodios de tos. </w:t>
      </w:r>
      <w:r w:rsidRPr="00F40382">
        <w:rPr>
          <w:rFonts w:ascii="Arial" w:hAnsi="Arial" w:cs="Arial"/>
          <w:lang w:val="es-CR"/>
        </w:rPr>
        <w:t>Los portadores pueden tra</w:t>
      </w:r>
      <w:r>
        <w:rPr>
          <w:rFonts w:ascii="Arial" w:hAnsi="Arial" w:cs="Arial"/>
          <w:lang w:val="es-CR"/>
        </w:rPr>
        <w:t>nsmitir la tos</w:t>
      </w:r>
      <w:r w:rsidRPr="00F40382">
        <w:rPr>
          <w:rFonts w:ascii="Arial" w:hAnsi="Arial" w:cs="Arial"/>
          <w:lang w:val="es-CR"/>
        </w:rPr>
        <w:t>ferina desde la aparición de los síntomas hasta tres semanas después del inicio de los episodios de tos. El período de contagio se reduce a cinco días después del comienzo de la terapia con antibióticos</w:t>
      </w:r>
      <w:r>
        <w:rPr>
          <w:rFonts w:ascii="Arial" w:hAnsi="Arial" w:cs="Arial"/>
          <w:lang w:val="es-CR"/>
        </w:rPr>
        <w:t>.</w:t>
      </w:r>
      <w:r w:rsidRPr="00DD3124">
        <w:rPr>
          <w:rFonts w:ascii="Arial" w:hAnsi="Arial" w:cs="Arial"/>
          <w:lang w:val="es-CR"/>
        </w:rPr>
        <w:t xml:space="preserve"> </w:t>
      </w:r>
      <w:r w:rsidRPr="00185641">
        <w:rPr>
          <w:rFonts w:ascii="Arial" w:hAnsi="Arial" w:cs="Arial"/>
          <w:lang w:val="es-CR"/>
        </w:rPr>
        <w:t>Las complicaciones asociadas a la tosferina son cianosis, neumonía, bradicardia, convulsiones, encefalopatía, hipertensión pulmonar refractaria e incluso la muerte. Las complicaciones varían dependiendo del grupo de edad y ocurren con más frecuencia en los niños.</w:t>
      </w:r>
    </w:p>
    <w:p w:rsidR="00475BBF" w:rsidRDefault="00475BBF" w:rsidP="00475BBF">
      <w:pPr>
        <w:spacing w:line="276" w:lineRule="auto"/>
        <w:jc w:val="both"/>
        <w:rPr>
          <w:rFonts w:ascii="Arial" w:hAnsi="Arial" w:cs="Arial"/>
          <w:lang w:val="es-CR"/>
        </w:rPr>
      </w:pPr>
    </w:p>
    <w:p w:rsidR="00475BBF" w:rsidRDefault="00967173" w:rsidP="00475BBF">
      <w:pPr>
        <w:spacing w:line="276" w:lineRule="auto"/>
        <w:jc w:val="both"/>
        <w:rPr>
          <w:rFonts w:ascii="Arial" w:eastAsia="Times New Roman" w:hAnsi="Arial" w:cs="Arial"/>
          <w:lang w:val="es-ES" w:eastAsia="es-ES"/>
        </w:rPr>
      </w:pPr>
      <w:r>
        <w:rPr>
          <w:rFonts w:ascii="Arial" w:eastAsia="Times New Roman" w:hAnsi="Arial" w:cs="Arial"/>
          <w:lang w:val="es-ES" w:eastAsia="es-ES"/>
        </w:rPr>
        <w:t>Durante</w:t>
      </w:r>
      <w:r w:rsidR="00475BBF">
        <w:rPr>
          <w:rFonts w:ascii="Arial" w:eastAsia="Times New Roman" w:hAnsi="Arial" w:cs="Arial"/>
          <w:lang w:val="es-ES" w:eastAsia="es-ES"/>
        </w:rPr>
        <w:t xml:space="preserve"> el período 2014-2018, </w:t>
      </w:r>
      <w:r>
        <w:rPr>
          <w:rFonts w:ascii="Arial" w:eastAsia="Times New Roman" w:hAnsi="Arial" w:cs="Arial"/>
          <w:lang w:val="es-ES" w:eastAsia="es-ES"/>
        </w:rPr>
        <w:t xml:space="preserve">se </w:t>
      </w:r>
      <w:r w:rsidR="00475BBF" w:rsidRPr="00FB47BB">
        <w:rPr>
          <w:rFonts w:ascii="Arial" w:eastAsia="Times New Roman" w:hAnsi="Arial" w:cs="Arial"/>
          <w:lang w:val="es-ES" w:eastAsia="es-ES"/>
        </w:rPr>
        <w:t>registr</w:t>
      </w:r>
      <w:r>
        <w:rPr>
          <w:rFonts w:ascii="Arial" w:eastAsia="Times New Roman" w:hAnsi="Arial" w:cs="Arial"/>
          <w:lang w:val="es-ES" w:eastAsia="es-ES"/>
        </w:rPr>
        <w:t xml:space="preserve">aron en Costa Rica, </w:t>
      </w:r>
      <w:r w:rsidR="00475BBF" w:rsidRPr="00FB47BB">
        <w:rPr>
          <w:rFonts w:ascii="Arial" w:eastAsia="Times New Roman" w:hAnsi="Arial" w:cs="Arial"/>
          <w:lang w:val="es-ES" w:eastAsia="es-ES"/>
        </w:rPr>
        <w:t xml:space="preserve"> un total acumulado de </w:t>
      </w:r>
      <w:r w:rsidR="00475BBF">
        <w:rPr>
          <w:rFonts w:ascii="Arial" w:eastAsia="Times New Roman" w:hAnsi="Arial" w:cs="Arial"/>
          <w:lang w:val="es-ES" w:eastAsia="es-ES"/>
        </w:rPr>
        <w:t>1</w:t>
      </w:r>
      <w:r>
        <w:rPr>
          <w:rFonts w:ascii="Arial" w:eastAsia="Times New Roman" w:hAnsi="Arial" w:cs="Arial"/>
          <w:lang w:val="es-ES" w:eastAsia="es-ES"/>
        </w:rPr>
        <w:t>.</w:t>
      </w:r>
      <w:r w:rsidR="00475BBF">
        <w:rPr>
          <w:rFonts w:ascii="Arial" w:eastAsia="Times New Roman" w:hAnsi="Arial" w:cs="Arial"/>
          <w:lang w:val="es-ES" w:eastAsia="es-ES"/>
        </w:rPr>
        <w:t>475</w:t>
      </w:r>
      <w:r w:rsidR="00475BBF" w:rsidRPr="00FB47BB">
        <w:rPr>
          <w:rFonts w:ascii="Arial" w:eastAsia="Times New Roman" w:hAnsi="Arial" w:cs="Arial"/>
          <w:lang w:val="es-ES" w:eastAsia="es-ES"/>
        </w:rPr>
        <w:t xml:space="preserve"> </w:t>
      </w:r>
      <w:r w:rsidR="00475BBF">
        <w:rPr>
          <w:rFonts w:ascii="Arial" w:eastAsia="Times New Roman" w:hAnsi="Arial" w:cs="Arial"/>
          <w:lang w:val="es-ES" w:eastAsia="es-ES"/>
        </w:rPr>
        <w:t xml:space="preserve">casos sospechosos </w:t>
      </w:r>
      <w:r>
        <w:rPr>
          <w:rFonts w:ascii="Arial" w:eastAsia="Times New Roman" w:hAnsi="Arial" w:cs="Arial"/>
          <w:lang w:val="es-ES" w:eastAsia="es-ES"/>
        </w:rPr>
        <w:t xml:space="preserve">de tosferina. </w:t>
      </w:r>
      <w:r w:rsidR="00475BBF">
        <w:rPr>
          <w:rFonts w:ascii="Arial" w:eastAsia="Times New Roman" w:hAnsi="Arial" w:cs="Arial"/>
          <w:lang w:val="es-ES" w:eastAsia="es-ES"/>
        </w:rPr>
        <w:t xml:space="preserve"> </w:t>
      </w:r>
      <w:r>
        <w:rPr>
          <w:rFonts w:ascii="Arial" w:eastAsia="Times New Roman" w:hAnsi="Arial" w:cs="Arial"/>
          <w:lang w:val="es-ES" w:eastAsia="es-ES"/>
        </w:rPr>
        <w:t>L</w:t>
      </w:r>
      <w:r w:rsidR="00475BBF">
        <w:rPr>
          <w:rFonts w:ascii="Arial" w:eastAsia="Times New Roman" w:hAnsi="Arial" w:cs="Arial"/>
          <w:lang w:val="es-ES" w:eastAsia="es-ES"/>
        </w:rPr>
        <w:t xml:space="preserve">a tendencia de notificación se incrementa del año 2015 al 2017, disminuyendo en el año 2018; siendo </w:t>
      </w:r>
      <w:r>
        <w:rPr>
          <w:rFonts w:ascii="Arial" w:eastAsia="Times New Roman" w:hAnsi="Arial" w:cs="Arial"/>
          <w:lang w:val="es-ES" w:eastAsia="es-ES"/>
        </w:rPr>
        <w:t xml:space="preserve">el 2017 el de mayor </w:t>
      </w:r>
      <w:r w:rsidR="00475BBF">
        <w:rPr>
          <w:rFonts w:ascii="Arial" w:eastAsia="Times New Roman" w:hAnsi="Arial" w:cs="Arial"/>
          <w:lang w:val="es-ES" w:eastAsia="es-ES"/>
        </w:rPr>
        <w:t>incidencia</w:t>
      </w:r>
      <w:r>
        <w:rPr>
          <w:rFonts w:ascii="Arial" w:eastAsia="Times New Roman" w:hAnsi="Arial" w:cs="Arial"/>
          <w:lang w:val="es-ES" w:eastAsia="es-ES"/>
        </w:rPr>
        <w:t>, con una tasa</w:t>
      </w:r>
      <w:r w:rsidR="00475BBF">
        <w:rPr>
          <w:rFonts w:ascii="Arial" w:eastAsia="Times New Roman" w:hAnsi="Arial" w:cs="Arial"/>
          <w:lang w:val="es-ES" w:eastAsia="es-ES"/>
        </w:rPr>
        <w:t xml:space="preserve"> de 7,2 por 100 000 habitantes.</w:t>
      </w:r>
      <w:r w:rsidR="00475BBF" w:rsidRPr="00FB47BB">
        <w:rPr>
          <w:rFonts w:ascii="Arial" w:eastAsia="Times New Roman" w:hAnsi="Arial" w:cs="Arial"/>
          <w:lang w:val="es-ES" w:eastAsia="es-ES"/>
        </w:rPr>
        <w:t xml:space="preserve"> </w:t>
      </w:r>
      <w:r w:rsidR="00475BBF">
        <w:rPr>
          <w:rFonts w:ascii="Arial" w:eastAsia="Times New Roman" w:hAnsi="Arial" w:cs="Arial"/>
          <w:lang w:val="es-ES" w:eastAsia="es-ES"/>
        </w:rPr>
        <w:t>La tendencia en el número de casos confirmados por laboratorio aumenta del año 2015 al 2018 pasan</w:t>
      </w:r>
      <w:r>
        <w:rPr>
          <w:rFonts w:ascii="Arial" w:eastAsia="Times New Roman" w:hAnsi="Arial" w:cs="Arial"/>
          <w:lang w:val="es-ES" w:eastAsia="es-ES"/>
        </w:rPr>
        <w:t xml:space="preserve">do de 27 a 36 casos confirmados. </w:t>
      </w:r>
    </w:p>
    <w:p w:rsidR="00475BBF" w:rsidRPr="00523D22" w:rsidRDefault="00475BBF" w:rsidP="00475BBF">
      <w:pPr>
        <w:spacing w:line="276" w:lineRule="auto"/>
        <w:jc w:val="both"/>
        <w:rPr>
          <w:rFonts w:ascii="Arial" w:hAnsi="Arial" w:cs="Arial"/>
          <w:sz w:val="18"/>
          <w:szCs w:val="18"/>
          <w:lang w:val="es-CR"/>
        </w:rPr>
      </w:pPr>
      <w:r>
        <w:rPr>
          <w:rFonts w:ascii="Arial" w:hAnsi="Arial" w:cs="Arial"/>
          <w:sz w:val="18"/>
          <w:szCs w:val="18"/>
          <w:lang w:val="es-CR"/>
        </w:rPr>
        <w:t xml:space="preserve">           </w:t>
      </w:r>
    </w:p>
    <w:p w:rsidR="006D48B5" w:rsidRDefault="006D48B5">
      <w:pPr>
        <w:spacing w:after="160" w:line="259" w:lineRule="auto"/>
        <w:rPr>
          <w:rFonts w:ascii="Arial" w:hAnsi="Arial" w:cs="Arial"/>
          <w:lang w:val="es-CR"/>
        </w:rPr>
      </w:pPr>
      <w:r>
        <w:rPr>
          <w:rFonts w:ascii="Arial" w:hAnsi="Arial" w:cs="Arial"/>
          <w:lang w:val="es-CR"/>
        </w:rPr>
        <w:br w:type="page"/>
      </w:r>
    </w:p>
    <w:p w:rsidR="00475BBF" w:rsidRDefault="00475BBF" w:rsidP="00475BBF">
      <w:pPr>
        <w:spacing w:line="276" w:lineRule="auto"/>
        <w:jc w:val="both"/>
        <w:rPr>
          <w:rFonts w:ascii="Arial" w:hAnsi="Arial" w:cs="Arial"/>
          <w:lang w:val="es-CR"/>
        </w:rPr>
      </w:pPr>
    </w:p>
    <w:p w:rsidR="00475BBF" w:rsidRPr="00A94C41" w:rsidRDefault="00475BBF" w:rsidP="00475BBF">
      <w:pPr>
        <w:spacing w:line="276" w:lineRule="auto"/>
        <w:jc w:val="center"/>
        <w:rPr>
          <w:rFonts w:ascii="Arial" w:hAnsi="Arial" w:cs="Arial"/>
          <w:b/>
          <w:lang w:val="es-CR"/>
        </w:rPr>
      </w:pPr>
      <w:r w:rsidRPr="00967173">
        <w:rPr>
          <w:rFonts w:ascii="Arial" w:hAnsi="Arial" w:cs="Arial"/>
          <w:b/>
          <w:lang w:val="es-CR"/>
        </w:rPr>
        <w:t xml:space="preserve">Gráfico </w:t>
      </w:r>
      <w:r w:rsidR="00967173">
        <w:rPr>
          <w:rFonts w:ascii="Arial" w:hAnsi="Arial" w:cs="Arial"/>
          <w:b/>
          <w:lang w:val="es-CR"/>
        </w:rPr>
        <w:t>2</w:t>
      </w:r>
      <w:r w:rsidR="00BB0F6E">
        <w:rPr>
          <w:rFonts w:ascii="Arial" w:hAnsi="Arial" w:cs="Arial"/>
          <w:b/>
          <w:lang w:val="es-CR"/>
        </w:rPr>
        <w:t>8</w:t>
      </w:r>
    </w:p>
    <w:p w:rsidR="00967173" w:rsidRDefault="00475BBF" w:rsidP="00475BBF">
      <w:pPr>
        <w:spacing w:line="276" w:lineRule="auto"/>
        <w:jc w:val="center"/>
        <w:rPr>
          <w:rFonts w:ascii="Arial" w:hAnsi="Arial" w:cs="Arial"/>
          <w:b/>
          <w:lang w:val="es-CR"/>
        </w:rPr>
      </w:pPr>
      <w:r w:rsidRPr="00A94C41">
        <w:rPr>
          <w:rFonts w:ascii="Arial" w:hAnsi="Arial" w:cs="Arial"/>
          <w:b/>
          <w:lang w:val="es-CR"/>
        </w:rPr>
        <w:t xml:space="preserve">Costa Rica: Incidencia de casos de tosferina notificados y </w:t>
      </w:r>
    </w:p>
    <w:p w:rsidR="00967173" w:rsidRPr="00967173" w:rsidRDefault="00967173" w:rsidP="00475BBF">
      <w:pPr>
        <w:spacing w:line="276" w:lineRule="auto"/>
        <w:jc w:val="center"/>
        <w:rPr>
          <w:rFonts w:ascii="Arial" w:hAnsi="Arial" w:cs="Arial"/>
          <w:b/>
          <w:lang w:val="es-CR"/>
        </w:rPr>
      </w:pPr>
      <w:r w:rsidRPr="00A94C41">
        <w:rPr>
          <w:rFonts w:ascii="Arial" w:hAnsi="Arial" w:cs="Arial"/>
          <w:b/>
          <w:lang w:val="es-CR"/>
        </w:rPr>
        <w:t>C</w:t>
      </w:r>
      <w:r w:rsidR="00475BBF" w:rsidRPr="00A94C41">
        <w:rPr>
          <w:rFonts w:ascii="Arial" w:hAnsi="Arial" w:cs="Arial"/>
          <w:b/>
          <w:lang w:val="es-CR"/>
        </w:rPr>
        <w:t>onfirm</w:t>
      </w:r>
      <w:r>
        <w:rPr>
          <w:rFonts w:ascii="Arial" w:hAnsi="Arial" w:cs="Arial"/>
          <w:b/>
          <w:lang w:val="es-CR"/>
        </w:rPr>
        <w:t>ados por laboratorio, según año,</w:t>
      </w:r>
      <w:r w:rsidR="00475BBF" w:rsidRPr="00A94C41">
        <w:rPr>
          <w:rFonts w:ascii="Arial" w:hAnsi="Arial" w:cs="Arial"/>
          <w:b/>
          <w:lang w:val="es-CR"/>
        </w:rPr>
        <w:t xml:space="preserve"> 2014-2018. </w:t>
      </w:r>
      <w:r w:rsidR="00475BBF" w:rsidRPr="00A94C41">
        <w:rPr>
          <w:rFonts w:ascii="Arial" w:hAnsi="Arial" w:cs="Arial"/>
          <w:b/>
          <w:sz w:val="18"/>
          <w:szCs w:val="18"/>
          <w:lang w:val="es-CR"/>
        </w:rPr>
        <w:t xml:space="preserve"> </w:t>
      </w:r>
    </w:p>
    <w:p w:rsidR="00475BBF" w:rsidRPr="00967173" w:rsidRDefault="00475BBF" w:rsidP="00475BBF">
      <w:pPr>
        <w:spacing w:line="276" w:lineRule="auto"/>
        <w:jc w:val="center"/>
        <w:rPr>
          <w:rFonts w:ascii="Arial" w:hAnsi="Arial" w:cs="Arial"/>
          <w:lang w:val="es-CR"/>
        </w:rPr>
      </w:pPr>
      <w:r w:rsidRPr="00967173">
        <w:rPr>
          <w:rFonts w:ascii="Arial" w:hAnsi="Arial" w:cs="Arial"/>
          <w:sz w:val="18"/>
          <w:szCs w:val="18"/>
          <w:lang w:val="es-CR"/>
        </w:rPr>
        <w:t>(números absolutos)</w:t>
      </w:r>
    </w:p>
    <w:p w:rsidR="00475BBF" w:rsidRDefault="00475BBF" w:rsidP="00475BBF">
      <w:pPr>
        <w:spacing w:line="360" w:lineRule="auto"/>
        <w:jc w:val="center"/>
        <w:rPr>
          <w:rFonts w:ascii="Arial" w:hAnsi="Arial" w:cs="Arial"/>
          <w:noProof/>
          <w:lang w:val="es-PA" w:eastAsia="es-PA"/>
        </w:rPr>
      </w:pPr>
      <w:r>
        <w:rPr>
          <w:noProof/>
          <w:lang w:val="es-CR" w:eastAsia="es-CR"/>
        </w:rPr>
        <w:drawing>
          <wp:inline distT="0" distB="0" distL="0" distR="0" wp14:anchorId="1A2ED6C7" wp14:editId="11F24139">
            <wp:extent cx="4837845" cy="2464435"/>
            <wp:effectExtent l="0" t="0" r="1270" b="0"/>
            <wp:docPr id="26" name="Gráfico 26">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475BBF" w:rsidRPr="00967173" w:rsidRDefault="00475BBF" w:rsidP="00967173">
      <w:pPr>
        <w:jc w:val="right"/>
        <w:rPr>
          <w:rFonts w:ascii="Arial" w:hAnsi="Arial" w:cs="Arial"/>
          <w:sz w:val="20"/>
          <w:szCs w:val="20"/>
          <w:lang w:val="es-MX"/>
        </w:rPr>
      </w:pPr>
      <w:r w:rsidRPr="00967173">
        <w:rPr>
          <w:rFonts w:ascii="Arial" w:hAnsi="Arial" w:cs="Arial"/>
          <w:b/>
          <w:sz w:val="20"/>
          <w:szCs w:val="20"/>
          <w:lang w:val="es-MX"/>
        </w:rPr>
        <w:t>Fuente</w:t>
      </w:r>
      <w:r w:rsidRPr="00967173">
        <w:rPr>
          <w:rFonts w:ascii="Arial" w:hAnsi="Arial" w:cs="Arial"/>
          <w:sz w:val="20"/>
          <w:szCs w:val="20"/>
          <w:lang w:val="es-MX"/>
        </w:rPr>
        <w:t xml:space="preserve">: </w:t>
      </w:r>
      <w:r w:rsidR="00967173">
        <w:rPr>
          <w:rFonts w:ascii="Arial" w:hAnsi="Arial" w:cs="Arial"/>
          <w:sz w:val="20"/>
          <w:szCs w:val="20"/>
          <w:lang w:val="es-MX"/>
        </w:rPr>
        <w:t xml:space="preserve">INCIENSA, CCSS, </w:t>
      </w:r>
      <w:r w:rsidRPr="00967173">
        <w:rPr>
          <w:rFonts w:ascii="Arial" w:hAnsi="Arial" w:cs="Arial"/>
          <w:sz w:val="20"/>
          <w:szCs w:val="20"/>
          <w:lang w:val="es-MX"/>
        </w:rPr>
        <w:t>Ministerio de Salud</w:t>
      </w:r>
      <w:r w:rsidR="00967173">
        <w:rPr>
          <w:rFonts w:ascii="Arial" w:hAnsi="Arial" w:cs="Arial"/>
          <w:sz w:val="20"/>
          <w:szCs w:val="20"/>
          <w:lang w:val="es-MX"/>
        </w:rPr>
        <w:t>, 2019</w:t>
      </w:r>
    </w:p>
    <w:p w:rsidR="00475BBF" w:rsidRPr="00967173" w:rsidRDefault="00475BBF" w:rsidP="00475BBF">
      <w:pPr>
        <w:spacing w:line="360" w:lineRule="auto"/>
        <w:jc w:val="both"/>
        <w:rPr>
          <w:rFonts w:ascii="Arial" w:hAnsi="Arial" w:cs="Arial"/>
          <w:sz w:val="20"/>
          <w:szCs w:val="20"/>
          <w:lang w:val="es-CR"/>
        </w:rPr>
      </w:pPr>
    </w:p>
    <w:p w:rsidR="00475BBF" w:rsidRDefault="00967173" w:rsidP="00475BBF">
      <w:pPr>
        <w:spacing w:line="276" w:lineRule="auto"/>
        <w:jc w:val="both"/>
        <w:rPr>
          <w:rFonts w:ascii="Arial" w:hAnsi="Arial" w:cs="Arial"/>
          <w:lang w:val="es-CR"/>
        </w:rPr>
      </w:pPr>
      <w:r>
        <w:rPr>
          <w:rFonts w:ascii="Arial" w:hAnsi="Arial" w:cs="Arial"/>
          <w:lang w:val="es-CR"/>
        </w:rPr>
        <w:t xml:space="preserve">Durante </w:t>
      </w:r>
      <w:r w:rsidR="00475BBF">
        <w:rPr>
          <w:rFonts w:ascii="Arial" w:hAnsi="Arial" w:cs="Arial"/>
          <w:lang w:val="es-CR"/>
        </w:rPr>
        <w:t>el quinquenio 2014-2018</w:t>
      </w:r>
      <w:r>
        <w:rPr>
          <w:rFonts w:ascii="Arial" w:hAnsi="Arial" w:cs="Arial"/>
          <w:lang w:val="es-CR"/>
        </w:rPr>
        <w:t xml:space="preserve"> se</w:t>
      </w:r>
      <w:r w:rsidR="00475BBF">
        <w:rPr>
          <w:rFonts w:ascii="Arial" w:hAnsi="Arial" w:cs="Arial"/>
          <w:lang w:val="es-CR"/>
        </w:rPr>
        <w:t xml:space="preserve"> registr</w:t>
      </w:r>
      <w:r>
        <w:rPr>
          <w:rFonts w:ascii="Arial" w:hAnsi="Arial" w:cs="Arial"/>
          <w:lang w:val="es-CR"/>
        </w:rPr>
        <w:t>aron</w:t>
      </w:r>
      <w:r w:rsidR="00475BBF">
        <w:rPr>
          <w:rFonts w:ascii="Arial" w:hAnsi="Arial" w:cs="Arial"/>
          <w:lang w:val="es-CR"/>
        </w:rPr>
        <w:t xml:space="preserve"> cinco muertes</w:t>
      </w:r>
      <w:r>
        <w:rPr>
          <w:rFonts w:ascii="Arial" w:hAnsi="Arial" w:cs="Arial"/>
          <w:lang w:val="es-CR"/>
        </w:rPr>
        <w:t xml:space="preserve"> por tosferina</w:t>
      </w:r>
      <w:r w:rsidR="00475BBF">
        <w:rPr>
          <w:rFonts w:ascii="Arial" w:hAnsi="Arial" w:cs="Arial"/>
          <w:lang w:val="es-CR"/>
        </w:rPr>
        <w:t xml:space="preserve">; uno en 2015, dos muertes </w:t>
      </w:r>
      <w:r>
        <w:rPr>
          <w:rFonts w:ascii="Arial" w:hAnsi="Arial" w:cs="Arial"/>
          <w:lang w:val="es-CR"/>
        </w:rPr>
        <w:t xml:space="preserve">en el </w:t>
      </w:r>
      <w:r w:rsidR="00475BBF">
        <w:rPr>
          <w:rFonts w:ascii="Arial" w:hAnsi="Arial" w:cs="Arial"/>
          <w:lang w:val="es-CR"/>
        </w:rPr>
        <w:t xml:space="preserve">2016 y dos en el 2018. Las provincias de San José y Limón registraron </w:t>
      </w:r>
      <w:r>
        <w:rPr>
          <w:rFonts w:ascii="Arial" w:hAnsi="Arial" w:cs="Arial"/>
          <w:lang w:val="es-CR"/>
        </w:rPr>
        <w:t>dos</w:t>
      </w:r>
      <w:r w:rsidR="00475BBF">
        <w:rPr>
          <w:rFonts w:ascii="Arial" w:hAnsi="Arial" w:cs="Arial"/>
          <w:lang w:val="es-CR"/>
        </w:rPr>
        <w:t xml:space="preserve"> y </w:t>
      </w:r>
      <w:r>
        <w:rPr>
          <w:rFonts w:ascii="Arial" w:hAnsi="Arial" w:cs="Arial"/>
          <w:lang w:val="es-CR"/>
        </w:rPr>
        <w:t>tres</w:t>
      </w:r>
      <w:r w:rsidR="00475BBF">
        <w:rPr>
          <w:rFonts w:ascii="Arial" w:hAnsi="Arial" w:cs="Arial"/>
          <w:lang w:val="es-CR"/>
        </w:rPr>
        <w:t xml:space="preserve"> muertes respectivamente, en el grupo de edad de menores de un año.</w:t>
      </w:r>
    </w:p>
    <w:p w:rsidR="00475BBF" w:rsidRDefault="00475BBF" w:rsidP="00475BBF">
      <w:pPr>
        <w:spacing w:line="276" w:lineRule="auto"/>
        <w:jc w:val="both"/>
        <w:rPr>
          <w:rFonts w:ascii="Arial" w:hAnsi="Arial" w:cs="Arial"/>
          <w:lang w:val="es-CR"/>
        </w:rPr>
      </w:pPr>
    </w:p>
    <w:p w:rsidR="00475BBF" w:rsidRDefault="00475BBF" w:rsidP="00475BBF">
      <w:pPr>
        <w:spacing w:line="276" w:lineRule="auto"/>
        <w:jc w:val="both"/>
        <w:rPr>
          <w:rFonts w:ascii="Arial" w:hAnsi="Arial" w:cs="Arial"/>
          <w:lang w:val="es-CR"/>
        </w:rPr>
      </w:pPr>
      <w:r>
        <w:rPr>
          <w:rFonts w:ascii="Arial" w:hAnsi="Arial" w:cs="Arial"/>
          <w:lang w:val="es-CR"/>
        </w:rPr>
        <w:t>Para el período</w:t>
      </w:r>
      <w:r w:rsidR="007A5C73">
        <w:rPr>
          <w:rFonts w:ascii="Arial" w:hAnsi="Arial" w:cs="Arial"/>
          <w:lang w:val="es-CR"/>
        </w:rPr>
        <w:t xml:space="preserve"> 2014-2018</w:t>
      </w:r>
      <w:r>
        <w:rPr>
          <w:rFonts w:ascii="Arial" w:hAnsi="Arial" w:cs="Arial"/>
          <w:lang w:val="es-CR"/>
        </w:rPr>
        <w:t>,</w:t>
      </w:r>
      <w:r w:rsidRPr="00CB069E">
        <w:rPr>
          <w:rFonts w:ascii="Arial" w:hAnsi="Arial" w:cs="Arial"/>
          <w:lang w:val="es-CR"/>
        </w:rPr>
        <w:t xml:space="preserve"> la incidencia de casos </w:t>
      </w:r>
      <w:r w:rsidR="007A5C73">
        <w:rPr>
          <w:rFonts w:ascii="Arial" w:hAnsi="Arial" w:cs="Arial"/>
          <w:lang w:val="es-CR"/>
        </w:rPr>
        <w:t xml:space="preserve">de </w:t>
      </w:r>
      <w:r>
        <w:rPr>
          <w:rFonts w:ascii="Arial" w:hAnsi="Arial" w:cs="Arial"/>
          <w:lang w:val="es-CR"/>
        </w:rPr>
        <w:t>tosferina</w:t>
      </w:r>
      <w:r w:rsidRPr="00CB069E">
        <w:rPr>
          <w:rFonts w:ascii="Arial" w:hAnsi="Arial" w:cs="Arial"/>
          <w:lang w:val="es-CR"/>
        </w:rPr>
        <w:t xml:space="preserve"> impactó de manera importante a </w:t>
      </w:r>
      <w:r w:rsidR="007A5C73">
        <w:rPr>
          <w:rFonts w:ascii="Arial" w:hAnsi="Arial" w:cs="Arial"/>
          <w:lang w:val="es-CR"/>
        </w:rPr>
        <w:t xml:space="preserve">las </w:t>
      </w:r>
      <w:r w:rsidRPr="00CB069E">
        <w:rPr>
          <w:rFonts w:ascii="Arial" w:hAnsi="Arial" w:cs="Arial"/>
          <w:lang w:val="es-CR"/>
        </w:rPr>
        <w:t xml:space="preserve">provincias </w:t>
      </w:r>
      <w:r w:rsidR="007A5C73">
        <w:rPr>
          <w:rFonts w:ascii="Arial" w:hAnsi="Arial" w:cs="Arial"/>
          <w:lang w:val="es-CR"/>
        </w:rPr>
        <w:t xml:space="preserve">de </w:t>
      </w:r>
      <w:r>
        <w:rPr>
          <w:rFonts w:ascii="Arial" w:hAnsi="Arial" w:cs="Arial"/>
          <w:lang w:val="es-CR"/>
        </w:rPr>
        <w:t xml:space="preserve">Cartago, </w:t>
      </w:r>
      <w:r w:rsidRPr="00CB069E">
        <w:rPr>
          <w:rFonts w:ascii="Arial" w:hAnsi="Arial" w:cs="Arial"/>
          <w:lang w:val="es-CR"/>
        </w:rPr>
        <w:t>Guanacaste</w:t>
      </w:r>
      <w:r>
        <w:rPr>
          <w:rFonts w:ascii="Arial" w:hAnsi="Arial" w:cs="Arial"/>
          <w:lang w:val="es-CR"/>
        </w:rPr>
        <w:t xml:space="preserve"> y Alajuela. La provincia con mayor incidencia fue Cartago con una tasa promedio de 18,7 casos notificados por cien mil habitantes.</w:t>
      </w:r>
      <w:r w:rsidR="007A5C73">
        <w:rPr>
          <w:rFonts w:ascii="Arial" w:hAnsi="Arial" w:cs="Arial"/>
          <w:lang w:val="es-CR"/>
        </w:rPr>
        <w:t xml:space="preserve"> Cuadro </w:t>
      </w:r>
      <w:r w:rsidR="00BB0F6E">
        <w:rPr>
          <w:rFonts w:ascii="Arial" w:hAnsi="Arial" w:cs="Arial"/>
          <w:lang w:val="es-CR"/>
        </w:rPr>
        <w:t>29</w:t>
      </w:r>
      <w:r w:rsidR="007A5C73">
        <w:rPr>
          <w:rFonts w:ascii="Arial" w:hAnsi="Arial" w:cs="Arial"/>
          <w:lang w:val="es-CR"/>
        </w:rPr>
        <w:t>.</w:t>
      </w:r>
    </w:p>
    <w:p w:rsidR="00475BBF" w:rsidRDefault="00475BBF" w:rsidP="00475BBF">
      <w:pPr>
        <w:spacing w:line="360" w:lineRule="auto"/>
        <w:jc w:val="both"/>
        <w:rPr>
          <w:rFonts w:ascii="Arial" w:hAnsi="Arial" w:cs="Arial"/>
          <w:lang w:val="es-CR"/>
        </w:rPr>
      </w:pPr>
    </w:p>
    <w:p w:rsidR="006D48B5" w:rsidRDefault="006D48B5">
      <w:pPr>
        <w:spacing w:after="160" w:line="259" w:lineRule="auto"/>
        <w:rPr>
          <w:rFonts w:ascii="Arial" w:hAnsi="Arial" w:cs="Arial"/>
          <w:lang w:val="es-CR"/>
        </w:rPr>
      </w:pPr>
      <w:r>
        <w:rPr>
          <w:rFonts w:ascii="Arial" w:hAnsi="Arial" w:cs="Arial"/>
          <w:lang w:val="es-CR"/>
        </w:rPr>
        <w:br w:type="page"/>
      </w:r>
    </w:p>
    <w:p w:rsidR="006D48B5" w:rsidRDefault="006D48B5" w:rsidP="00475BBF">
      <w:pPr>
        <w:spacing w:line="360" w:lineRule="auto"/>
        <w:jc w:val="both"/>
        <w:rPr>
          <w:rFonts w:ascii="Arial" w:hAnsi="Arial" w:cs="Arial"/>
          <w:lang w:val="es-CR"/>
        </w:rPr>
      </w:pPr>
    </w:p>
    <w:p w:rsidR="00475BBF" w:rsidRPr="00C64FF7" w:rsidRDefault="007A5C73" w:rsidP="007A5C73">
      <w:pPr>
        <w:jc w:val="center"/>
        <w:rPr>
          <w:rFonts w:ascii="Arial" w:hAnsi="Arial" w:cs="Arial"/>
          <w:b/>
          <w:lang w:val="es-CR"/>
        </w:rPr>
      </w:pPr>
      <w:r>
        <w:rPr>
          <w:rFonts w:ascii="Arial" w:hAnsi="Arial" w:cs="Arial"/>
          <w:b/>
          <w:lang w:val="es-CR"/>
        </w:rPr>
        <w:t xml:space="preserve">Cuadro </w:t>
      </w:r>
      <w:r w:rsidR="00BB0F6E">
        <w:rPr>
          <w:rFonts w:ascii="Arial" w:hAnsi="Arial" w:cs="Arial"/>
          <w:b/>
          <w:lang w:val="es-CR"/>
        </w:rPr>
        <w:t>29</w:t>
      </w:r>
    </w:p>
    <w:p w:rsidR="007A5C73" w:rsidRDefault="00475BBF" w:rsidP="007A5C73">
      <w:pPr>
        <w:pStyle w:val="Textoindependiente3"/>
        <w:spacing w:after="0" w:line="240" w:lineRule="auto"/>
        <w:jc w:val="center"/>
        <w:rPr>
          <w:rFonts w:ascii="Arial" w:hAnsi="Arial" w:cs="Arial"/>
          <w:b/>
          <w:sz w:val="22"/>
          <w:szCs w:val="22"/>
        </w:rPr>
      </w:pPr>
      <w:r w:rsidRPr="00C64FF7">
        <w:rPr>
          <w:rFonts w:ascii="Arial" w:hAnsi="Arial" w:cs="Arial"/>
          <w:b/>
          <w:sz w:val="22"/>
          <w:szCs w:val="22"/>
        </w:rPr>
        <w:t xml:space="preserve">Costa Rica: Incidencia y casos notificados </w:t>
      </w:r>
    </w:p>
    <w:p w:rsidR="00475BBF" w:rsidRPr="00C64FF7" w:rsidRDefault="007A5C73" w:rsidP="007A5C73">
      <w:pPr>
        <w:pStyle w:val="Textoindependiente3"/>
        <w:spacing w:after="0" w:line="240" w:lineRule="auto"/>
        <w:jc w:val="center"/>
        <w:rPr>
          <w:rFonts w:ascii="Arial" w:hAnsi="Arial" w:cs="Arial"/>
          <w:b/>
          <w:sz w:val="22"/>
          <w:szCs w:val="22"/>
        </w:rPr>
      </w:pPr>
      <w:r>
        <w:rPr>
          <w:rFonts w:ascii="Arial" w:hAnsi="Arial" w:cs="Arial"/>
          <w:b/>
          <w:sz w:val="22"/>
          <w:szCs w:val="22"/>
        </w:rPr>
        <w:t>de</w:t>
      </w:r>
      <w:r w:rsidR="00475BBF" w:rsidRPr="00C64FF7">
        <w:rPr>
          <w:rFonts w:ascii="Arial" w:hAnsi="Arial" w:cs="Arial"/>
          <w:b/>
          <w:sz w:val="22"/>
          <w:szCs w:val="22"/>
        </w:rPr>
        <w:t xml:space="preserve"> tosferina según provincia, 2014-2018.</w:t>
      </w:r>
    </w:p>
    <w:p w:rsidR="00475BBF" w:rsidRPr="007A5C73" w:rsidRDefault="00475BBF" w:rsidP="007A5C73">
      <w:pPr>
        <w:pStyle w:val="Textoindependiente3"/>
        <w:spacing w:after="0" w:line="240" w:lineRule="auto"/>
        <w:jc w:val="center"/>
        <w:rPr>
          <w:rFonts w:ascii="Arial" w:hAnsi="Arial" w:cs="Arial"/>
          <w:sz w:val="18"/>
          <w:szCs w:val="18"/>
        </w:rPr>
      </w:pPr>
      <w:r w:rsidRPr="007A5C73">
        <w:rPr>
          <w:rFonts w:ascii="Arial" w:hAnsi="Arial" w:cs="Arial"/>
          <w:sz w:val="18"/>
          <w:szCs w:val="18"/>
        </w:rPr>
        <w:t>(</w:t>
      </w:r>
      <w:r w:rsidR="007A5C73" w:rsidRPr="007A5C73">
        <w:rPr>
          <w:rFonts w:ascii="Arial" w:hAnsi="Arial" w:cs="Arial"/>
          <w:sz w:val="18"/>
          <w:szCs w:val="18"/>
        </w:rPr>
        <w:t>t</w:t>
      </w:r>
      <w:r w:rsidRPr="007A5C73">
        <w:rPr>
          <w:rFonts w:ascii="Arial" w:hAnsi="Arial" w:cs="Arial"/>
          <w:sz w:val="18"/>
          <w:szCs w:val="18"/>
        </w:rPr>
        <w:t>asa por 100.000 habitantes)</w:t>
      </w:r>
    </w:p>
    <w:p w:rsidR="00475BBF" w:rsidRPr="00D145F2" w:rsidRDefault="00475BBF" w:rsidP="00475BBF">
      <w:pPr>
        <w:spacing w:line="360" w:lineRule="auto"/>
        <w:jc w:val="both"/>
        <w:rPr>
          <w:rFonts w:ascii="Arial" w:hAnsi="Arial" w:cs="Arial"/>
          <w:lang w:val="es-CR"/>
        </w:rPr>
      </w:pPr>
    </w:p>
    <w:tbl>
      <w:tblPr>
        <w:tblW w:w="8512" w:type="dxa"/>
        <w:jc w:val="center"/>
        <w:tblLook w:val="04A0" w:firstRow="1" w:lastRow="0" w:firstColumn="1" w:lastColumn="0" w:noHBand="0" w:noVBand="1"/>
      </w:tblPr>
      <w:tblGrid>
        <w:gridCol w:w="1657"/>
        <w:gridCol w:w="613"/>
        <w:gridCol w:w="800"/>
        <w:gridCol w:w="508"/>
        <w:gridCol w:w="800"/>
        <w:gridCol w:w="508"/>
        <w:gridCol w:w="800"/>
        <w:gridCol w:w="613"/>
        <w:gridCol w:w="800"/>
        <w:gridCol w:w="613"/>
        <w:gridCol w:w="800"/>
      </w:tblGrid>
      <w:tr w:rsidR="00475BBF" w:rsidRPr="00CB069E" w:rsidTr="007A5C73">
        <w:trPr>
          <w:trHeight w:val="304"/>
          <w:jc w:val="center"/>
        </w:trPr>
        <w:tc>
          <w:tcPr>
            <w:tcW w:w="1657" w:type="dxa"/>
            <w:vMerge w:val="restart"/>
            <w:tcBorders>
              <w:top w:val="single" w:sz="4" w:space="0" w:color="auto"/>
              <w:left w:val="nil"/>
              <w:bottom w:val="single" w:sz="4" w:space="0" w:color="000000"/>
              <w:right w:val="nil"/>
            </w:tcBorders>
            <w:shd w:val="clear" w:color="auto" w:fill="D5DCE4" w:themeFill="text2" w:themeFillTint="33"/>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 xml:space="preserve">PROVINCIA </w:t>
            </w:r>
          </w:p>
        </w:tc>
        <w:tc>
          <w:tcPr>
            <w:tcW w:w="1413" w:type="dxa"/>
            <w:gridSpan w:val="2"/>
            <w:tcBorders>
              <w:top w:val="single" w:sz="4" w:space="0" w:color="auto"/>
              <w:left w:val="nil"/>
              <w:bottom w:val="nil"/>
              <w:right w:val="nil"/>
            </w:tcBorders>
            <w:shd w:val="clear" w:color="auto" w:fill="D5DCE4" w:themeFill="text2" w:themeFillTint="33"/>
            <w:noWrap/>
            <w:vAlign w:val="bottom"/>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2014</w:t>
            </w:r>
          </w:p>
        </w:tc>
        <w:tc>
          <w:tcPr>
            <w:tcW w:w="1308" w:type="dxa"/>
            <w:gridSpan w:val="2"/>
            <w:tcBorders>
              <w:top w:val="single" w:sz="4" w:space="0" w:color="auto"/>
              <w:left w:val="nil"/>
              <w:bottom w:val="nil"/>
              <w:right w:val="nil"/>
            </w:tcBorders>
            <w:shd w:val="clear" w:color="auto" w:fill="D5DCE4" w:themeFill="text2" w:themeFillTint="33"/>
            <w:noWrap/>
            <w:vAlign w:val="bottom"/>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2015</w:t>
            </w:r>
          </w:p>
        </w:tc>
        <w:tc>
          <w:tcPr>
            <w:tcW w:w="1308" w:type="dxa"/>
            <w:gridSpan w:val="2"/>
            <w:tcBorders>
              <w:top w:val="single" w:sz="4" w:space="0" w:color="auto"/>
              <w:left w:val="nil"/>
              <w:bottom w:val="nil"/>
              <w:right w:val="nil"/>
            </w:tcBorders>
            <w:shd w:val="clear" w:color="auto" w:fill="D5DCE4" w:themeFill="text2" w:themeFillTint="33"/>
            <w:noWrap/>
            <w:vAlign w:val="bottom"/>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2016</w:t>
            </w:r>
          </w:p>
        </w:tc>
        <w:tc>
          <w:tcPr>
            <w:tcW w:w="1413" w:type="dxa"/>
            <w:gridSpan w:val="2"/>
            <w:tcBorders>
              <w:top w:val="single" w:sz="4" w:space="0" w:color="auto"/>
              <w:left w:val="nil"/>
              <w:bottom w:val="nil"/>
              <w:right w:val="nil"/>
            </w:tcBorders>
            <w:shd w:val="clear" w:color="auto" w:fill="D5DCE4" w:themeFill="text2" w:themeFillTint="33"/>
            <w:noWrap/>
            <w:vAlign w:val="bottom"/>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2017</w:t>
            </w:r>
          </w:p>
        </w:tc>
        <w:tc>
          <w:tcPr>
            <w:tcW w:w="1413" w:type="dxa"/>
            <w:gridSpan w:val="2"/>
            <w:tcBorders>
              <w:top w:val="single" w:sz="4" w:space="0" w:color="auto"/>
              <w:left w:val="nil"/>
              <w:bottom w:val="nil"/>
              <w:right w:val="nil"/>
            </w:tcBorders>
            <w:shd w:val="clear" w:color="auto" w:fill="D5DCE4" w:themeFill="text2" w:themeFillTint="33"/>
            <w:noWrap/>
            <w:vAlign w:val="bottom"/>
            <w:hideMark/>
          </w:tcPr>
          <w:p w:rsidR="00475BBF" w:rsidRPr="00C64FF7" w:rsidRDefault="00475BBF" w:rsidP="007A5C73">
            <w:pPr>
              <w:jc w:val="center"/>
              <w:rPr>
                <w:rFonts w:ascii="Arial" w:eastAsia="Times New Roman" w:hAnsi="Arial" w:cs="Arial"/>
                <w:b/>
                <w:bCs/>
                <w:color w:val="000000"/>
                <w:sz w:val="22"/>
              </w:rPr>
            </w:pPr>
            <w:r w:rsidRPr="00C64FF7">
              <w:rPr>
                <w:rFonts w:ascii="Arial" w:eastAsia="Times New Roman" w:hAnsi="Arial" w:cs="Arial"/>
                <w:b/>
                <w:bCs/>
                <w:color w:val="000000"/>
                <w:sz w:val="22"/>
              </w:rPr>
              <w:t>2018</w:t>
            </w:r>
          </w:p>
        </w:tc>
      </w:tr>
      <w:tr w:rsidR="00475BBF" w:rsidRPr="00CB069E" w:rsidTr="007A5C73">
        <w:trPr>
          <w:trHeight w:val="464"/>
          <w:jc w:val="center"/>
        </w:trPr>
        <w:tc>
          <w:tcPr>
            <w:tcW w:w="1657" w:type="dxa"/>
            <w:vMerge/>
            <w:tcBorders>
              <w:top w:val="single" w:sz="4" w:space="0" w:color="auto"/>
              <w:left w:val="nil"/>
              <w:bottom w:val="single" w:sz="4" w:space="0" w:color="000000"/>
              <w:right w:val="nil"/>
            </w:tcBorders>
            <w:shd w:val="clear" w:color="auto" w:fill="D5DCE4" w:themeFill="text2" w:themeFillTint="33"/>
            <w:vAlign w:val="center"/>
            <w:hideMark/>
          </w:tcPr>
          <w:p w:rsidR="00475BBF" w:rsidRPr="00C64FF7" w:rsidRDefault="00475BBF" w:rsidP="00475BBF">
            <w:pPr>
              <w:rPr>
                <w:rFonts w:ascii="Arial" w:eastAsia="Times New Roman" w:hAnsi="Arial" w:cs="Arial"/>
                <w:b/>
                <w:bCs/>
                <w:color w:val="000000"/>
                <w:sz w:val="22"/>
              </w:rPr>
            </w:pPr>
          </w:p>
        </w:tc>
        <w:tc>
          <w:tcPr>
            <w:tcW w:w="613"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Nº</w:t>
            </w:r>
          </w:p>
        </w:tc>
        <w:tc>
          <w:tcPr>
            <w:tcW w:w="800"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Tasa</w:t>
            </w:r>
          </w:p>
        </w:tc>
        <w:tc>
          <w:tcPr>
            <w:tcW w:w="508"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Nº</w:t>
            </w:r>
          </w:p>
        </w:tc>
        <w:tc>
          <w:tcPr>
            <w:tcW w:w="800"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Tasa</w:t>
            </w:r>
          </w:p>
        </w:tc>
        <w:tc>
          <w:tcPr>
            <w:tcW w:w="508"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Nº</w:t>
            </w:r>
          </w:p>
        </w:tc>
        <w:tc>
          <w:tcPr>
            <w:tcW w:w="800"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Tasa</w:t>
            </w:r>
          </w:p>
        </w:tc>
        <w:tc>
          <w:tcPr>
            <w:tcW w:w="613"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Nº</w:t>
            </w:r>
          </w:p>
        </w:tc>
        <w:tc>
          <w:tcPr>
            <w:tcW w:w="800"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Tasa</w:t>
            </w:r>
          </w:p>
        </w:tc>
        <w:tc>
          <w:tcPr>
            <w:tcW w:w="613"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Nº</w:t>
            </w:r>
          </w:p>
        </w:tc>
        <w:tc>
          <w:tcPr>
            <w:tcW w:w="800"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C64FF7" w:rsidRDefault="00475BBF" w:rsidP="00475BBF">
            <w:pPr>
              <w:jc w:val="center"/>
              <w:rPr>
                <w:rFonts w:ascii="Arial" w:eastAsia="Times New Roman" w:hAnsi="Arial" w:cs="Arial"/>
                <w:b/>
                <w:bCs/>
                <w:color w:val="000000"/>
                <w:sz w:val="22"/>
              </w:rPr>
            </w:pPr>
            <w:r w:rsidRPr="00C64FF7">
              <w:rPr>
                <w:rFonts w:ascii="Arial" w:eastAsia="Times New Roman" w:hAnsi="Arial" w:cs="Arial"/>
                <w:b/>
                <w:bCs/>
                <w:color w:val="000000"/>
                <w:sz w:val="22"/>
              </w:rPr>
              <w:t>Tasa</w:t>
            </w:r>
          </w:p>
        </w:tc>
      </w:tr>
      <w:tr w:rsidR="00475BBF" w:rsidRPr="00CB069E" w:rsidTr="007A5C73">
        <w:trPr>
          <w:trHeight w:val="464"/>
          <w:jc w:val="center"/>
        </w:trPr>
        <w:tc>
          <w:tcPr>
            <w:tcW w:w="1657" w:type="dxa"/>
            <w:vMerge/>
            <w:tcBorders>
              <w:top w:val="single" w:sz="4" w:space="0" w:color="auto"/>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sz w:val="20"/>
                <w:szCs w:val="20"/>
              </w:rPr>
            </w:pPr>
          </w:p>
        </w:tc>
        <w:tc>
          <w:tcPr>
            <w:tcW w:w="613"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c>
          <w:tcPr>
            <w:tcW w:w="800"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c>
          <w:tcPr>
            <w:tcW w:w="508"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c>
          <w:tcPr>
            <w:tcW w:w="800"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c>
          <w:tcPr>
            <w:tcW w:w="508"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c>
          <w:tcPr>
            <w:tcW w:w="800"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c>
          <w:tcPr>
            <w:tcW w:w="613"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c>
          <w:tcPr>
            <w:tcW w:w="800"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c>
          <w:tcPr>
            <w:tcW w:w="613"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c>
          <w:tcPr>
            <w:tcW w:w="800" w:type="dxa"/>
            <w:vMerge/>
            <w:tcBorders>
              <w:top w:val="nil"/>
              <w:left w:val="nil"/>
              <w:bottom w:val="single" w:sz="4" w:space="0" w:color="000000"/>
              <w:right w:val="nil"/>
            </w:tcBorders>
            <w:shd w:val="clear" w:color="auto" w:fill="D5DCE4" w:themeFill="text2" w:themeFillTint="33"/>
            <w:vAlign w:val="center"/>
            <w:hideMark/>
          </w:tcPr>
          <w:p w:rsidR="00475BBF" w:rsidRPr="00CB069E" w:rsidRDefault="00475BBF" w:rsidP="00475BBF">
            <w:pPr>
              <w:rPr>
                <w:rFonts w:ascii="Arial" w:eastAsia="Times New Roman" w:hAnsi="Arial" w:cs="Arial"/>
                <w:b/>
                <w:bCs/>
                <w:color w:val="000000"/>
              </w:rPr>
            </w:pPr>
          </w:p>
        </w:tc>
      </w:tr>
      <w:tr w:rsidR="00475BBF" w:rsidRPr="00CB069E" w:rsidTr="00475BBF">
        <w:trPr>
          <w:trHeight w:val="304"/>
          <w:jc w:val="center"/>
        </w:trPr>
        <w:tc>
          <w:tcPr>
            <w:tcW w:w="1657" w:type="dxa"/>
            <w:tcBorders>
              <w:top w:val="nil"/>
              <w:left w:val="nil"/>
              <w:bottom w:val="nil"/>
              <w:right w:val="nil"/>
            </w:tcBorders>
            <w:shd w:val="clear" w:color="000000" w:fill="FFFFFF"/>
            <w:noWrap/>
            <w:vAlign w:val="center"/>
            <w:hideMark/>
          </w:tcPr>
          <w:p w:rsidR="00475BBF" w:rsidRPr="00727B8F" w:rsidRDefault="00475BBF" w:rsidP="00475BBF">
            <w:pPr>
              <w:spacing w:line="360" w:lineRule="auto"/>
              <w:rPr>
                <w:rFonts w:ascii="Arial" w:hAnsi="Arial" w:cs="Arial"/>
                <w:sz w:val="18"/>
                <w:szCs w:val="18"/>
              </w:rPr>
            </w:pPr>
            <w:r w:rsidRPr="00727B8F">
              <w:rPr>
                <w:rFonts w:ascii="Arial" w:hAnsi="Arial" w:cs="Arial"/>
                <w:sz w:val="18"/>
                <w:szCs w:val="18"/>
              </w:rPr>
              <w:t>San José</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52</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3,3</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51</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3,2</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sz w:val="18"/>
                <w:szCs w:val="18"/>
              </w:rPr>
            </w:pPr>
            <w:r w:rsidRPr="00C64FF7">
              <w:rPr>
                <w:rFonts w:ascii="Arial" w:eastAsia="Times New Roman" w:hAnsi="Arial" w:cs="Arial"/>
                <w:sz w:val="18"/>
                <w:szCs w:val="18"/>
              </w:rPr>
              <w:t>41</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sz w:val="18"/>
                <w:szCs w:val="18"/>
              </w:rPr>
            </w:pPr>
            <w:r w:rsidRPr="00C64FF7">
              <w:rPr>
                <w:rFonts w:ascii="Arial" w:eastAsia="Times New Roman" w:hAnsi="Arial" w:cs="Arial"/>
                <w:sz w:val="18"/>
                <w:szCs w:val="18"/>
              </w:rPr>
              <w:t>2,6</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79</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4,9</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48</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2,9</w:t>
            </w:r>
          </w:p>
        </w:tc>
      </w:tr>
      <w:tr w:rsidR="00475BBF" w:rsidRPr="00CB069E" w:rsidTr="00475BBF">
        <w:trPr>
          <w:trHeight w:val="304"/>
          <w:jc w:val="center"/>
        </w:trPr>
        <w:tc>
          <w:tcPr>
            <w:tcW w:w="1657" w:type="dxa"/>
            <w:tcBorders>
              <w:top w:val="nil"/>
              <w:left w:val="nil"/>
              <w:bottom w:val="nil"/>
              <w:right w:val="nil"/>
            </w:tcBorders>
            <w:shd w:val="clear" w:color="000000" w:fill="FFFFFF"/>
            <w:noWrap/>
            <w:vAlign w:val="center"/>
            <w:hideMark/>
          </w:tcPr>
          <w:p w:rsidR="00475BBF" w:rsidRPr="00727B8F" w:rsidRDefault="00475BBF" w:rsidP="00475BBF">
            <w:pPr>
              <w:spacing w:line="360" w:lineRule="auto"/>
              <w:rPr>
                <w:rFonts w:ascii="Arial" w:hAnsi="Arial" w:cs="Arial"/>
                <w:sz w:val="18"/>
                <w:szCs w:val="18"/>
              </w:rPr>
            </w:pPr>
            <w:r w:rsidRPr="00727B8F">
              <w:rPr>
                <w:rFonts w:ascii="Arial" w:hAnsi="Arial" w:cs="Arial"/>
                <w:sz w:val="18"/>
                <w:szCs w:val="18"/>
              </w:rPr>
              <w:t>Alajuela</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124</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13,1</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34</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3,5</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54</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sz w:val="18"/>
                <w:szCs w:val="18"/>
              </w:rPr>
            </w:pPr>
            <w:r w:rsidRPr="00C64FF7">
              <w:rPr>
                <w:rFonts w:ascii="Arial" w:eastAsia="Times New Roman" w:hAnsi="Arial" w:cs="Arial"/>
                <w:sz w:val="18"/>
                <w:szCs w:val="18"/>
              </w:rPr>
              <w:t>5,5</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65</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6,6</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45</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4,5</w:t>
            </w:r>
          </w:p>
        </w:tc>
      </w:tr>
      <w:tr w:rsidR="00475BBF" w:rsidRPr="00CB069E" w:rsidTr="00475BBF">
        <w:trPr>
          <w:trHeight w:val="304"/>
          <w:jc w:val="center"/>
        </w:trPr>
        <w:tc>
          <w:tcPr>
            <w:tcW w:w="1657" w:type="dxa"/>
            <w:tcBorders>
              <w:top w:val="nil"/>
              <w:left w:val="nil"/>
              <w:bottom w:val="nil"/>
              <w:right w:val="nil"/>
            </w:tcBorders>
            <w:shd w:val="clear" w:color="000000" w:fill="FFFFFF"/>
            <w:noWrap/>
            <w:vAlign w:val="center"/>
            <w:hideMark/>
          </w:tcPr>
          <w:p w:rsidR="00475BBF" w:rsidRPr="00727B8F" w:rsidRDefault="00475BBF" w:rsidP="00475BBF">
            <w:pPr>
              <w:spacing w:line="360" w:lineRule="auto"/>
              <w:rPr>
                <w:rFonts w:ascii="Arial" w:hAnsi="Arial" w:cs="Arial"/>
                <w:sz w:val="18"/>
                <w:szCs w:val="18"/>
              </w:rPr>
            </w:pPr>
            <w:r w:rsidRPr="00727B8F">
              <w:rPr>
                <w:rFonts w:ascii="Arial" w:hAnsi="Arial" w:cs="Arial"/>
                <w:sz w:val="18"/>
                <w:szCs w:val="18"/>
              </w:rPr>
              <w:t>Cartago</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90</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17,4</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69</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13,2</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79</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sz w:val="18"/>
                <w:szCs w:val="18"/>
              </w:rPr>
            </w:pPr>
            <w:r w:rsidRPr="00C64FF7">
              <w:rPr>
                <w:rFonts w:ascii="Arial" w:eastAsia="Times New Roman" w:hAnsi="Arial" w:cs="Arial"/>
                <w:sz w:val="18"/>
                <w:szCs w:val="18"/>
              </w:rPr>
              <w:t>15,0</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143</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27,0</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112</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21,0</w:t>
            </w:r>
          </w:p>
        </w:tc>
      </w:tr>
      <w:tr w:rsidR="00475BBF" w:rsidRPr="00CB069E" w:rsidTr="00475BBF">
        <w:trPr>
          <w:trHeight w:val="304"/>
          <w:jc w:val="center"/>
        </w:trPr>
        <w:tc>
          <w:tcPr>
            <w:tcW w:w="1657" w:type="dxa"/>
            <w:tcBorders>
              <w:top w:val="nil"/>
              <w:left w:val="nil"/>
              <w:bottom w:val="nil"/>
              <w:right w:val="nil"/>
            </w:tcBorders>
            <w:shd w:val="clear" w:color="000000" w:fill="FFFFFF"/>
            <w:noWrap/>
            <w:vAlign w:val="center"/>
            <w:hideMark/>
          </w:tcPr>
          <w:p w:rsidR="00475BBF" w:rsidRPr="00727B8F" w:rsidRDefault="00475BBF" w:rsidP="00475BBF">
            <w:pPr>
              <w:spacing w:line="360" w:lineRule="auto"/>
              <w:rPr>
                <w:rFonts w:ascii="Arial" w:hAnsi="Arial" w:cs="Arial"/>
                <w:sz w:val="18"/>
                <w:szCs w:val="18"/>
              </w:rPr>
            </w:pPr>
            <w:r w:rsidRPr="00727B8F">
              <w:rPr>
                <w:rFonts w:ascii="Arial" w:hAnsi="Arial" w:cs="Arial"/>
                <w:sz w:val="18"/>
                <w:szCs w:val="18"/>
              </w:rPr>
              <w:t>Heredia</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23</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4,8</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11</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2,2</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4</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sz w:val="18"/>
                <w:szCs w:val="18"/>
              </w:rPr>
            </w:pPr>
            <w:r w:rsidRPr="00C64FF7">
              <w:rPr>
                <w:rFonts w:ascii="Arial" w:eastAsia="Times New Roman" w:hAnsi="Arial" w:cs="Arial"/>
                <w:sz w:val="18"/>
                <w:szCs w:val="18"/>
              </w:rPr>
              <w:t>0,8</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7</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1,4</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3</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0,6</w:t>
            </w:r>
          </w:p>
        </w:tc>
      </w:tr>
      <w:tr w:rsidR="00475BBF" w:rsidRPr="00CB069E" w:rsidTr="00475BBF">
        <w:trPr>
          <w:trHeight w:val="304"/>
          <w:jc w:val="center"/>
        </w:trPr>
        <w:tc>
          <w:tcPr>
            <w:tcW w:w="1657" w:type="dxa"/>
            <w:tcBorders>
              <w:top w:val="nil"/>
              <w:left w:val="nil"/>
              <w:bottom w:val="nil"/>
              <w:right w:val="nil"/>
            </w:tcBorders>
            <w:shd w:val="clear" w:color="000000" w:fill="FFFFFF"/>
            <w:noWrap/>
            <w:vAlign w:val="center"/>
            <w:hideMark/>
          </w:tcPr>
          <w:p w:rsidR="00475BBF" w:rsidRPr="00727B8F" w:rsidRDefault="00475BBF" w:rsidP="00475BBF">
            <w:pPr>
              <w:spacing w:line="360" w:lineRule="auto"/>
              <w:rPr>
                <w:rFonts w:ascii="Arial" w:hAnsi="Arial" w:cs="Arial"/>
                <w:sz w:val="18"/>
                <w:szCs w:val="18"/>
              </w:rPr>
            </w:pPr>
            <w:r w:rsidRPr="00727B8F">
              <w:rPr>
                <w:rFonts w:ascii="Arial" w:hAnsi="Arial" w:cs="Arial"/>
                <w:sz w:val="18"/>
                <w:szCs w:val="18"/>
              </w:rPr>
              <w:t>Guanacaste</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13</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3,6</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9</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2,5</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43</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sz w:val="18"/>
                <w:szCs w:val="18"/>
              </w:rPr>
            </w:pPr>
            <w:r w:rsidRPr="00C64FF7">
              <w:rPr>
                <w:rFonts w:ascii="Arial" w:eastAsia="Times New Roman" w:hAnsi="Arial" w:cs="Arial"/>
                <w:sz w:val="18"/>
                <w:szCs w:val="18"/>
              </w:rPr>
              <w:t>11,6</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29</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7,7</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21</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5,5</w:t>
            </w:r>
          </w:p>
        </w:tc>
      </w:tr>
      <w:tr w:rsidR="00475BBF" w:rsidRPr="00CB069E" w:rsidTr="00475BBF">
        <w:trPr>
          <w:trHeight w:val="304"/>
          <w:jc w:val="center"/>
        </w:trPr>
        <w:tc>
          <w:tcPr>
            <w:tcW w:w="1657" w:type="dxa"/>
            <w:tcBorders>
              <w:top w:val="nil"/>
              <w:left w:val="nil"/>
              <w:bottom w:val="nil"/>
              <w:right w:val="nil"/>
            </w:tcBorders>
            <w:shd w:val="clear" w:color="000000" w:fill="FFFFFF"/>
            <w:noWrap/>
            <w:vAlign w:val="center"/>
            <w:hideMark/>
          </w:tcPr>
          <w:p w:rsidR="00475BBF" w:rsidRPr="00727B8F" w:rsidRDefault="00475BBF" w:rsidP="00475BBF">
            <w:pPr>
              <w:spacing w:line="360" w:lineRule="auto"/>
              <w:rPr>
                <w:rFonts w:ascii="Arial" w:hAnsi="Arial" w:cs="Arial"/>
                <w:sz w:val="18"/>
                <w:szCs w:val="18"/>
              </w:rPr>
            </w:pPr>
            <w:r w:rsidRPr="00727B8F">
              <w:rPr>
                <w:rFonts w:ascii="Arial" w:hAnsi="Arial" w:cs="Arial"/>
                <w:sz w:val="18"/>
                <w:szCs w:val="18"/>
              </w:rPr>
              <w:t>Puntarenas</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35</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7,6</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12</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2,6</w:t>
            </w:r>
          </w:p>
        </w:tc>
        <w:tc>
          <w:tcPr>
            <w:tcW w:w="508"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23</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sz w:val="18"/>
                <w:szCs w:val="18"/>
              </w:rPr>
            </w:pPr>
            <w:r w:rsidRPr="00C64FF7">
              <w:rPr>
                <w:rFonts w:ascii="Arial" w:eastAsia="Times New Roman" w:hAnsi="Arial" w:cs="Arial"/>
                <w:sz w:val="18"/>
                <w:szCs w:val="18"/>
              </w:rPr>
              <w:t>4,8</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22</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4,6</w:t>
            </w:r>
          </w:p>
        </w:tc>
        <w:tc>
          <w:tcPr>
            <w:tcW w:w="613"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9</w:t>
            </w:r>
          </w:p>
        </w:tc>
        <w:tc>
          <w:tcPr>
            <w:tcW w:w="800" w:type="dxa"/>
            <w:tcBorders>
              <w:top w:val="nil"/>
              <w:left w:val="nil"/>
              <w:bottom w:val="nil"/>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1,8</w:t>
            </w:r>
          </w:p>
        </w:tc>
      </w:tr>
      <w:tr w:rsidR="00475BBF" w:rsidRPr="00CB069E" w:rsidTr="00475BBF">
        <w:trPr>
          <w:trHeight w:val="304"/>
          <w:jc w:val="center"/>
        </w:trPr>
        <w:tc>
          <w:tcPr>
            <w:tcW w:w="1657" w:type="dxa"/>
            <w:tcBorders>
              <w:top w:val="nil"/>
              <w:left w:val="nil"/>
              <w:bottom w:val="single" w:sz="4" w:space="0" w:color="auto"/>
              <w:right w:val="nil"/>
            </w:tcBorders>
            <w:shd w:val="clear" w:color="000000" w:fill="FFFFFF"/>
            <w:noWrap/>
            <w:vAlign w:val="center"/>
            <w:hideMark/>
          </w:tcPr>
          <w:p w:rsidR="00475BBF" w:rsidRDefault="00475BBF" w:rsidP="00475BBF">
            <w:r w:rsidRPr="00727B8F">
              <w:rPr>
                <w:rFonts w:ascii="Arial" w:hAnsi="Arial" w:cs="Arial"/>
                <w:sz w:val="18"/>
                <w:szCs w:val="18"/>
              </w:rPr>
              <w:t>Limón</w:t>
            </w:r>
          </w:p>
        </w:tc>
        <w:tc>
          <w:tcPr>
            <w:tcW w:w="613"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12</w:t>
            </w:r>
          </w:p>
        </w:tc>
        <w:tc>
          <w:tcPr>
            <w:tcW w:w="800"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2,8</w:t>
            </w:r>
          </w:p>
        </w:tc>
        <w:tc>
          <w:tcPr>
            <w:tcW w:w="508"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12</w:t>
            </w:r>
          </w:p>
        </w:tc>
        <w:tc>
          <w:tcPr>
            <w:tcW w:w="800"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2,8</w:t>
            </w:r>
          </w:p>
        </w:tc>
        <w:tc>
          <w:tcPr>
            <w:tcW w:w="508"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8</w:t>
            </w:r>
          </w:p>
        </w:tc>
        <w:tc>
          <w:tcPr>
            <w:tcW w:w="800"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sz w:val="18"/>
                <w:szCs w:val="18"/>
              </w:rPr>
            </w:pPr>
            <w:r w:rsidRPr="00C64FF7">
              <w:rPr>
                <w:rFonts w:ascii="Arial" w:eastAsia="Times New Roman" w:hAnsi="Arial" w:cs="Arial"/>
                <w:sz w:val="18"/>
                <w:szCs w:val="18"/>
              </w:rPr>
              <w:t>1,8</w:t>
            </w:r>
          </w:p>
        </w:tc>
        <w:tc>
          <w:tcPr>
            <w:tcW w:w="613"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12</w:t>
            </w:r>
          </w:p>
        </w:tc>
        <w:tc>
          <w:tcPr>
            <w:tcW w:w="800"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2,7</w:t>
            </w:r>
          </w:p>
        </w:tc>
        <w:tc>
          <w:tcPr>
            <w:tcW w:w="613"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16</w:t>
            </w:r>
          </w:p>
        </w:tc>
        <w:tc>
          <w:tcPr>
            <w:tcW w:w="800" w:type="dxa"/>
            <w:tcBorders>
              <w:top w:val="nil"/>
              <w:left w:val="nil"/>
              <w:bottom w:val="single" w:sz="4" w:space="0" w:color="auto"/>
              <w:right w:val="nil"/>
            </w:tcBorders>
            <w:shd w:val="clear" w:color="000000" w:fill="FFFFFF"/>
            <w:noWrap/>
            <w:vAlign w:val="center"/>
            <w:hideMark/>
          </w:tcPr>
          <w:p w:rsidR="00475BBF" w:rsidRPr="00C64FF7" w:rsidRDefault="00475BBF" w:rsidP="00475BBF">
            <w:pPr>
              <w:jc w:val="center"/>
              <w:rPr>
                <w:rFonts w:ascii="Arial" w:eastAsia="Times New Roman" w:hAnsi="Arial" w:cs="Arial"/>
                <w:color w:val="000000"/>
                <w:sz w:val="18"/>
                <w:szCs w:val="18"/>
              </w:rPr>
            </w:pPr>
            <w:r w:rsidRPr="00C64FF7">
              <w:rPr>
                <w:rFonts w:ascii="Arial" w:eastAsia="Times New Roman" w:hAnsi="Arial" w:cs="Arial"/>
                <w:color w:val="000000"/>
                <w:sz w:val="18"/>
                <w:szCs w:val="18"/>
              </w:rPr>
              <w:t>3,6</w:t>
            </w:r>
          </w:p>
        </w:tc>
      </w:tr>
    </w:tbl>
    <w:p w:rsidR="00475BBF" w:rsidRDefault="00475BBF" w:rsidP="00475BBF">
      <w:pPr>
        <w:jc w:val="both"/>
        <w:rPr>
          <w:rFonts w:ascii="Arial" w:eastAsia="Times New Roman" w:hAnsi="Arial" w:cs="Arial"/>
          <w:color w:val="000000"/>
          <w:sz w:val="16"/>
          <w:szCs w:val="16"/>
          <w:lang w:val="es-CR"/>
        </w:rPr>
      </w:pPr>
    </w:p>
    <w:p w:rsidR="00475BBF" w:rsidRDefault="00475BBF" w:rsidP="007A5C73">
      <w:pPr>
        <w:spacing w:line="360" w:lineRule="auto"/>
        <w:jc w:val="right"/>
        <w:rPr>
          <w:rFonts w:ascii="Arial" w:hAnsi="Arial" w:cs="Arial"/>
          <w:lang w:val="es-CR"/>
        </w:rPr>
      </w:pPr>
      <w:r w:rsidRPr="007A5C73">
        <w:rPr>
          <w:rFonts w:ascii="Arial" w:hAnsi="Arial" w:cs="Arial"/>
          <w:b/>
          <w:sz w:val="20"/>
          <w:szCs w:val="20"/>
          <w:lang w:val="es-MX"/>
        </w:rPr>
        <w:t>Fuente:</w:t>
      </w:r>
      <w:r w:rsidRPr="00976B84">
        <w:rPr>
          <w:rFonts w:ascii="Arial" w:hAnsi="Arial" w:cs="Arial"/>
          <w:sz w:val="20"/>
          <w:szCs w:val="20"/>
          <w:lang w:val="es-MX"/>
        </w:rPr>
        <w:t xml:space="preserve"> </w:t>
      </w:r>
      <w:r>
        <w:rPr>
          <w:rFonts w:ascii="Arial" w:hAnsi="Arial" w:cs="Arial"/>
          <w:sz w:val="20"/>
          <w:szCs w:val="20"/>
          <w:lang w:val="es-MX"/>
        </w:rPr>
        <w:t>Dirección de Vigilancia de la Salud. Ministerio de Salud</w:t>
      </w:r>
      <w:r w:rsidR="007A5C73">
        <w:rPr>
          <w:rFonts w:ascii="Arial" w:hAnsi="Arial" w:cs="Arial"/>
          <w:sz w:val="20"/>
          <w:szCs w:val="20"/>
          <w:lang w:val="es-MX"/>
        </w:rPr>
        <w:t>, 2019.</w:t>
      </w:r>
    </w:p>
    <w:p w:rsidR="00475BBF" w:rsidRDefault="00475BBF" w:rsidP="00475BBF">
      <w:pPr>
        <w:spacing w:line="276" w:lineRule="auto"/>
        <w:jc w:val="both"/>
        <w:rPr>
          <w:rFonts w:ascii="Arial" w:hAnsi="Arial" w:cs="Arial"/>
          <w:lang w:val="es-CR"/>
        </w:rPr>
      </w:pPr>
    </w:p>
    <w:p w:rsidR="00475BBF" w:rsidRDefault="00475BBF" w:rsidP="00475BBF">
      <w:pPr>
        <w:spacing w:line="276" w:lineRule="auto"/>
        <w:jc w:val="both"/>
        <w:rPr>
          <w:rFonts w:ascii="Arial" w:hAnsi="Arial" w:cs="Arial"/>
          <w:lang w:val="es-CR"/>
        </w:rPr>
      </w:pPr>
      <w:r>
        <w:rPr>
          <w:rFonts w:ascii="Arial" w:hAnsi="Arial" w:cs="Arial"/>
          <w:lang w:val="es-CR"/>
        </w:rPr>
        <w:t>Los</w:t>
      </w:r>
      <w:r w:rsidRPr="00D145F2">
        <w:rPr>
          <w:rFonts w:ascii="Arial" w:hAnsi="Arial" w:cs="Arial"/>
          <w:lang w:val="es-CR"/>
        </w:rPr>
        <w:t xml:space="preserve"> casos </w:t>
      </w:r>
      <w:r>
        <w:rPr>
          <w:rFonts w:ascii="Arial" w:hAnsi="Arial" w:cs="Arial"/>
          <w:lang w:val="es-CR"/>
        </w:rPr>
        <w:t>de</w:t>
      </w:r>
      <w:r w:rsidRPr="00D145F2">
        <w:rPr>
          <w:rFonts w:ascii="Arial" w:hAnsi="Arial" w:cs="Arial"/>
          <w:lang w:val="es-CR"/>
        </w:rPr>
        <w:t xml:space="preserve"> tosferina</w:t>
      </w:r>
      <w:r>
        <w:rPr>
          <w:rFonts w:ascii="Arial" w:hAnsi="Arial" w:cs="Arial"/>
          <w:lang w:val="es-CR"/>
        </w:rPr>
        <w:t xml:space="preserve"> confirmados por laboratorio, </w:t>
      </w:r>
      <w:r w:rsidR="007A5C73">
        <w:rPr>
          <w:rFonts w:ascii="Arial" w:hAnsi="Arial" w:cs="Arial"/>
          <w:lang w:val="es-CR"/>
        </w:rPr>
        <w:t>se presentaron en</w:t>
      </w:r>
      <w:r>
        <w:rPr>
          <w:rFonts w:ascii="Arial" w:hAnsi="Arial" w:cs="Arial"/>
          <w:lang w:val="es-CR"/>
        </w:rPr>
        <w:t xml:space="preserve"> las provincias de Guanacaste, Cartago y Limón</w:t>
      </w:r>
      <w:r w:rsidR="007A5C73">
        <w:rPr>
          <w:rFonts w:ascii="Arial" w:hAnsi="Arial" w:cs="Arial"/>
          <w:lang w:val="es-CR"/>
        </w:rPr>
        <w:t>,</w:t>
      </w:r>
      <w:r>
        <w:rPr>
          <w:rFonts w:ascii="Arial" w:hAnsi="Arial" w:cs="Arial"/>
          <w:lang w:val="es-CR"/>
        </w:rPr>
        <w:t xml:space="preserve"> </w:t>
      </w:r>
      <w:r w:rsidR="007A5C73">
        <w:rPr>
          <w:rFonts w:ascii="Arial" w:hAnsi="Arial" w:cs="Arial"/>
          <w:lang w:val="es-CR"/>
        </w:rPr>
        <w:t>con</w:t>
      </w:r>
      <w:r>
        <w:rPr>
          <w:rFonts w:ascii="Arial" w:hAnsi="Arial" w:cs="Arial"/>
          <w:lang w:val="es-CR"/>
        </w:rPr>
        <w:t xml:space="preserve"> tasas promedio de 1,9, 0,9 y 0,8 casos por cien mil habitantes respectivamente.</w:t>
      </w:r>
      <w:r w:rsidR="007A5C73">
        <w:rPr>
          <w:rFonts w:ascii="Arial" w:hAnsi="Arial" w:cs="Arial"/>
          <w:lang w:val="es-CR"/>
        </w:rPr>
        <w:t xml:space="preserve"> </w:t>
      </w:r>
      <w:r w:rsidRPr="009B70FB">
        <w:rPr>
          <w:rFonts w:ascii="Arial" w:hAnsi="Arial" w:cs="Arial"/>
          <w:lang w:val="es-CR"/>
        </w:rPr>
        <w:t xml:space="preserve">Los cantones con </w:t>
      </w:r>
      <w:r>
        <w:rPr>
          <w:rFonts w:ascii="Arial" w:hAnsi="Arial" w:cs="Arial"/>
          <w:lang w:val="es-CR"/>
        </w:rPr>
        <w:t xml:space="preserve">mayor incidencia de casos confirmados </w:t>
      </w:r>
      <w:r w:rsidR="007A5C73">
        <w:rPr>
          <w:rFonts w:ascii="Arial" w:hAnsi="Arial" w:cs="Arial"/>
          <w:lang w:val="es-CR"/>
        </w:rPr>
        <w:t>fueron:</w:t>
      </w:r>
      <w:r w:rsidR="00BB0F6E">
        <w:rPr>
          <w:rFonts w:ascii="Arial" w:hAnsi="Arial" w:cs="Arial"/>
          <w:lang w:val="es-CR"/>
        </w:rPr>
        <w:t xml:space="preserve"> </w:t>
      </w:r>
      <w:r>
        <w:rPr>
          <w:rFonts w:ascii="Arial" w:hAnsi="Arial" w:cs="Arial"/>
          <w:lang w:val="es-CR"/>
        </w:rPr>
        <w:t>Tarrazú, Talamanca, Liberia, Bagaces y Dota.</w:t>
      </w:r>
    </w:p>
    <w:p w:rsidR="00475BBF" w:rsidRDefault="00475BBF" w:rsidP="00475BBF">
      <w:pPr>
        <w:spacing w:line="276" w:lineRule="auto"/>
        <w:jc w:val="both"/>
        <w:rPr>
          <w:rFonts w:ascii="Arial" w:hAnsi="Arial" w:cs="Arial"/>
          <w:lang w:val="es-CR"/>
        </w:rPr>
      </w:pPr>
    </w:p>
    <w:p w:rsidR="00475BBF" w:rsidRDefault="007A5C73" w:rsidP="00475BBF">
      <w:pPr>
        <w:spacing w:line="276" w:lineRule="auto"/>
        <w:jc w:val="both"/>
        <w:rPr>
          <w:rFonts w:ascii="Arial" w:hAnsi="Arial" w:cs="Arial"/>
          <w:lang w:val="es-CR"/>
        </w:rPr>
      </w:pPr>
      <w:r>
        <w:rPr>
          <w:rFonts w:ascii="Arial" w:hAnsi="Arial" w:cs="Arial"/>
          <w:lang w:val="es-CR"/>
        </w:rPr>
        <w:t>E</w:t>
      </w:r>
      <w:r w:rsidR="00475BBF" w:rsidRPr="00DE1910">
        <w:rPr>
          <w:rFonts w:ascii="Arial" w:hAnsi="Arial" w:cs="Arial"/>
          <w:lang w:val="es-CR"/>
        </w:rPr>
        <w:t xml:space="preserve">l </w:t>
      </w:r>
      <w:r w:rsidR="00475BBF">
        <w:rPr>
          <w:rFonts w:ascii="Arial" w:hAnsi="Arial" w:cs="Arial"/>
          <w:lang w:val="es-CR"/>
        </w:rPr>
        <w:t xml:space="preserve">52,4 </w:t>
      </w:r>
      <w:r w:rsidR="00475BBF" w:rsidRPr="00DE1910">
        <w:rPr>
          <w:rFonts w:ascii="Arial" w:hAnsi="Arial" w:cs="Arial"/>
          <w:lang w:val="es-CR"/>
        </w:rPr>
        <w:t>% del total</w:t>
      </w:r>
      <w:r>
        <w:rPr>
          <w:rFonts w:ascii="Arial" w:hAnsi="Arial" w:cs="Arial"/>
          <w:lang w:val="es-CR"/>
        </w:rPr>
        <w:t xml:space="preserve"> de caos de tosferina se presentaron en hombres.  La relación ho</w:t>
      </w:r>
      <w:r w:rsidR="00475BBF" w:rsidRPr="00DE1910">
        <w:rPr>
          <w:rFonts w:ascii="Arial" w:hAnsi="Arial" w:cs="Arial"/>
          <w:lang w:val="es-CR"/>
        </w:rPr>
        <w:t xml:space="preserve">mbre-mujer del </w:t>
      </w:r>
      <w:r w:rsidR="002E1254">
        <w:rPr>
          <w:rFonts w:ascii="Arial" w:hAnsi="Arial" w:cs="Arial"/>
          <w:lang w:val="es-CR"/>
        </w:rPr>
        <w:t>2014-2018 fue</w:t>
      </w:r>
      <w:r w:rsidR="00475BBF" w:rsidRPr="00DE1910">
        <w:rPr>
          <w:rFonts w:ascii="Arial" w:hAnsi="Arial" w:cs="Arial"/>
          <w:lang w:val="es-CR"/>
        </w:rPr>
        <w:t xml:space="preserve"> de 1,</w:t>
      </w:r>
      <w:r w:rsidR="00475BBF">
        <w:rPr>
          <w:rFonts w:ascii="Arial" w:hAnsi="Arial" w:cs="Arial"/>
          <w:lang w:val="es-CR"/>
        </w:rPr>
        <w:t>1</w:t>
      </w:r>
      <w:r w:rsidR="00475BBF" w:rsidRPr="00DE1910">
        <w:rPr>
          <w:rFonts w:ascii="Arial" w:hAnsi="Arial" w:cs="Arial"/>
          <w:lang w:val="es-CR"/>
        </w:rPr>
        <w:t xml:space="preserve"> </w:t>
      </w:r>
      <w:r w:rsidR="002E1254">
        <w:rPr>
          <w:rFonts w:ascii="Arial" w:hAnsi="Arial" w:cs="Arial"/>
          <w:lang w:val="es-CR"/>
        </w:rPr>
        <w:t>a 1</w:t>
      </w:r>
      <w:r w:rsidR="00475BBF" w:rsidRPr="00DE1910">
        <w:rPr>
          <w:rFonts w:ascii="Arial" w:hAnsi="Arial" w:cs="Arial"/>
          <w:lang w:val="es-CR"/>
        </w:rPr>
        <w:t>.</w:t>
      </w:r>
      <w:r w:rsidR="00475BBF">
        <w:rPr>
          <w:rFonts w:ascii="Arial" w:hAnsi="Arial" w:cs="Arial"/>
          <w:lang w:val="es-CR"/>
        </w:rPr>
        <w:t xml:space="preserve"> Sin embargo, esta tendencia fue diferente en el año 2017, </w:t>
      </w:r>
      <w:r w:rsidR="002E1254">
        <w:rPr>
          <w:rFonts w:ascii="Arial" w:hAnsi="Arial" w:cs="Arial"/>
          <w:lang w:val="es-CR"/>
        </w:rPr>
        <w:t xml:space="preserve">en el cual, el </w:t>
      </w:r>
      <w:r w:rsidR="00475BBF">
        <w:rPr>
          <w:rFonts w:ascii="Arial" w:hAnsi="Arial" w:cs="Arial"/>
          <w:lang w:val="es-CR"/>
        </w:rPr>
        <w:t>mayor número de casos se registró en las mujeres</w:t>
      </w:r>
      <w:r w:rsidR="002E1254">
        <w:rPr>
          <w:rFonts w:ascii="Arial" w:hAnsi="Arial" w:cs="Arial"/>
          <w:lang w:val="es-CR"/>
        </w:rPr>
        <w:t xml:space="preserve">, </w:t>
      </w:r>
      <w:r w:rsidR="00475BBF">
        <w:rPr>
          <w:rFonts w:ascii="Arial" w:hAnsi="Arial" w:cs="Arial"/>
          <w:lang w:val="es-CR"/>
        </w:rPr>
        <w:t>con una tasa de 0,9 casos por cien mil habitantes.</w:t>
      </w:r>
    </w:p>
    <w:p w:rsidR="00475BBF" w:rsidRDefault="00475BBF" w:rsidP="00475BBF">
      <w:pPr>
        <w:spacing w:line="360" w:lineRule="auto"/>
        <w:jc w:val="both"/>
        <w:rPr>
          <w:rFonts w:ascii="Arial" w:hAnsi="Arial" w:cs="Arial"/>
          <w:lang w:val="es-CR"/>
        </w:rPr>
      </w:pPr>
    </w:p>
    <w:p w:rsidR="00475BBF" w:rsidRDefault="00475BBF" w:rsidP="002E1254">
      <w:pPr>
        <w:spacing w:line="276" w:lineRule="auto"/>
        <w:jc w:val="both"/>
        <w:rPr>
          <w:rFonts w:ascii="Arial" w:eastAsia="Calibri" w:hAnsi="Arial" w:cs="Arial"/>
        </w:rPr>
      </w:pPr>
      <w:r w:rsidRPr="00D145F2">
        <w:rPr>
          <w:rFonts w:ascii="Arial" w:hAnsi="Arial" w:cs="Arial"/>
          <w:lang w:val="es-CR"/>
        </w:rPr>
        <w:t xml:space="preserve">Cabe destacar que los menores de dos meses son un grupo de riesgo, vulnerable, </w:t>
      </w:r>
      <w:r>
        <w:rPr>
          <w:rFonts w:ascii="Arial" w:hAnsi="Arial" w:cs="Arial"/>
          <w:lang w:val="es-CR"/>
        </w:rPr>
        <w:t>ya que</w:t>
      </w:r>
      <w:r w:rsidRPr="00D145F2">
        <w:rPr>
          <w:rFonts w:ascii="Arial" w:hAnsi="Arial" w:cs="Arial"/>
          <w:lang w:val="es-CR"/>
        </w:rPr>
        <w:t xml:space="preserve"> no se ha iniciado el esquema de vacunación para la prevenc</w:t>
      </w:r>
      <w:r>
        <w:rPr>
          <w:rFonts w:ascii="Arial" w:hAnsi="Arial" w:cs="Arial"/>
          <w:lang w:val="es-CR"/>
        </w:rPr>
        <w:t>ión de tosferina</w:t>
      </w:r>
      <w:r w:rsidR="002E1254">
        <w:rPr>
          <w:rFonts w:ascii="Arial" w:hAnsi="Arial" w:cs="Arial"/>
          <w:lang w:val="es-CR"/>
        </w:rPr>
        <w:t>.</w:t>
      </w:r>
      <w:r>
        <w:rPr>
          <w:rFonts w:ascii="Arial" w:hAnsi="Arial" w:cs="Arial"/>
          <w:lang w:val="es-CR"/>
        </w:rPr>
        <w:t xml:space="preserve"> </w:t>
      </w:r>
      <w:r w:rsidR="002E1254">
        <w:rPr>
          <w:rFonts w:ascii="Arial" w:hAnsi="Arial" w:cs="Arial"/>
          <w:lang w:val="es-CR"/>
        </w:rPr>
        <w:t>P</w:t>
      </w:r>
      <w:r w:rsidRPr="00D145F2">
        <w:rPr>
          <w:rFonts w:ascii="Arial" w:hAnsi="Arial" w:cs="Arial"/>
          <w:lang w:val="es-CR"/>
        </w:rPr>
        <w:t>ara favorecer dicha protección</w:t>
      </w:r>
      <w:r w:rsidR="002E1254">
        <w:rPr>
          <w:rFonts w:ascii="Arial" w:hAnsi="Arial" w:cs="Arial"/>
          <w:lang w:val="es-CR"/>
        </w:rPr>
        <w:t>,</w:t>
      </w:r>
      <w:r w:rsidRPr="00D145F2">
        <w:rPr>
          <w:rFonts w:ascii="Arial" w:hAnsi="Arial" w:cs="Arial"/>
          <w:lang w:val="es-CR"/>
        </w:rPr>
        <w:t xml:space="preserve"> </w:t>
      </w:r>
      <w:r w:rsidR="002E1254" w:rsidRPr="00D145F2">
        <w:rPr>
          <w:rFonts w:ascii="Arial" w:hAnsi="Arial" w:cs="Arial"/>
          <w:lang w:val="es-CR"/>
        </w:rPr>
        <w:t>en el 2013</w:t>
      </w:r>
      <w:r w:rsidR="002E1254">
        <w:rPr>
          <w:rFonts w:ascii="Arial" w:hAnsi="Arial" w:cs="Arial"/>
          <w:lang w:val="es-CR"/>
        </w:rPr>
        <w:t>,</w:t>
      </w:r>
      <w:r w:rsidRPr="00D145F2">
        <w:rPr>
          <w:rFonts w:ascii="Arial" w:hAnsi="Arial" w:cs="Arial"/>
          <w:lang w:val="es-CR"/>
        </w:rPr>
        <w:t xml:space="preserve"> </w:t>
      </w:r>
      <w:r>
        <w:rPr>
          <w:rFonts w:ascii="Arial" w:hAnsi="Arial" w:cs="Arial"/>
          <w:lang w:val="es-CR"/>
        </w:rPr>
        <w:t xml:space="preserve">se </w:t>
      </w:r>
      <w:r w:rsidRPr="00D145F2">
        <w:rPr>
          <w:rFonts w:ascii="Arial" w:hAnsi="Arial" w:cs="Arial"/>
          <w:lang w:val="es-CR"/>
        </w:rPr>
        <w:t>introdujo la vacunación con Tdap (vacuna tétano, difteria y tosferina)</w:t>
      </w:r>
      <w:r w:rsidRPr="00D145F2">
        <w:rPr>
          <w:rFonts w:ascii="Arial" w:eastAsia="Times New Roman" w:hAnsi="Arial" w:cs="Arial"/>
          <w:color w:val="202020"/>
          <w:lang w:val="es-CR" w:eastAsia="es-CR"/>
        </w:rPr>
        <w:t xml:space="preserve">, </w:t>
      </w:r>
      <w:r w:rsidRPr="00D145F2">
        <w:rPr>
          <w:rFonts w:ascii="Arial" w:hAnsi="Arial" w:cs="Arial"/>
          <w:lang w:val="es-CR"/>
        </w:rPr>
        <w:t xml:space="preserve">a las mujeres gestantes a partir de la semana 20 de embarazo. </w:t>
      </w:r>
    </w:p>
    <w:p w:rsidR="00475BBF" w:rsidRDefault="00475BBF" w:rsidP="00475BBF">
      <w:pPr>
        <w:widowControl w:val="0"/>
        <w:jc w:val="both"/>
        <w:rPr>
          <w:rFonts w:ascii="Arial" w:eastAsia="Calibri" w:hAnsi="Arial" w:cs="Arial"/>
        </w:rPr>
      </w:pPr>
    </w:p>
    <w:p w:rsidR="006D48B5" w:rsidRDefault="006D48B5" w:rsidP="00475BBF">
      <w:pPr>
        <w:widowControl w:val="0"/>
        <w:jc w:val="both"/>
        <w:rPr>
          <w:rFonts w:ascii="Arial" w:eastAsia="Calibri" w:hAnsi="Arial" w:cs="Arial"/>
        </w:rPr>
      </w:pPr>
    </w:p>
    <w:p w:rsidR="006D48B5" w:rsidRDefault="006D48B5">
      <w:pPr>
        <w:spacing w:after="160" w:line="259" w:lineRule="auto"/>
        <w:rPr>
          <w:rFonts w:ascii="Arial" w:eastAsia="Calibri" w:hAnsi="Arial" w:cs="Arial"/>
        </w:rPr>
      </w:pPr>
      <w:r>
        <w:rPr>
          <w:rFonts w:ascii="Arial" w:eastAsia="Calibri" w:hAnsi="Arial" w:cs="Arial"/>
        </w:rPr>
        <w:br w:type="page"/>
      </w:r>
    </w:p>
    <w:p w:rsidR="006D48B5" w:rsidRPr="005C359F" w:rsidRDefault="006D48B5" w:rsidP="00475BBF">
      <w:pPr>
        <w:widowControl w:val="0"/>
        <w:jc w:val="both"/>
        <w:rPr>
          <w:rFonts w:ascii="Arial" w:eastAsia="Calibri" w:hAnsi="Arial" w:cs="Arial"/>
        </w:rPr>
      </w:pPr>
    </w:p>
    <w:p w:rsidR="00475BBF" w:rsidRPr="006D48B5" w:rsidRDefault="002E1254" w:rsidP="006D48B5">
      <w:pPr>
        <w:pStyle w:val="Ttulo3"/>
        <w:rPr>
          <w:rFonts w:ascii="Arial" w:hAnsi="Arial" w:cs="Arial"/>
          <w:b/>
          <w:color w:val="auto"/>
        </w:rPr>
      </w:pPr>
      <w:bookmarkStart w:id="58" w:name="_Toc506187969"/>
      <w:bookmarkStart w:id="59" w:name="_Toc7439677"/>
      <w:r w:rsidRPr="006D48B5">
        <w:rPr>
          <w:rFonts w:ascii="Arial" w:hAnsi="Arial" w:cs="Arial"/>
          <w:b/>
          <w:color w:val="auto"/>
        </w:rPr>
        <w:t>Poliomielitis</w:t>
      </w:r>
      <w:bookmarkEnd w:id="58"/>
      <w:bookmarkEnd w:id="59"/>
    </w:p>
    <w:p w:rsidR="00475BBF" w:rsidRPr="00CB195D" w:rsidRDefault="00475BBF" w:rsidP="00475BBF">
      <w:pPr>
        <w:autoSpaceDE w:val="0"/>
        <w:autoSpaceDN w:val="0"/>
        <w:adjustRightInd w:val="0"/>
        <w:spacing w:line="276" w:lineRule="auto"/>
        <w:jc w:val="both"/>
        <w:rPr>
          <w:rFonts w:ascii="Arial" w:eastAsia="Calibri" w:hAnsi="Arial" w:cs="Arial"/>
        </w:rPr>
      </w:pPr>
    </w:p>
    <w:p w:rsidR="00475BBF" w:rsidRDefault="00475BBF" w:rsidP="00475BBF">
      <w:pPr>
        <w:spacing w:line="276" w:lineRule="auto"/>
        <w:jc w:val="both"/>
        <w:rPr>
          <w:rFonts w:ascii="Arial" w:hAnsi="Arial" w:cs="Arial"/>
          <w:lang w:val="es-CR"/>
        </w:rPr>
      </w:pPr>
      <w:r w:rsidRPr="00CB195D">
        <w:rPr>
          <w:rFonts w:ascii="Arial" w:hAnsi="Arial" w:cs="Arial"/>
          <w:lang w:val="es-CR"/>
        </w:rPr>
        <w:t>La poliomielitis es una enfermedad</w:t>
      </w:r>
      <w:r w:rsidRPr="00AE7403">
        <w:rPr>
          <w:rFonts w:ascii="Arial" w:hAnsi="Arial" w:cs="Arial"/>
          <w:lang w:val="es-CR"/>
        </w:rPr>
        <w:t xml:space="preserve"> </w:t>
      </w:r>
      <w:r w:rsidR="00CB195D">
        <w:rPr>
          <w:rFonts w:ascii="Arial" w:hAnsi="Arial" w:cs="Arial"/>
          <w:lang w:val="es-CR"/>
        </w:rPr>
        <w:t xml:space="preserve">viral </w:t>
      </w:r>
      <w:r w:rsidRPr="00AE7403">
        <w:rPr>
          <w:rFonts w:ascii="Arial" w:hAnsi="Arial" w:cs="Arial"/>
          <w:lang w:val="es-CR"/>
        </w:rPr>
        <w:t xml:space="preserve">contagiosa que afecta principalmente a niños menores de </w:t>
      </w:r>
      <w:r w:rsidR="00CB195D">
        <w:rPr>
          <w:rFonts w:ascii="Arial" w:hAnsi="Arial" w:cs="Arial"/>
          <w:lang w:val="es-CR"/>
        </w:rPr>
        <w:t>cinco</w:t>
      </w:r>
      <w:r w:rsidRPr="00AE7403">
        <w:rPr>
          <w:rFonts w:ascii="Arial" w:hAnsi="Arial" w:cs="Arial"/>
          <w:lang w:val="es-CR"/>
        </w:rPr>
        <w:t xml:space="preserve"> años. El virus se transmite de persona a persona principalmente por vía fecal-oral o, con menos frecuencia, </w:t>
      </w:r>
      <w:r w:rsidR="00CB195D">
        <w:rPr>
          <w:rFonts w:ascii="Arial" w:hAnsi="Arial" w:cs="Arial"/>
          <w:lang w:val="es-CR"/>
        </w:rPr>
        <w:t xml:space="preserve">por medio </w:t>
      </w:r>
      <w:r w:rsidRPr="00AE7403">
        <w:rPr>
          <w:rFonts w:ascii="Arial" w:hAnsi="Arial" w:cs="Arial"/>
          <w:lang w:val="es-CR"/>
        </w:rPr>
        <w:t>de un vehículo común, como el agua o los alimentos contaminados</w:t>
      </w:r>
      <w:r w:rsidR="00CB195D">
        <w:rPr>
          <w:rFonts w:ascii="Arial" w:hAnsi="Arial" w:cs="Arial"/>
          <w:lang w:val="es-CR"/>
        </w:rPr>
        <w:t>,</w:t>
      </w:r>
      <w:r w:rsidRPr="00AE7403">
        <w:rPr>
          <w:rFonts w:ascii="Arial" w:hAnsi="Arial" w:cs="Arial"/>
          <w:lang w:val="es-CR"/>
        </w:rPr>
        <w:t xml:space="preserve"> se multiplica en el intestino desde donde invade el sistema nervioso </w:t>
      </w:r>
      <w:r w:rsidR="00CB195D">
        <w:rPr>
          <w:rFonts w:ascii="Arial" w:hAnsi="Arial" w:cs="Arial"/>
          <w:lang w:val="es-CR"/>
        </w:rPr>
        <w:t xml:space="preserve">por lo que </w:t>
      </w:r>
      <w:r w:rsidRPr="00AE7403">
        <w:rPr>
          <w:rFonts w:ascii="Arial" w:hAnsi="Arial" w:cs="Arial"/>
          <w:lang w:val="es-CR"/>
        </w:rPr>
        <w:t>puede causar parálisis. Los síntomas iniciales son fiebre, cansancio, cefalea, vómitos, rigidez del cuello y dolores en los miembros. Una de cada 200 infecciones produce una parálisis irreversible (generalmente de las p</w:t>
      </w:r>
      <w:r>
        <w:rPr>
          <w:rFonts w:ascii="Arial" w:hAnsi="Arial" w:cs="Arial"/>
          <w:lang w:val="es-CR"/>
        </w:rPr>
        <w:t>iernas), a menudo permanente y del</w:t>
      </w:r>
      <w:r w:rsidRPr="00AE7403">
        <w:rPr>
          <w:rFonts w:ascii="Arial" w:hAnsi="Arial" w:cs="Arial"/>
          <w:lang w:val="es-CR"/>
        </w:rPr>
        <w:t xml:space="preserve"> 5% a 10% de estos casos fallecen por parálisis de los músculos respiratorios. La poliomielitis no tiene cura, pero es prevenible por medio de la inmunización, de modo que cuando se administra varias veces la vacuna puede conferir una protección de por vida. </w:t>
      </w:r>
    </w:p>
    <w:p w:rsidR="00475BBF" w:rsidRDefault="00475BBF" w:rsidP="00475BBF">
      <w:pPr>
        <w:spacing w:line="276" w:lineRule="auto"/>
        <w:jc w:val="both"/>
        <w:rPr>
          <w:rFonts w:ascii="Arial" w:hAnsi="Arial" w:cs="Arial"/>
          <w:lang w:val="es-CR"/>
        </w:rPr>
      </w:pPr>
    </w:p>
    <w:p w:rsidR="00475BBF" w:rsidRPr="00943B68" w:rsidRDefault="00475BBF" w:rsidP="00475BBF">
      <w:pPr>
        <w:spacing w:line="276" w:lineRule="auto"/>
        <w:jc w:val="both"/>
        <w:rPr>
          <w:rFonts w:ascii="Arial" w:hAnsi="Arial" w:cs="Arial"/>
          <w:lang w:val="es-CR"/>
        </w:rPr>
      </w:pPr>
      <w:r w:rsidRPr="00943B68">
        <w:rPr>
          <w:rFonts w:ascii="Arial" w:hAnsi="Arial" w:cs="Arial"/>
          <w:lang w:val="es-CR"/>
        </w:rPr>
        <w:t>La poliomielitis se presentó en Costa Rica en forma esporádica o de pequeños brotes hasta 1936, año en que se registró la primera epidemia con 17 casos. De 1936 a 1973 se presentaron 11 epidemias más y la má</w:t>
      </w:r>
      <w:r>
        <w:rPr>
          <w:rFonts w:ascii="Arial" w:hAnsi="Arial" w:cs="Arial"/>
          <w:lang w:val="es-CR"/>
        </w:rPr>
        <w:t>s severa ocurrió en 1954, con 1</w:t>
      </w:r>
      <w:r w:rsidR="00CB195D">
        <w:rPr>
          <w:rFonts w:ascii="Arial" w:hAnsi="Arial" w:cs="Arial"/>
          <w:lang w:val="es-CR"/>
        </w:rPr>
        <w:t>.</w:t>
      </w:r>
      <w:r w:rsidRPr="00943B68">
        <w:rPr>
          <w:rFonts w:ascii="Arial" w:hAnsi="Arial" w:cs="Arial"/>
          <w:lang w:val="es-CR"/>
        </w:rPr>
        <w:t>081 casos. Las frecuentes campañas de vacunación antipoliomielítica iniciadas en 1956 y los programas permanentes de inmunizaciones, lograron altas coberturas que permitieron la erradicación de la enfermedad en el territorio nacional</w:t>
      </w:r>
      <w:r w:rsidR="00CB195D">
        <w:rPr>
          <w:rFonts w:ascii="Arial" w:hAnsi="Arial" w:cs="Arial"/>
          <w:lang w:val="es-CR"/>
        </w:rPr>
        <w:t>.</w:t>
      </w:r>
      <w:r w:rsidRPr="00943B68">
        <w:rPr>
          <w:rFonts w:ascii="Arial" w:hAnsi="Arial" w:cs="Arial"/>
          <w:lang w:val="es-CR"/>
        </w:rPr>
        <w:t xml:space="preserve"> </w:t>
      </w:r>
      <w:r w:rsidR="00CB195D">
        <w:rPr>
          <w:rFonts w:ascii="Arial" w:hAnsi="Arial" w:cs="Arial"/>
          <w:lang w:val="es-CR"/>
        </w:rPr>
        <w:t>E</w:t>
      </w:r>
      <w:r w:rsidRPr="00943B68">
        <w:rPr>
          <w:rFonts w:ascii="Arial" w:hAnsi="Arial" w:cs="Arial"/>
          <w:lang w:val="es-CR"/>
        </w:rPr>
        <w:t xml:space="preserve">l último caso confirmado de poliomielitis </w:t>
      </w:r>
      <w:r w:rsidR="00CB195D">
        <w:rPr>
          <w:rFonts w:ascii="Arial" w:hAnsi="Arial" w:cs="Arial"/>
          <w:lang w:val="es-CR"/>
        </w:rPr>
        <w:t>se presentó en 1973. El 29 de se</w:t>
      </w:r>
      <w:r w:rsidRPr="00943B68">
        <w:rPr>
          <w:rFonts w:ascii="Arial" w:hAnsi="Arial" w:cs="Arial"/>
          <w:lang w:val="es-CR"/>
        </w:rPr>
        <w:t>tiembre de 1994, la Comisión Internacional en Washington proclamó la erradicación de la poliomielitis de las Américas, Costa Rica lo había logrado 21 años antes.</w:t>
      </w:r>
    </w:p>
    <w:p w:rsidR="00475BBF" w:rsidRDefault="00475BBF" w:rsidP="00475BBF">
      <w:pPr>
        <w:spacing w:line="276" w:lineRule="auto"/>
        <w:jc w:val="both"/>
        <w:rPr>
          <w:rFonts w:ascii="Arial" w:hAnsi="Arial" w:cs="Arial"/>
          <w:lang w:val="es-CR"/>
        </w:rPr>
      </w:pPr>
    </w:p>
    <w:p w:rsidR="00475BBF" w:rsidRDefault="00475BBF" w:rsidP="00475BBF">
      <w:pPr>
        <w:spacing w:line="276" w:lineRule="auto"/>
        <w:jc w:val="both"/>
        <w:rPr>
          <w:rFonts w:ascii="Arial" w:hAnsi="Arial" w:cs="Arial"/>
          <w:lang w:val="es-CR"/>
        </w:rPr>
      </w:pPr>
      <w:r>
        <w:rPr>
          <w:rFonts w:ascii="Arial" w:hAnsi="Arial" w:cs="Arial"/>
          <w:lang w:val="es-CR"/>
        </w:rPr>
        <w:t>E</w:t>
      </w:r>
      <w:r w:rsidRPr="009B5C3B">
        <w:rPr>
          <w:rFonts w:ascii="Arial" w:hAnsi="Arial" w:cs="Arial"/>
          <w:lang w:val="es-CR"/>
        </w:rPr>
        <w:t>l objetivo de la vigilancia es detectar y notificar todos los casos compatibles con parálisis flácid</w:t>
      </w:r>
      <w:r>
        <w:rPr>
          <w:rFonts w:ascii="Arial" w:hAnsi="Arial" w:cs="Arial"/>
          <w:lang w:val="es-CR"/>
        </w:rPr>
        <w:t xml:space="preserve">a aguda (PFA), y </w:t>
      </w:r>
      <w:r w:rsidR="00D926B8">
        <w:rPr>
          <w:rFonts w:ascii="Arial" w:hAnsi="Arial" w:cs="Arial"/>
          <w:lang w:val="es-CR"/>
        </w:rPr>
        <w:t xml:space="preserve">además establecer </w:t>
      </w:r>
      <w:r>
        <w:rPr>
          <w:rFonts w:ascii="Arial" w:hAnsi="Arial" w:cs="Arial"/>
          <w:lang w:val="es-CR"/>
        </w:rPr>
        <w:t>diagnósticos diferenciales (Guill</w:t>
      </w:r>
      <w:r w:rsidRPr="009B5C3B">
        <w:rPr>
          <w:rFonts w:ascii="Arial" w:hAnsi="Arial" w:cs="Arial"/>
          <w:lang w:val="es-CR"/>
        </w:rPr>
        <w:t>i</w:t>
      </w:r>
      <w:r>
        <w:rPr>
          <w:rFonts w:ascii="Arial" w:hAnsi="Arial" w:cs="Arial"/>
          <w:lang w:val="es-CR"/>
        </w:rPr>
        <w:t>a</w:t>
      </w:r>
      <w:r w:rsidRPr="009B5C3B">
        <w:rPr>
          <w:rFonts w:ascii="Arial" w:hAnsi="Arial" w:cs="Arial"/>
          <w:lang w:val="es-CR"/>
        </w:rPr>
        <w:t xml:space="preserve">n Barré, </w:t>
      </w:r>
      <w:r w:rsidR="00D926B8">
        <w:rPr>
          <w:rFonts w:ascii="Arial" w:hAnsi="Arial" w:cs="Arial"/>
          <w:lang w:val="es-CR"/>
        </w:rPr>
        <w:t>a</w:t>
      </w:r>
      <w:r w:rsidRPr="009B5C3B">
        <w:rPr>
          <w:rFonts w:ascii="Arial" w:hAnsi="Arial" w:cs="Arial"/>
          <w:lang w:val="es-CR"/>
        </w:rPr>
        <w:t xml:space="preserve">taxia </w:t>
      </w:r>
      <w:r w:rsidR="00D926B8">
        <w:rPr>
          <w:rFonts w:ascii="Arial" w:hAnsi="Arial" w:cs="Arial"/>
          <w:lang w:val="es-CR"/>
        </w:rPr>
        <w:t>a</w:t>
      </w:r>
      <w:r w:rsidRPr="009B5C3B">
        <w:rPr>
          <w:rFonts w:ascii="Arial" w:hAnsi="Arial" w:cs="Arial"/>
          <w:lang w:val="es-CR"/>
        </w:rPr>
        <w:t xml:space="preserve">guda, </w:t>
      </w:r>
      <w:r w:rsidR="00D926B8">
        <w:rPr>
          <w:rFonts w:ascii="Arial" w:hAnsi="Arial" w:cs="Arial"/>
          <w:lang w:val="es-CR"/>
        </w:rPr>
        <w:t>p</w:t>
      </w:r>
      <w:r w:rsidRPr="009B5C3B">
        <w:rPr>
          <w:rFonts w:ascii="Arial" w:hAnsi="Arial" w:cs="Arial"/>
          <w:lang w:val="es-CR"/>
        </w:rPr>
        <w:t xml:space="preserve">olineuropatía, </w:t>
      </w:r>
      <w:r w:rsidR="00D926B8">
        <w:rPr>
          <w:rFonts w:ascii="Arial" w:hAnsi="Arial" w:cs="Arial"/>
          <w:lang w:val="es-CR"/>
        </w:rPr>
        <w:t>p</w:t>
      </w:r>
      <w:r w:rsidRPr="009B5C3B">
        <w:rPr>
          <w:rFonts w:ascii="Arial" w:hAnsi="Arial" w:cs="Arial"/>
          <w:lang w:val="es-CR"/>
        </w:rPr>
        <w:t xml:space="preserve">olirradiculoneuropatía, </w:t>
      </w:r>
      <w:r w:rsidR="00D926B8">
        <w:rPr>
          <w:rFonts w:ascii="Arial" w:hAnsi="Arial" w:cs="Arial"/>
          <w:lang w:val="es-CR"/>
        </w:rPr>
        <w:t>p</w:t>
      </w:r>
      <w:r w:rsidRPr="009B5C3B">
        <w:rPr>
          <w:rFonts w:ascii="Arial" w:hAnsi="Arial" w:cs="Arial"/>
          <w:lang w:val="es-CR"/>
        </w:rPr>
        <w:t xml:space="preserve">olineuritis, </w:t>
      </w:r>
      <w:r w:rsidR="00D926B8">
        <w:rPr>
          <w:rFonts w:ascii="Arial" w:hAnsi="Arial" w:cs="Arial"/>
          <w:lang w:val="es-CR"/>
        </w:rPr>
        <w:t>n</w:t>
      </w:r>
      <w:r w:rsidRPr="009B5C3B">
        <w:rPr>
          <w:rFonts w:ascii="Arial" w:hAnsi="Arial" w:cs="Arial"/>
          <w:lang w:val="es-CR"/>
        </w:rPr>
        <w:t xml:space="preserve">europatía </w:t>
      </w:r>
      <w:r w:rsidR="00D926B8">
        <w:rPr>
          <w:rFonts w:ascii="Arial" w:hAnsi="Arial" w:cs="Arial"/>
          <w:lang w:val="es-CR"/>
        </w:rPr>
        <w:t>p</w:t>
      </w:r>
      <w:r w:rsidRPr="009B5C3B">
        <w:rPr>
          <w:rFonts w:ascii="Arial" w:hAnsi="Arial" w:cs="Arial"/>
          <w:lang w:val="es-CR"/>
        </w:rPr>
        <w:t xml:space="preserve">eriférica </w:t>
      </w:r>
      <w:r w:rsidR="00D926B8">
        <w:rPr>
          <w:rFonts w:ascii="Arial" w:hAnsi="Arial" w:cs="Arial"/>
          <w:lang w:val="es-CR"/>
        </w:rPr>
        <w:t>i</w:t>
      </w:r>
      <w:r w:rsidRPr="009B5C3B">
        <w:rPr>
          <w:rFonts w:ascii="Arial" w:hAnsi="Arial" w:cs="Arial"/>
          <w:lang w:val="es-CR"/>
        </w:rPr>
        <w:t xml:space="preserve">diopática, </w:t>
      </w:r>
      <w:r w:rsidR="00D926B8">
        <w:rPr>
          <w:rFonts w:ascii="Arial" w:hAnsi="Arial" w:cs="Arial"/>
          <w:lang w:val="es-CR"/>
        </w:rPr>
        <w:t>m</w:t>
      </w:r>
      <w:r w:rsidRPr="009B5C3B">
        <w:rPr>
          <w:rFonts w:ascii="Arial" w:hAnsi="Arial" w:cs="Arial"/>
          <w:lang w:val="es-CR"/>
        </w:rPr>
        <w:t xml:space="preserve">eningoencefalitis y </w:t>
      </w:r>
      <w:r w:rsidR="00D926B8">
        <w:rPr>
          <w:rFonts w:ascii="Arial" w:hAnsi="Arial" w:cs="Arial"/>
          <w:lang w:val="es-CR"/>
        </w:rPr>
        <w:t>p</w:t>
      </w:r>
      <w:r w:rsidRPr="009B5C3B">
        <w:rPr>
          <w:rFonts w:ascii="Arial" w:hAnsi="Arial" w:cs="Arial"/>
          <w:lang w:val="es-CR"/>
        </w:rPr>
        <w:t xml:space="preserve">arálisis </w:t>
      </w:r>
      <w:r w:rsidR="00D926B8">
        <w:rPr>
          <w:rFonts w:ascii="Arial" w:hAnsi="Arial" w:cs="Arial"/>
          <w:lang w:val="es-CR"/>
        </w:rPr>
        <w:t>f</w:t>
      </w:r>
      <w:r w:rsidRPr="009B5C3B">
        <w:rPr>
          <w:rFonts w:ascii="Arial" w:hAnsi="Arial" w:cs="Arial"/>
          <w:lang w:val="es-CR"/>
        </w:rPr>
        <w:t xml:space="preserve">lácida </w:t>
      </w:r>
      <w:r w:rsidR="00D926B8">
        <w:rPr>
          <w:rFonts w:ascii="Arial" w:hAnsi="Arial" w:cs="Arial"/>
          <w:lang w:val="es-CR"/>
        </w:rPr>
        <w:t>m</w:t>
      </w:r>
      <w:r w:rsidRPr="009B5C3B">
        <w:rPr>
          <w:rFonts w:ascii="Arial" w:hAnsi="Arial" w:cs="Arial"/>
          <w:lang w:val="es-CR"/>
        </w:rPr>
        <w:t>uscular) en menores de 15 años, o personas adultas con fuerte sospecha de polio.</w:t>
      </w:r>
    </w:p>
    <w:p w:rsidR="00475BBF" w:rsidRDefault="00475BBF" w:rsidP="00475BBF">
      <w:pPr>
        <w:spacing w:line="276" w:lineRule="auto"/>
        <w:jc w:val="both"/>
        <w:rPr>
          <w:rFonts w:ascii="Arial" w:hAnsi="Arial" w:cs="Arial"/>
          <w:lang w:val="es-CR"/>
        </w:rPr>
      </w:pPr>
    </w:p>
    <w:p w:rsidR="00475BBF" w:rsidRDefault="00D926B8" w:rsidP="00475BBF">
      <w:pPr>
        <w:spacing w:line="276" w:lineRule="auto"/>
        <w:jc w:val="both"/>
        <w:rPr>
          <w:rFonts w:ascii="Arial" w:hAnsi="Arial" w:cs="Arial"/>
          <w:lang w:val="es-CR"/>
        </w:rPr>
      </w:pPr>
      <w:r>
        <w:rPr>
          <w:rFonts w:ascii="Arial" w:hAnsi="Arial" w:cs="Arial"/>
          <w:lang w:val="es-CR"/>
        </w:rPr>
        <w:t>D</w:t>
      </w:r>
      <w:r w:rsidR="00475BBF">
        <w:rPr>
          <w:rFonts w:ascii="Arial" w:hAnsi="Arial" w:cs="Arial"/>
          <w:lang w:val="es-CR"/>
        </w:rPr>
        <w:t>urante el período 2014-2018, se notifica</w:t>
      </w:r>
      <w:r>
        <w:rPr>
          <w:rFonts w:ascii="Arial" w:hAnsi="Arial" w:cs="Arial"/>
          <w:lang w:val="es-CR"/>
        </w:rPr>
        <w:t>ron</w:t>
      </w:r>
      <w:r w:rsidR="00475BBF">
        <w:rPr>
          <w:rFonts w:ascii="Arial" w:hAnsi="Arial" w:cs="Arial"/>
          <w:lang w:val="es-CR"/>
        </w:rPr>
        <w:t xml:space="preserve"> 118 casos sospechosos </w:t>
      </w:r>
      <w:r>
        <w:rPr>
          <w:rFonts w:ascii="Arial" w:hAnsi="Arial" w:cs="Arial"/>
          <w:lang w:val="es-CR"/>
        </w:rPr>
        <w:t>d</w:t>
      </w:r>
      <w:r w:rsidR="00475BBF">
        <w:rPr>
          <w:rFonts w:ascii="Arial" w:hAnsi="Arial" w:cs="Arial"/>
          <w:lang w:val="es-CR"/>
        </w:rPr>
        <w:t>e PFA</w:t>
      </w:r>
      <w:r>
        <w:rPr>
          <w:rFonts w:ascii="Arial" w:hAnsi="Arial" w:cs="Arial"/>
          <w:lang w:val="es-CR"/>
        </w:rPr>
        <w:t>.</w:t>
      </w:r>
      <w:r w:rsidR="00475BBF">
        <w:rPr>
          <w:rFonts w:ascii="Arial" w:hAnsi="Arial" w:cs="Arial"/>
          <w:lang w:val="es-CR"/>
        </w:rPr>
        <w:t xml:space="preserve"> </w:t>
      </w:r>
      <w:r>
        <w:rPr>
          <w:rFonts w:ascii="Arial" w:hAnsi="Arial" w:cs="Arial"/>
          <w:lang w:val="es-CR"/>
        </w:rPr>
        <w:t xml:space="preserve">En </w:t>
      </w:r>
      <w:r w:rsidR="00475BBF">
        <w:rPr>
          <w:rFonts w:ascii="Arial" w:hAnsi="Arial" w:cs="Arial"/>
          <w:lang w:val="es-CR"/>
        </w:rPr>
        <w:t xml:space="preserve">el año 2016 </w:t>
      </w:r>
      <w:r>
        <w:rPr>
          <w:rFonts w:ascii="Arial" w:hAnsi="Arial" w:cs="Arial"/>
          <w:lang w:val="es-CR"/>
        </w:rPr>
        <w:t xml:space="preserve">se registró </w:t>
      </w:r>
      <w:r w:rsidR="00475BBF">
        <w:rPr>
          <w:rFonts w:ascii="Arial" w:hAnsi="Arial" w:cs="Arial"/>
          <w:lang w:val="es-CR"/>
        </w:rPr>
        <w:t xml:space="preserve">el mayor número de casos </w:t>
      </w:r>
      <w:r>
        <w:rPr>
          <w:rFonts w:ascii="Arial" w:hAnsi="Arial" w:cs="Arial"/>
          <w:lang w:val="es-CR"/>
        </w:rPr>
        <w:t>(31) con</w:t>
      </w:r>
      <w:r w:rsidR="00475BBF">
        <w:rPr>
          <w:rFonts w:ascii="Arial" w:hAnsi="Arial" w:cs="Arial"/>
          <w:lang w:val="es-CR"/>
        </w:rPr>
        <w:t xml:space="preserve"> una tasa de 0,6 por cien mil habitantes. Todas las notificaciones, </w:t>
      </w:r>
      <w:r>
        <w:rPr>
          <w:rFonts w:ascii="Arial" w:hAnsi="Arial" w:cs="Arial"/>
          <w:lang w:val="es-CR"/>
        </w:rPr>
        <w:t xml:space="preserve">fueron </w:t>
      </w:r>
      <w:r w:rsidR="00475BBF" w:rsidRPr="004D2D65">
        <w:rPr>
          <w:rFonts w:ascii="Arial" w:hAnsi="Arial" w:cs="Arial"/>
          <w:lang w:val="es-CR"/>
        </w:rPr>
        <w:t>descartad</w:t>
      </w:r>
      <w:r>
        <w:rPr>
          <w:rFonts w:ascii="Arial" w:hAnsi="Arial" w:cs="Arial"/>
          <w:lang w:val="es-CR"/>
        </w:rPr>
        <w:t>a</w:t>
      </w:r>
      <w:r w:rsidR="00475BBF" w:rsidRPr="004D2D65">
        <w:rPr>
          <w:rFonts w:ascii="Arial" w:hAnsi="Arial" w:cs="Arial"/>
          <w:lang w:val="es-CR"/>
        </w:rPr>
        <w:t>s como casos de poliomielitis por un equipo de trabajo interinstitucional, M</w:t>
      </w:r>
      <w:r w:rsidR="00475BBF">
        <w:rPr>
          <w:rFonts w:ascii="Arial" w:hAnsi="Arial" w:cs="Arial"/>
          <w:lang w:val="es-CR"/>
        </w:rPr>
        <w:t xml:space="preserve">inisterio de </w:t>
      </w:r>
      <w:r w:rsidR="00475BBF" w:rsidRPr="004D2D65">
        <w:rPr>
          <w:rFonts w:ascii="Arial" w:hAnsi="Arial" w:cs="Arial"/>
          <w:lang w:val="es-CR"/>
        </w:rPr>
        <w:t>S</w:t>
      </w:r>
      <w:r w:rsidR="00475BBF">
        <w:rPr>
          <w:rFonts w:ascii="Arial" w:hAnsi="Arial" w:cs="Arial"/>
          <w:lang w:val="es-CR"/>
        </w:rPr>
        <w:t>alud</w:t>
      </w:r>
      <w:r w:rsidR="00475BBF" w:rsidRPr="004D2D65">
        <w:rPr>
          <w:rFonts w:ascii="Arial" w:hAnsi="Arial" w:cs="Arial"/>
          <w:lang w:val="es-CR"/>
        </w:rPr>
        <w:t>-CCSS-INCIENSA.</w:t>
      </w:r>
    </w:p>
    <w:p w:rsidR="00475BBF" w:rsidRDefault="00475BBF" w:rsidP="00475BBF">
      <w:pPr>
        <w:spacing w:line="360" w:lineRule="auto"/>
        <w:rPr>
          <w:rFonts w:ascii="Arial" w:hAnsi="Arial" w:cs="Arial"/>
          <w:lang w:val="es-CR"/>
        </w:rPr>
      </w:pPr>
    </w:p>
    <w:p w:rsidR="00D926B8" w:rsidRDefault="00D926B8">
      <w:pPr>
        <w:spacing w:after="160" w:line="259" w:lineRule="auto"/>
        <w:rPr>
          <w:rFonts w:ascii="Arial" w:hAnsi="Arial" w:cs="Arial"/>
          <w:lang w:val="es-CR"/>
        </w:rPr>
      </w:pPr>
      <w:r>
        <w:rPr>
          <w:rFonts w:ascii="Arial" w:hAnsi="Arial" w:cs="Arial"/>
          <w:lang w:val="es-CR"/>
        </w:rPr>
        <w:br w:type="page"/>
      </w:r>
    </w:p>
    <w:p w:rsidR="00475BBF" w:rsidRDefault="00D926B8" w:rsidP="00475BBF">
      <w:pPr>
        <w:spacing w:line="276" w:lineRule="auto"/>
        <w:jc w:val="both"/>
        <w:rPr>
          <w:rFonts w:ascii="Arial" w:hAnsi="Arial" w:cs="Arial"/>
          <w:lang w:val="es-CR"/>
        </w:rPr>
      </w:pPr>
      <w:r>
        <w:rPr>
          <w:rFonts w:ascii="Arial" w:hAnsi="Arial" w:cs="Arial"/>
          <w:lang w:val="es-CR"/>
        </w:rPr>
        <w:lastRenderedPageBreak/>
        <w:t>E</w:t>
      </w:r>
      <w:r w:rsidR="00475BBF" w:rsidRPr="00094B8F">
        <w:rPr>
          <w:rFonts w:ascii="Arial" w:hAnsi="Arial" w:cs="Arial"/>
          <w:lang w:val="es-CR"/>
        </w:rPr>
        <w:t xml:space="preserve">l grupo de </w:t>
      </w:r>
      <w:r>
        <w:rPr>
          <w:rFonts w:ascii="Arial" w:hAnsi="Arial" w:cs="Arial"/>
          <w:lang w:val="es-CR"/>
        </w:rPr>
        <w:t xml:space="preserve">edad </w:t>
      </w:r>
      <w:r w:rsidR="00475BBF" w:rsidRPr="00094B8F">
        <w:rPr>
          <w:rFonts w:ascii="Arial" w:hAnsi="Arial" w:cs="Arial"/>
          <w:lang w:val="es-CR"/>
        </w:rPr>
        <w:t>de 1 a 9 años present</w:t>
      </w:r>
      <w:r>
        <w:rPr>
          <w:rFonts w:ascii="Arial" w:hAnsi="Arial" w:cs="Arial"/>
          <w:lang w:val="es-CR"/>
        </w:rPr>
        <w:t>ó</w:t>
      </w:r>
      <w:r w:rsidR="00475BBF" w:rsidRPr="00094B8F">
        <w:rPr>
          <w:rFonts w:ascii="Arial" w:hAnsi="Arial" w:cs="Arial"/>
          <w:lang w:val="es-CR"/>
        </w:rPr>
        <w:t xml:space="preserve"> </w:t>
      </w:r>
      <w:r>
        <w:rPr>
          <w:rFonts w:ascii="Arial" w:hAnsi="Arial" w:cs="Arial"/>
          <w:lang w:val="es-CR"/>
        </w:rPr>
        <w:t xml:space="preserve">el </w:t>
      </w:r>
      <w:r w:rsidR="00475BBF" w:rsidRPr="00094B8F">
        <w:rPr>
          <w:rFonts w:ascii="Arial" w:hAnsi="Arial" w:cs="Arial"/>
          <w:lang w:val="es-CR"/>
        </w:rPr>
        <w:t>62,25% del total</w:t>
      </w:r>
      <w:r>
        <w:rPr>
          <w:rFonts w:ascii="Arial" w:hAnsi="Arial" w:cs="Arial"/>
          <w:lang w:val="es-CR"/>
        </w:rPr>
        <w:t xml:space="preserve"> (</w:t>
      </w:r>
      <w:r w:rsidR="00475BBF" w:rsidRPr="00094B8F">
        <w:rPr>
          <w:rFonts w:ascii="Arial" w:hAnsi="Arial" w:cs="Arial"/>
          <w:lang w:val="es-CR"/>
        </w:rPr>
        <w:t>2,3 casos por cien mil habitantes</w:t>
      </w:r>
      <w:r>
        <w:rPr>
          <w:rFonts w:ascii="Arial" w:hAnsi="Arial" w:cs="Arial"/>
          <w:lang w:val="es-CR"/>
        </w:rPr>
        <w:t>) de casos de PFA</w:t>
      </w:r>
      <w:r w:rsidR="00475BBF" w:rsidRPr="00094B8F">
        <w:rPr>
          <w:rFonts w:ascii="Arial" w:hAnsi="Arial" w:cs="Arial"/>
          <w:lang w:val="es-CR"/>
        </w:rPr>
        <w:t xml:space="preserve">. </w:t>
      </w:r>
    </w:p>
    <w:p w:rsidR="000E4FF7" w:rsidRDefault="000E4FF7" w:rsidP="00475BBF">
      <w:pPr>
        <w:spacing w:line="276" w:lineRule="auto"/>
        <w:jc w:val="both"/>
        <w:rPr>
          <w:rFonts w:ascii="Arial" w:hAnsi="Arial" w:cs="Arial"/>
          <w:lang w:val="es-CR"/>
        </w:rPr>
      </w:pPr>
    </w:p>
    <w:p w:rsidR="00475BBF" w:rsidRPr="006D48B5" w:rsidRDefault="00475BBF" w:rsidP="006D48B5">
      <w:pPr>
        <w:pStyle w:val="Ttulo3"/>
        <w:rPr>
          <w:rFonts w:ascii="Arial" w:hAnsi="Arial" w:cs="Arial"/>
          <w:b/>
          <w:color w:val="auto"/>
        </w:rPr>
      </w:pPr>
      <w:bookmarkStart w:id="60" w:name="_Toc506187973"/>
      <w:bookmarkStart w:id="61" w:name="_Toc7439678"/>
      <w:r w:rsidRPr="006D48B5">
        <w:rPr>
          <w:rFonts w:ascii="Arial" w:hAnsi="Arial" w:cs="Arial"/>
          <w:b/>
          <w:color w:val="auto"/>
        </w:rPr>
        <w:t>V</w:t>
      </w:r>
      <w:r w:rsidR="000E4FF7" w:rsidRPr="006D48B5">
        <w:rPr>
          <w:rFonts w:ascii="Arial" w:hAnsi="Arial" w:cs="Arial"/>
          <w:b/>
          <w:color w:val="auto"/>
        </w:rPr>
        <w:t>aricela</w:t>
      </w:r>
      <w:bookmarkEnd w:id="60"/>
      <w:bookmarkEnd w:id="61"/>
    </w:p>
    <w:p w:rsidR="00475BBF" w:rsidRDefault="00475BBF" w:rsidP="00475BBF">
      <w:pPr>
        <w:spacing w:line="276" w:lineRule="auto"/>
        <w:rPr>
          <w:rFonts w:ascii="Arial" w:hAnsi="Arial" w:cs="Arial"/>
          <w:lang w:val="es-CR"/>
        </w:rPr>
      </w:pPr>
    </w:p>
    <w:p w:rsidR="000E4FF7" w:rsidRDefault="00475BBF" w:rsidP="00475BBF">
      <w:pPr>
        <w:spacing w:line="276" w:lineRule="auto"/>
        <w:jc w:val="both"/>
        <w:rPr>
          <w:rFonts w:ascii="Arial" w:hAnsi="Arial" w:cs="Arial"/>
          <w:lang w:val="es-CR"/>
        </w:rPr>
      </w:pPr>
      <w:r w:rsidRPr="000F303A">
        <w:rPr>
          <w:rFonts w:ascii="Arial" w:hAnsi="Arial" w:cs="Arial"/>
          <w:lang w:val="es-CR"/>
        </w:rPr>
        <w:t>La varicela es una enfermedad infecciosa causada por el virus varicela-zóster, perteneciente a la familia de los herpes</w:t>
      </w:r>
      <w:r>
        <w:rPr>
          <w:rFonts w:ascii="Arial" w:hAnsi="Arial" w:cs="Arial"/>
          <w:lang w:val="es-CR"/>
        </w:rPr>
        <w:t xml:space="preserve"> </w:t>
      </w:r>
      <w:r w:rsidRPr="000F303A">
        <w:rPr>
          <w:rFonts w:ascii="Arial" w:hAnsi="Arial" w:cs="Arial"/>
          <w:lang w:val="es-CR"/>
        </w:rPr>
        <w:t>virus, que también causa el herpes zóster.</w:t>
      </w:r>
    </w:p>
    <w:p w:rsidR="000E4FF7" w:rsidRDefault="000E4FF7" w:rsidP="00475BBF">
      <w:pPr>
        <w:spacing w:line="276" w:lineRule="auto"/>
        <w:jc w:val="both"/>
        <w:rPr>
          <w:rFonts w:ascii="Arial" w:hAnsi="Arial" w:cs="Arial"/>
          <w:lang w:val="es-CR"/>
        </w:rPr>
      </w:pPr>
    </w:p>
    <w:p w:rsidR="00475BBF" w:rsidRDefault="00475BBF" w:rsidP="00475BBF">
      <w:pPr>
        <w:spacing w:line="276" w:lineRule="auto"/>
        <w:jc w:val="both"/>
        <w:rPr>
          <w:rFonts w:ascii="Arial" w:hAnsi="Arial" w:cs="Arial"/>
          <w:lang w:val="es-CR"/>
        </w:rPr>
      </w:pPr>
      <w:r w:rsidRPr="000F303A">
        <w:rPr>
          <w:rFonts w:ascii="Arial" w:hAnsi="Arial" w:cs="Arial"/>
          <w:lang w:val="es-CR"/>
        </w:rPr>
        <w:t xml:space="preserve">Se presenta principalmente en niños de uno </w:t>
      </w:r>
      <w:r w:rsidR="000E4FF7">
        <w:rPr>
          <w:rFonts w:ascii="Arial" w:hAnsi="Arial" w:cs="Arial"/>
          <w:lang w:val="es-CR"/>
        </w:rPr>
        <w:t>a</w:t>
      </w:r>
      <w:r w:rsidRPr="000F303A">
        <w:rPr>
          <w:rFonts w:ascii="Arial" w:hAnsi="Arial" w:cs="Arial"/>
          <w:lang w:val="es-CR"/>
        </w:rPr>
        <w:t xml:space="preserve"> nueve años de edad. La infección en adolescentes y adultos suele ser más severa y tiene mayor riesgo de complicaciones como la enfermedad pulmonar intersticial. Tras un período largo de latencia (14 a 21 días), la enfermedad </w:t>
      </w:r>
      <w:r w:rsidR="000E4FF7">
        <w:rPr>
          <w:rFonts w:ascii="Arial" w:hAnsi="Arial" w:cs="Arial"/>
          <w:lang w:val="es-CR"/>
        </w:rPr>
        <w:t>inicia con</w:t>
      </w:r>
      <w:r w:rsidRPr="000F303A">
        <w:rPr>
          <w:rFonts w:ascii="Arial" w:hAnsi="Arial" w:cs="Arial"/>
          <w:lang w:val="es-CR"/>
        </w:rPr>
        <w:t xml:space="preserve"> </w:t>
      </w:r>
      <w:r w:rsidR="000E4FF7">
        <w:rPr>
          <w:rFonts w:ascii="Arial" w:hAnsi="Arial" w:cs="Arial"/>
          <w:lang w:val="es-CR"/>
        </w:rPr>
        <w:t xml:space="preserve">síntomas semejantes a </w:t>
      </w:r>
      <w:r w:rsidRPr="000F303A">
        <w:rPr>
          <w:rFonts w:ascii="Arial" w:hAnsi="Arial" w:cs="Arial"/>
          <w:lang w:val="es-CR"/>
        </w:rPr>
        <w:t>un cuadro gripal</w:t>
      </w:r>
      <w:r w:rsidR="000E4FF7">
        <w:rPr>
          <w:rFonts w:ascii="Arial" w:hAnsi="Arial" w:cs="Arial"/>
          <w:lang w:val="es-CR"/>
        </w:rPr>
        <w:t>,</w:t>
      </w:r>
      <w:r w:rsidRPr="000F303A">
        <w:rPr>
          <w:rFonts w:ascii="Arial" w:hAnsi="Arial" w:cs="Arial"/>
          <w:lang w:val="es-CR"/>
        </w:rPr>
        <w:t xml:space="preserve"> con fiebre leve o moderada</w:t>
      </w:r>
      <w:r w:rsidR="000E4FF7">
        <w:rPr>
          <w:rFonts w:ascii="Arial" w:hAnsi="Arial" w:cs="Arial"/>
          <w:lang w:val="es-CR"/>
        </w:rPr>
        <w:t>;</w:t>
      </w:r>
      <w:r w:rsidRPr="000F303A">
        <w:rPr>
          <w:rFonts w:ascii="Arial" w:hAnsi="Arial" w:cs="Arial"/>
          <w:lang w:val="es-CR"/>
        </w:rPr>
        <w:t xml:space="preserve"> luego aparece un </w:t>
      </w:r>
      <w:r w:rsidR="000E4FF7">
        <w:rPr>
          <w:rFonts w:ascii="Arial" w:hAnsi="Arial" w:cs="Arial"/>
          <w:lang w:val="es-CR"/>
        </w:rPr>
        <w:t>brote en la piel de duración autolimitada</w:t>
      </w:r>
      <w:r w:rsidRPr="000F303A">
        <w:rPr>
          <w:rFonts w:ascii="Arial" w:hAnsi="Arial" w:cs="Arial"/>
          <w:lang w:val="es-CR"/>
        </w:rPr>
        <w:t xml:space="preserve"> que rápidamente evoluciona a pápulas, luego a vesículas y finalmente a costras que se desprenden tras una a dos semanas. Se acompaña de adenopatías cervicales. </w:t>
      </w:r>
      <w:r w:rsidRPr="00A92864">
        <w:rPr>
          <w:rFonts w:ascii="Arial" w:hAnsi="Arial" w:cs="Arial"/>
          <w:lang w:val="es-CR"/>
        </w:rPr>
        <w:t>La reactivación del virus latente durante la infancia o la edad adulta da lugar al herpes z</w:t>
      </w:r>
      <w:r w:rsidR="000E4FF7">
        <w:rPr>
          <w:rFonts w:ascii="Arial" w:hAnsi="Arial" w:cs="Arial"/>
          <w:lang w:val="es-CR"/>
        </w:rPr>
        <w:t>ó</w:t>
      </w:r>
      <w:r w:rsidRPr="00A92864">
        <w:rPr>
          <w:rFonts w:ascii="Arial" w:hAnsi="Arial" w:cs="Arial"/>
          <w:lang w:val="es-CR"/>
        </w:rPr>
        <w:t>ster o herpes zona, infección dolorosa pero limitada de una o más raíces nerviosas sensitivas</w:t>
      </w:r>
      <w:r>
        <w:rPr>
          <w:rFonts w:ascii="Arial" w:hAnsi="Arial" w:cs="Arial"/>
          <w:lang w:val="es-CR"/>
        </w:rPr>
        <w:t>.</w:t>
      </w:r>
    </w:p>
    <w:p w:rsidR="00475BBF" w:rsidRDefault="00475BBF" w:rsidP="00475BBF">
      <w:pPr>
        <w:spacing w:line="276" w:lineRule="auto"/>
        <w:jc w:val="both"/>
        <w:rPr>
          <w:rFonts w:ascii="Arial" w:hAnsi="Arial" w:cs="Arial"/>
          <w:lang w:val="es-CR"/>
        </w:rPr>
      </w:pPr>
      <w:r w:rsidRPr="00CC3D96">
        <w:rPr>
          <w:rFonts w:ascii="Arial" w:hAnsi="Arial" w:cs="Arial"/>
          <w:lang w:val="es-CR"/>
        </w:rPr>
        <w:t xml:space="preserve"> </w:t>
      </w:r>
    </w:p>
    <w:p w:rsidR="00475BBF" w:rsidRDefault="00475BBF" w:rsidP="000E4FF7">
      <w:pPr>
        <w:spacing w:line="276" w:lineRule="auto"/>
        <w:jc w:val="both"/>
        <w:rPr>
          <w:rFonts w:ascii="Arial" w:hAnsi="Arial" w:cs="Arial"/>
          <w:lang w:val="es-CR"/>
        </w:rPr>
      </w:pPr>
      <w:r>
        <w:rPr>
          <w:rFonts w:ascii="Arial" w:hAnsi="Arial" w:cs="Arial"/>
          <w:lang w:val="es-CR"/>
        </w:rPr>
        <w:t>En el período 2014 al año 201</w:t>
      </w:r>
      <w:r w:rsidR="000E4FF7">
        <w:rPr>
          <w:rFonts w:ascii="Arial" w:hAnsi="Arial" w:cs="Arial"/>
          <w:lang w:val="es-CR"/>
        </w:rPr>
        <w:t>8</w:t>
      </w:r>
      <w:r>
        <w:rPr>
          <w:rFonts w:ascii="Arial" w:hAnsi="Arial" w:cs="Arial"/>
          <w:lang w:val="es-CR"/>
        </w:rPr>
        <w:t xml:space="preserve"> </w:t>
      </w:r>
      <w:r w:rsidR="000E4FF7">
        <w:rPr>
          <w:rFonts w:ascii="Arial" w:hAnsi="Arial" w:cs="Arial"/>
          <w:lang w:val="es-CR"/>
        </w:rPr>
        <w:t xml:space="preserve">se </w:t>
      </w:r>
      <w:r>
        <w:rPr>
          <w:rFonts w:ascii="Arial" w:hAnsi="Arial" w:cs="Arial"/>
          <w:lang w:val="es-CR"/>
        </w:rPr>
        <w:t>presentó</w:t>
      </w:r>
      <w:r w:rsidRPr="007E34C1">
        <w:rPr>
          <w:rFonts w:ascii="Arial" w:hAnsi="Arial" w:cs="Arial"/>
          <w:lang w:val="es-CR"/>
        </w:rPr>
        <w:t xml:space="preserve"> una tendencia al</w:t>
      </w:r>
      <w:r>
        <w:rPr>
          <w:rFonts w:ascii="Arial" w:hAnsi="Arial" w:cs="Arial"/>
          <w:lang w:val="es-CR"/>
        </w:rPr>
        <w:t xml:space="preserve"> descenso </w:t>
      </w:r>
      <w:r w:rsidR="000E4FF7">
        <w:rPr>
          <w:rFonts w:ascii="Arial" w:hAnsi="Arial" w:cs="Arial"/>
          <w:lang w:val="es-CR"/>
        </w:rPr>
        <w:t xml:space="preserve">en el número de casos de varicela. En el 2014 se registró una tasa de </w:t>
      </w:r>
      <w:r>
        <w:rPr>
          <w:rFonts w:ascii="Arial" w:hAnsi="Arial" w:cs="Arial"/>
          <w:lang w:val="es-CR"/>
        </w:rPr>
        <w:t>104,3</w:t>
      </w:r>
      <w:r w:rsidRPr="007E34C1">
        <w:rPr>
          <w:rFonts w:ascii="Arial" w:hAnsi="Arial" w:cs="Arial"/>
          <w:lang w:val="es-CR"/>
        </w:rPr>
        <w:t xml:space="preserve"> </w:t>
      </w:r>
      <w:r>
        <w:rPr>
          <w:rFonts w:ascii="Arial" w:hAnsi="Arial" w:cs="Arial"/>
          <w:lang w:val="es-CR"/>
        </w:rPr>
        <w:t>casos por cien mil habitantes</w:t>
      </w:r>
      <w:r w:rsidR="000E4FF7">
        <w:rPr>
          <w:rFonts w:ascii="Arial" w:hAnsi="Arial" w:cs="Arial"/>
          <w:lang w:val="es-CR"/>
        </w:rPr>
        <w:t xml:space="preserve"> y en 2017 ésta disminuyó a</w:t>
      </w:r>
      <w:r>
        <w:rPr>
          <w:rFonts w:ascii="Arial" w:hAnsi="Arial" w:cs="Arial"/>
          <w:lang w:val="es-CR"/>
        </w:rPr>
        <w:t xml:space="preserve"> 49,5</w:t>
      </w:r>
      <w:r w:rsidRPr="007E34C1">
        <w:rPr>
          <w:rFonts w:ascii="Arial" w:hAnsi="Arial" w:cs="Arial"/>
          <w:lang w:val="es-CR"/>
        </w:rPr>
        <w:t xml:space="preserve"> </w:t>
      </w:r>
      <w:r>
        <w:rPr>
          <w:rFonts w:ascii="Arial" w:hAnsi="Arial" w:cs="Arial"/>
          <w:lang w:val="es-CR"/>
        </w:rPr>
        <w:t xml:space="preserve">casos por cien mil habitantes. Para el año 2018 </w:t>
      </w:r>
      <w:r w:rsidR="009B2F15">
        <w:rPr>
          <w:rFonts w:ascii="Arial" w:hAnsi="Arial" w:cs="Arial"/>
          <w:lang w:val="es-CR"/>
        </w:rPr>
        <w:t xml:space="preserve">se volvió a </w:t>
      </w:r>
      <w:r>
        <w:rPr>
          <w:rFonts w:ascii="Arial" w:hAnsi="Arial" w:cs="Arial"/>
          <w:lang w:val="es-CR"/>
        </w:rPr>
        <w:t>increment</w:t>
      </w:r>
      <w:r w:rsidR="009B2F15">
        <w:rPr>
          <w:rFonts w:ascii="Arial" w:hAnsi="Arial" w:cs="Arial"/>
          <w:lang w:val="es-CR"/>
        </w:rPr>
        <w:t xml:space="preserve">ar </w:t>
      </w:r>
      <w:r>
        <w:rPr>
          <w:rFonts w:ascii="Arial" w:hAnsi="Arial" w:cs="Arial"/>
          <w:lang w:val="es-CR"/>
        </w:rPr>
        <w:t xml:space="preserve">el número de casos </w:t>
      </w:r>
      <w:r w:rsidR="009B2F15">
        <w:rPr>
          <w:rFonts w:ascii="Arial" w:hAnsi="Arial" w:cs="Arial"/>
          <w:lang w:val="es-CR"/>
        </w:rPr>
        <w:t xml:space="preserve">de varicela registrándose </w:t>
      </w:r>
      <w:r>
        <w:rPr>
          <w:rFonts w:ascii="Arial" w:hAnsi="Arial" w:cs="Arial"/>
          <w:lang w:val="es-CR"/>
        </w:rPr>
        <w:t>una tasa de 71,7 por cien mil habitantes.</w:t>
      </w:r>
      <w:r w:rsidR="009B2F15">
        <w:rPr>
          <w:rFonts w:ascii="Arial" w:hAnsi="Arial" w:cs="Arial"/>
          <w:lang w:val="es-CR"/>
        </w:rPr>
        <w:t xml:space="preserve"> Gráfico </w:t>
      </w:r>
      <w:r w:rsidR="00BB0F6E">
        <w:rPr>
          <w:rFonts w:ascii="Arial" w:hAnsi="Arial" w:cs="Arial"/>
          <w:lang w:val="es-CR"/>
        </w:rPr>
        <w:t>29</w:t>
      </w:r>
      <w:r w:rsidR="009B2F15">
        <w:rPr>
          <w:rFonts w:ascii="Arial" w:hAnsi="Arial" w:cs="Arial"/>
          <w:lang w:val="es-CR"/>
        </w:rPr>
        <w:t>.</w:t>
      </w:r>
    </w:p>
    <w:p w:rsidR="00475BBF" w:rsidRDefault="00475BBF" w:rsidP="00475BBF">
      <w:pPr>
        <w:spacing w:line="276" w:lineRule="auto"/>
        <w:jc w:val="center"/>
        <w:rPr>
          <w:rFonts w:ascii="Arial" w:hAnsi="Arial" w:cs="Arial"/>
          <w:lang w:val="es-CR"/>
        </w:rPr>
      </w:pPr>
    </w:p>
    <w:p w:rsidR="00475BBF" w:rsidRPr="009B2F15" w:rsidRDefault="00475BBF" w:rsidP="00475BBF">
      <w:pPr>
        <w:spacing w:line="276" w:lineRule="auto"/>
        <w:jc w:val="center"/>
        <w:rPr>
          <w:rFonts w:ascii="Arial" w:hAnsi="Arial" w:cs="Arial"/>
          <w:b/>
          <w:lang w:val="es-CR"/>
        </w:rPr>
      </w:pPr>
      <w:r w:rsidRPr="009B2F15">
        <w:rPr>
          <w:rFonts w:ascii="Arial" w:hAnsi="Arial" w:cs="Arial"/>
          <w:b/>
          <w:lang w:val="es-CR"/>
        </w:rPr>
        <w:t>Gráfico</w:t>
      </w:r>
      <w:r w:rsidR="009B2F15" w:rsidRPr="009B2F15">
        <w:rPr>
          <w:rFonts w:ascii="Arial" w:hAnsi="Arial" w:cs="Arial"/>
          <w:b/>
          <w:lang w:val="es-CR"/>
        </w:rPr>
        <w:t xml:space="preserve"> 2</w:t>
      </w:r>
      <w:r w:rsidR="00BB0F6E">
        <w:rPr>
          <w:rFonts w:ascii="Arial" w:hAnsi="Arial" w:cs="Arial"/>
          <w:b/>
          <w:lang w:val="es-CR"/>
        </w:rPr>
        <w:t>9</w:t>
      </w:r>
    </w:p>
    <w:p w:rsidR="009B2F15" w:rsidRDefault="00475BBF" w:rsidP="00475BBF">
      <w:pPr>
        <w:spacing w:line="276" w:lineRule="auto"/>
        <w:jc w:val="center"/>
        <w:rPr>
          <w:rFonts w:ascii="Arial" w:hAnsi="Arial" w:cs="Arial"/>
          <w:b/>
          <w:lang w:val="es-CR"/>
        </w:rPr>
      </w:pPr>
      <w:r w:rsidRPr="009B2F15">
        <w:rPr>
          <w:rFonts w:ascii="Arial" w:hAnsi="Arial" w:cs="Arial"/>
          <w:b/>
          <w:lang w:val="es-CR"/>
        </w:rPr>
        <w:t xml:space="preserve">Costa Rica: </w:t>
      </w:r>
      <w:r w:rsidR="009B2F15">
        <w:rPr>
          <w:rFonts w:ascii="Arial" w:hAnsi="Arial" w:cs="Arial"/>
          <w:b/>
          <w:lang w:val="es-CR"/>
        </w:rPr>
        <w:t>Número de casos y tasa de incidencia</w:t>
      </w:r>
    </w:p>
    <w:p w:rsidR="009B2F15" w:rsidRDefault="009B2F15" w:rsidP="00475BBF">
      <w:pPr>
        <w:spacing w:line="276" w:lineRule="auto"/>
        <w:jc w:val="center"/>
        <w:rPr>
          <w:rFonts w:ascii="Arial" w:hAnsi="Arial" w:cs="Arial"/>
          <w:b/>
          <w:lang w:val="es-CR"/>
        </w:rPr>
      </w:pPr>
      <w:r>
        <w:rPr>
          <w:rFonts w:ascii="Arial" w:hAnsi="Arial" w:cs="Arial"/>
          <w:b/>
          <w:lang w:val="es-CR"/>
        </w:rPr>
        <w:t xml:space="preserve"> de</w:t>
      </w:r>
      <w:r w:rsidR="00475BBF" w:rsidRPr="009B2F15">
        <w:rPr>
          <w:rFonts w:ascii="Arial" w:hAnsi="Arial" w:cs="Arial"/>
          <w:b/>
          <w:lang w:val="es-CR"/>
        </w:rPr>
        <w:t xml:space="preserve"> varicela, 2014</w:t>
      </w:r>
      <w:r>
        <w:rPr>
          <w:rFonts w:ascii="Arial" w:hAnsi="Arial" w:cs="Arial"/>
          <w:b/>
          <w:lang w:val="es-CR"/>
        </w:rPr>
        <w:t>-</w:t>
      </w:r>
      <w:r w:rsidR="00475BBF" w:rsidRPr="009B2F15">
        <w:rPr>
          <w:rFonts w:ascii="Arial" w:hAnsi="Arial" w:cs="Arial"/>
          <w:b/>
          <w:lang w:val="es-CR"/>
        </w:rPr>
        <w:t xml:space="preserve">2018 </w:t>
      </w:r>
    </w:p>
    <w:p w:rsidR="00475BBF" w:rsidRPr="009B2F15" w:rsidRDefault="00475BBF" w:rsidP="00475BBF">
      <w:pPr>
        <w:spacing w:line="276" w:lineRule="auto"/>
        <w:jc w:val="center"/>
        <w:rPr>
          <w:rFonts w:ascii="Arial" w:hAnsi="Arial" w:cs="Arial"/>
          <w:lang w:val="es-CR"/>
        </w:rPr>
      </w:pPr>
      <w:r w:rsidRPr="009B2F15">
        <w:rPr>
          <w:rFonts w:ascii="Arial" w:hAnsi="Arial" w:cs="Arial"/>
          <w:noProof/>
          <w:sz w:val="18"/>
          <w:szCs w:val="18"/>
          <w:lang w:val="es-MX" w:eastAsia="es-MX"/>
        </w:rPr>
        <w:t>(</w:t>
      </w:r>
      <w:r w:rsidR="009B2F15">
        <w:rPr>
          <w:rFonts w:ascii="Arial" w:hAnsi="Arial" w:cs="Arial"/>
          <w:noProof/>
          <w:sz w:val="18"/>
          <w:szCs w:val="18"/>
          <w:lang w:val="es-MX" w:eastAsia="es-MX"/>
        </w:rPr>
        <w:t>t</w:t>
      </w:r>
      <w:r w:rsidRPr="009B2F15">
        <w:rPr>
          <w:rFonts w:ascii="Arial" w:hAnsi="Arial" w:cs="Arial"/>
          <w:noProof/>
          <w:sz w:val="18"/>
          <w:szCs w:val="18"/>
          <w:lang w:val="es-MX" w:eastAsia="es-MX"/>
        </w:rPr>
        <w:t>asa por 100.000 habitantes)</w:t>
      </w:r>
    </w:p>
    <w:p w:rsidR="00475BBF" w:rsidRDefault="00475BBF" w:rsidP="00475BBF">
      <w:pPr>
        <w:spacing w:line="360" w:lineRule="auto"/>
        <w:jc w:val="center"/>
        <w:rPr>
          <w:rFonts w:ascii="Arial" w:hAnsi="Arial" w:cs="Arial"/>
          <w:noProof/>
          <w:lang w:val="es-PA" w:eastAsia="es-PA"/>
        </w:rPr>
      </w:pPr>
      <w:r>
        <w:rPr>
          <w:noProof/>
          <w:lang w:val="es-CR" w:eastAsia="es-CR"/>
        </w:rPr>
        <w:drawing>
          <wp:inline distT="0" distB="0" distL="0" distR="0" wp14:anchorId="5BBA7B90" wp14:editId="1C23313C">
            <wp:extent cx="4841631" cy="1934308"/>
            <wp:effectExtent l="0" t="0" r="16510" b="8890"/>
            <wp:docPr id="29" name="Gráfico 29">
              <a:extLst xmlns:a="http://schemas.openxmlformats.org/drawingml/2006/main">
                <a:ext uri="{FF2B5EF4-FFF2-40B4-BE49-F238E27FC236}">
                  <a16:creationId xmlns:a16="http://schemas.microsoft.com/office/drawing/2014/main" id="{13A4F050-E953-47EB-86CC-29BBF9A7AC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475BBF" w:rsidRPr="009B2F15" w:rsidRDefault="00475BBF" w:rsidP="009B2F15">
      <w:pPr>
        <w:jc w:val="center"/>
        <w:rPr>
          <w:rFonts w:ascii="Arial" w:eastAsia="Times New Roman" w:hAnsi="Arial" w:cs="Arial"/>
          <w:color w:val="000000"/>
          <w:sz w:val="18"/>
          <w:szCs w:val="18"/>
          <w:lang w:val="es-CR"/>
        </w:rPr>
      </w:pPr>
      <w:r w:rsidRPr="009B2F15">
        <w:rPr>
          <w:rFonts w:ascii="Arial" w:hAnsi="Arial" w:cs="Arial"/>
          <w:b/>
          <w:sz w:val="18"/>
          <w:szCs w:val="18"/>
          <w:lang w:val="es-MX"/>
        </w:rPr>
        <w:t>Fuente:</w:t>
      </w:r>
      <w:r w:rsidRPr="009B2F15">
        <w:rPr>
          <w:rFonts w:ascii="Arial" w:hAnsi="Arial" w:cs="Arial"/>
          <w:sz w:val="18"/>
          <w:szCs w:val="18"/>
          <w:lang w:val="es-MX"/>
        </w:rPr>
        <w:t xml:space="preserve"> Dirección de Vigilancia de la Salud. Ministerio de Salud</w:t>
      </w:r>
      <w:r w:rsidR="009B2F15">
        <w:rPr>
          <w:rFonts w:ascii="Arial" w:hAnsi="Arial" w:cs="Arial"/>
          <w:sz w:val="18"/>
          <w:szCs w:val="18"/>
          <w:lang w:val="es-MX"/>
        </w:rPr>
        <w:t>, 2019.</w:t>
      </w:r>
    </w:p>
    <w:p w:rsidR="00475BBF" w:rsidRDefault="00475BBF" w:rsidP="00475BBF">
      <w:pPr>
        <w:spacing w:line="360" w:lineRule="auto"/>
        <w:jc w:val="center"/>
        <w:rPr>
          <w:rFonts w:ascii="Arial" w:hAnsi="Arial" w:cs="Arial"/>
          <w:noProof/>
          <w:lang w:val="es-PA" w:eastAsia="es-PA"/>
        </w:rPr>
      </w:pPr>
    </w:p>
    <w:p w:rsidR="00475BBF" w:rsidRDefault="00475BBF" w:rsidP="00475BBF">
      <w:pPr>
        <w:spacing w:line="276" w:lineRule="auto"/>
        <w:rPr>
          <w:rFonts w:ascii="Arial" w:hAnsi="Arial" w:cs="Arial"/>
          <w:lang w:val="es-CR"/>
        </w:rPr>
      </w:pPr>
    </w:p>
    <w:p w:rsidR="00475BBF" w:rsidRDefault="009B2F15" w:rsidP="009B2F15">
      <w:pPr>
        <w:spacing w:line="276" w:lineRule="auto"/>
        <w:jc w:val="both"/>
        <w:rPr>
          <w:rFonts w:ascii="Arial" w:hAnsi="Arial" w:cs="Arial"/>
          <w:lang w:val="es-CR"/>
        </w:rPr>
      </w:pPr>
      <w:r>
        <w:rPr>
          <w:rFonts w:ascii="Arial" w:hAnsi="Arial" w:cs="Arial"/>
          <w:lang w:val="es-CR"/>
        </w:rPr>
        <w:t>Las provincias más afectadas durante el</w:t>
      </w:r>
      <w:r w:rsidR="00475BBF" w:rsidRPr="006E7C32">
        <w:rPr>
          <w:rFonts w:ascii="Arial" w:hAnsi="Arial" w:cs="Arial"/>
          <w:lang w:val="es-CR"/>
        </w:rPr>
        <w:t xml:space="preserve"> período 2014-201</w:t>
      </w:r>
      <w:r w:rsidR="00475BBF">
        <w:rPr>
          <w:rFonts w:ascii="Arial" w:hAnsi="Arial" w:cs="Arial"/>
          <w:lang w:val="es-CR"/>
        </w:rPr>
        <w:t xml:space="preserve">8, </w:t>
      </w:r>
      <w:r>
        <w:rPr>
          <w:rFonts w:ascii="Arial" w:hAnsi="Arial" w:cs="Arial"/>
          <w:lang w:val="es-CR"/>
        </w:rPr>
        <w:t xml:space="preserve">fueron </w:t>
      </w:r>
      <w:r w:rsidR="00475BBF">
        <w:rPr>
          <w:rFonts w:ascii="Arial" w:hAnsi="Arial" w:cs="Arial"/>
          <w:lang w:val="es-CR"/>
        </w:rPr>
        <w:t xml:space="preserve">San José, Alajuela y Puntarenas. </w:t>
      </w:r>
      <w:r>
        <w:rPr>
          <w:rFonts w:ascii="Arial" w:hAnsi="Arial" w:cs="Arial"/>
          <w:lang w:val="es-CR"/>
        </w:rPr>
        <w:t xml:space="preserve">Cuadro </w:t>
      </w:r>
      <w:r w:rsidR="00BB0F6E">
        <w:rPr>
          <w:rFonts w:ascii="Arial" w:hAnsi="Arial" w:cs="Arial"/>
          <w:lang w:val="es-CR"/>
        </w:rPr>
        <w:t>30</w:t>
      </w:r>
      <w:r>
        <w:rPr>
          <w:rFonts w:ascii="Arial" w:hAnsi="Arial" w:cs="Arial"/>
          <w:lang w:val="es-CR"/>
        </w:rPr>
        <w:t>.</w:t>
      </w:r>
    </w:p>
    <w:p w:rsidR="00475BBF" w:rsidRDefault="00475BBF" w:rsidP="009B2F15">
      <w:pPr>
        <w:spacing w:line="360" w:lineRule="auto"/>
        <w:jc w:val="both"/>
        <w:rPr>
          <w:rFonts w:ascii="Arial" w:hAnsi="Arial" w:cs="Arial"/>
          <w:lang w:val="es-CR"/>
        </w:rPr>
      </w:pPr>
    </w:p>
    <w:p w:rsidR="00475BBF" w:rsidRPr="009B2F15" w:rsidRDefault="009B2F15" w:rsidP="00475BBF">
      <w:pPr>
        <w:spacing w:line="276" w:lineRule="auto"/>
        <w:jc w:val="center"/>
        <w:rPr>
          <w:rFonts w:ascii="Arial" w:hAnsi="Arial" w:cs="Arial"/>
          <w:b/>
          <w:lang w:val="es-CR"/>
        </w:rPr>
      </w:pPr>
      <w:r w:rsidRPr="009B2F15">
        <w:rPr>
          <w:rFonts w:ascii="Arial" w:hAnsi="Arial" w:cs="Arial"/>
          <w:b/>
          <w:lang w:val="es-CR"/>
        </w:rPr>
        <w:t>Cuadro 3</w:t>
      </w:r>
      <w:r w:rsidR="00BB0F6E">
        <w:rPr>
          <w:rFonts w:ascii="Arial" w:hAnsi="Arial" w:cs="Arial"/>
          <w:b/>
          <w:lang w:val="es-CR"/>
        </w:rPr>
        <w:t>0</w:t>
      </w:r>
    </w:p>
    <w:p w:rsidR="009B2F15" w:rsidRDefault="00475BBF" w:rsidP="00475BBF">
      <w:pPr>
        <w:spacing w:line="276" w:lineRule="auto"/>
        <w:jc w:val="center"/>
        <w:rPr>
          <w:rFonts w:ascii="Arial" w:hAnsi="Arial" w:cs="Arial"/>
          <w:b/>
          <w:lang w:val="es-CR"/>
        </w:rPr>
      </w:pPr>
      <w:r w:rsidRPr="009B2F15">
        <w:rPr>
          <w:rFonts w:ascii="Arial" w:hAnsi="Arial" w:cs="Arial"/>
          <w:b/>
          <w:lang w:val="es-CR"/>
        </w:rPr>
        <w:t xml:space="preserve">Costa Rica: Incidencia de casos por varicela, </w:t>
      </w:r>
    </w:p>
    <w:p w:rsidR="00475BBF" w:rsidRPr="009B2F15" w:rsidRDefault="00475BBF" w:rsidP="00475BBF">
      <w:pPr>
        <w:spacing w:line="276" w:lineRule="auto"/>
        <w:jc w:val="center"/>
        <w:rPr>
          <w:rFonts w:ascii="Arial" w:hAnsi="Arial" w:cs="Arial"/>
          <w:b/>
          <w:lang w:val="es-CR"/>
        </w:rPr>
      </w:pPr>
      <w:r w:rsidRPr="009B2F15">
        <w:rPr>
          <w:rFonts w:ascii="Arial" w:hAnsi="Arial" w:cs="Arial"/>
          <w:b/>
          <w:lang w:val="es-CR"/>
        </w:rPr>
        <w:t>según provincia, 2014-2018.</w:t>
      </w:r>
    </w:p>
    <w:p w:rsidR="00475BBF" w:rsidRDefault="00475BBF" w:rsidP="00475BBF">
      <w:pPr>
        <w:spacing w:line="276" w:lineRule="auto"/>
        <w:jc w:val="center"/>
        <w:rPr>
          <w:rFonts w:ascii="Arial" w:hAnsi="Arial" w:cs="Arial"/>
          <w:sz w:val="20"/>
          <w:szCs w:val="20"/>
          <w:lang w:val="es-CR"/>
        </w:rPr>
      </w:pPr>
      <w:r w:rsidRPr="00F536AD">
        <w:rPr>
          <w:rFonts w:ascii="Arial" w:hAnsi="Arial" w:cs="Arial"/>
          <w:sz w:val="20"/>
          <w:szCs w:val="20"/>
          <w:lang w:val="es-CR"/>
        </w:rPr>
        <w:t>(</w:t>
      </w:r>
      <w:r w:rsidR="009B2F15">
        <w:rPr>
          <w:rFonts w:ascii="Arial" w:hAnsi="Arial" w:cs="Arial"/>
          <w:sz w:val="20"/>
          <w:szCs w:val="20"/>
          <w:lang w:val="es-CR"/>
        </w:rPr>
        <w:t>t</w:t>
      </w:r>
      <w:r w:rsidRPr="00F536AD">
        <w:rPr>
          <w:rFonts w:ascii="Arial" w:hAnsi="Arial" w:cs="Arial"/>
          <w:sz w:val="20"/>
          <w:szCs w:val="20"/>
          <w:lang w:val="es-CR"/>
        </w:rPr>
        <w:t>asa por 100.000 habitantes)</w:t>
      </w:r>
    </w:p>
    <w:p w:rsidR="00475BBF" w:rsidRPr="00F536AD" w:rsidRDefault="00475BBF" w:rsidP="00475BBF">
      <w:pPr>
        <w:rPr>
          <w:rFonts w:ascii="Arial" w:hAnsi="Arial" w:cs="Arial"/>
          <w:sz w:val="20"/>
          <w:szCs w:val="20"/>
          <w:lang w:val="es-CR"/>
        </w:rPr>
      </w:pPr>
    </w:p>
    <w:tbl>
      <w:tblPr>
        <w:tblW w:w="9214" w:type="dxa"/>
        <w:jc w:val="center"/>
        <w:tblLook w:val="04A0" w:firstRow="1" w:lastRow="0" w:firstColumn="1" w:lastColumn="0" w:noHBand="0" w:noVBand="1"/>
      </w:tblPr>
      <w:tblGrid>
        <w:gridCol w:w="1732"/>
        <w:gridCol w:w="717"/>
        <w:gridCol w:w="767"/>
        <w:gridCol w:w="717"/>
        <w:gridCol w:w="767"/>
        <w:gridCol w:w="717"/>
        <w:gridCol w:w="718"/>
        <w:gridCol w:w="717"/>
        <w:gridCol w:w="718"/>
        <w:gridCol w:w="717"/>
        <w:gridCol w:w="982"/>
      </w:tblGrid>
      <w:tr w:rsidR="00475BBF" w:rsidRPr="006D48B5" w:rsidTr="009B2F15">
        <w:trPr>
          <w:trHeight w:val="243"/>
          <w:jc w:val="center"/>
        </w:trPr>
        <w:tc>
          <w:tcPr>
            <w:tcW w:w="1732" w:type="dxa"/>
            <w:vMerge w:val="restart"/>
            <w:tcBorders>
              <w:top w:val="single" w:sz="4" w:space="0" w:color="auto"/>
              <w:left w:val="nil"/>
              <w:bottom w:val="single" w:sz="4" w:space="0" w:color="000000"/>
              <w:right w:val="nil"/>
            </w:tcBorders>
            <w:shd w:val="clear" w:color="auto" w:fill="D5DCE4" w:themeFill="text2" w:themeFillTint="33"/>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P</w:t>
            </w:r>
            <w:r w:rsidR="00B1553C" w:rsidRPr="006D48B5">
              <w:rPr>
                <w:rFonts w:ascii="Arial" w:eastAsia="Times New Roman" w:hAnsi="Arial" w:cs="Arial"/>
                <w:b/>
                <w:bCs/>
                <w:color w:val="000000"/>
                <w:sz w:val="20"/>
                <w:szCs w:val="20"/>
              </w:rPr>
              <w:t xml:space="preserve">rovincia </w:t>
            </w:r>
          </w:p>
        </w:tc>
        <w:tc>
          <w:tcPr>
            <w:tcW w:w="1473" w:type="dxa"/>
            <w:gridSpan w:val="2"/>
            <w:tcBorders>
              <w:top w:val="single" w:sz="4" w:space="0" w:color="auto"/>
              <w:left w:val="nil"/>
              <w:bottom w:val="nil"/>
              <w:right w:val="nil"/>
            </w:tcBorders>
            <w:shd w:val="clear" w:color="auto" w:fill="D5DCE4" w:themeFill="text2" w:themeFillTint="33"/>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2014</w:t>
            </w:r>
          </w:p>
        </w:tc>
        <w:tc>
          <w:tcPr>
            <w:tcW w:w="1473" w:type="dxa"/>
            <w:gridSpan w:val="2"/>
            <w:tcBorders>
              <w:top w:val="single" w:sz="4" w:space="0" w:color="auto"/>
              <w:left w:val="nil"/>
              <w:bottom w:val="nil"/>
              <w:right w:val="nil"/>
            </w:tcBorders>
            <w:shd w:val="clear" w:color="auto" w:fill="D5DCE4" w:themeFill="text2" w:themeFillTint="33"/>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2015</w:t>
            </w:r>
          </w:p>
        </w:tc>
        <w:tc>
          <w:tcPr>
            <w:tcW w:w="1424" w:type="dxa"/>
            <w:gridSpan w:val="2"/>
            <w:tcBorders>
              <w:top w:val="single" w:sz="4" w:space="0" w:color="auto"/>
              <w:left w:val="nil"/>
              <w:bottom w:val="nil"/>
              <w:right w:val="nil"/>
            </w:tcBorders>
            <w:shd w:val="clear" w:color="auto" w:fill="D5DCE4" w:themeFill="text2" w:themeFillTint="33"/>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2016</w:t>
            </w:r>
          </w:p>
        </w:tc>
        <w:tc>
          <w:tcPr>
            <w:tcW w:w="1424" w:type="dxa"/>
            <w:gridSpan w:val="2"/>
            <w:tcBorders>
              <w:top w:val="single" w:sz="4" w:space="0" w:color="auto"/>
              <w:left w:val="nil"/>
              <w:bottom w:val="nil"/>
              <w:right w:val="nil"/>
            </w:tcBorders>
            <w:shd w:val="clear" w:color="auto" w:fill="D5DCE4" w:themeFill="text2" w:themeFillTint="33"/>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2017</w:t>
            </w:r>
          </w:p>
        </w:tc>
        <w:tc>
          <w:tcPr>
            <w:tcW w:w="1688" w:type="dxa"/>
            <w:gridSpan w:val="2"/>
            <w:tcBorders>
              <w:top w:val="single" w:sz="4" w:space="0" w:color="auto"/>
              <w:left w:val="nil"/>
              <w:bottom w:val="nil"/>
              <w:right w:val="nil"/>
            </w:tcBorders>
            <w:shd w:val="clear" w:color="auto" w:fill="D5DCE4" w:themeFill="text2" w:themeFillTint="33"/>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2018</w:t>
            </w:r>
          </w:p>
        </w:tc>
      </w:tr>
      <w:tr w:rsidR="00475BBF" w:rsidRPr="006D48B5" w:rsidTr="009B2F15">
        <w:trPr>
          <w:trHeight w:val="464"/>
          <w:jc w:val="center"/>
        </w:trPr>
        <w:tc>
          <w:tcPr>
            <w:tcW w:w="1732" w:type="dxa"/>
            <w:vMerge/>
            <w:tcBorders>
              <w:top w:val="single" w:sz="4" w:space="0" w:color="auto"/>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06"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Nº</w:t>
            </w:r>
          </w:p>
        </w:tc>
        <w:tc>
          <w:tcPr>
            <w:tcW w:w="767"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Tasa</w:t>
            </w:r>
          </w:p>
        </w:tc>
        <w:tc>
          <w:tcPr>
            <w:tcW w:w="706"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Nº</w:t>
            </w:r>
          </w:p>
        </w:tc>
        <w:tc>
          <w:tcPr>
            <w:tcW w:w="767"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Tasa</w:t>
            </w:r>
          </w:p>
        </w:tc>
        <w:tc>
          <w:tcPr>
            <w:tcW w:w="706"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Nº</w:t>
            </w:r>
          </w:p>
        </w:tc>
        <w:tc>
          <w:tcPr>
            <w:tcW w:w="718"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Tasa</w:t>
            </w:r>
          </w:p>
        </w:tc>
        <w:tc>
          <w:tcPr>
            <w:tcW w:w="706"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Nº</w:t>
            </w:r>
          </w:p>
        </w:tc>
        <w:tc>
          <w:tcPr>
            <w:tcW w:w="718"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Tasa</w:t>
            </w:r>
          </w:p>
        </w:tc>
        <w:tc>
          <w:tcPr>
            <w:tcW w:w="706"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Nº</w:t>
            </w:r>
          </w:p>
        </w:tc>
        <w:tc>
          <w:tcPr>
            <w:tcW w:w="982" w:type="dxa"/>
            <w:vMerge w:val="restart"/>
            <w:tcBorders>
              <w:top w:val="nil"/>
              <w:left w:val="nil"/>
              <w:bottom w:val="single" w:sz="4" w:space="0" w:color="000000"/>
              <w:right w:val="nil"/>
            </w:tcBorders>
            <w:shd w:val="clear" w:color="auto" w:fill="D5DCE4" w:themeFill="text2" w:themeFillTint="33"/>
            <w:noWrap/>
            <w:vAlign w:val="center"/>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Tasa</w:t>
            </w:r>
          </w:p>
        </w:tc>
      </w:tr>
      <w:tr w:rsidR="00475BBF" w:rsidRPr="006D48B5" w:rsidTr="00B1553C">
        <w:trPr>
          <w:trHeight w:val="464"/>
          <w:jc w:val="center"/>
        </w:trPr>
        <w:tc>
          <w:tcPr>
            <w:tcW w:w="1732" w:type="dxa"/>
            <w:vMerge/>
            <w:tcBorders>
              <w:top w:val="single" w:sz="4" w:space="0" w:color="auto"/>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06"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67"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06"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67"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06"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18"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06"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18"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706"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c>
          <w:tcPr>
            <w:tcW w:w="982" w:type="dxa"/>
            <w:vMerge/>
            <w:tcBorders>
              <w:top w:val="nil"/>
              <w:left w:val="nil"/>
              <w:bottom w:val="single" w:sz="4" w:space="0" w:color="000000"/>
              <w:right w:val="nil"/>
            </w:tcBorders>
            <w:shd w:val="clear" w:color="auto" w:fill="D5DCE4" w:themeFill="text2" w:themeFillTint="33"/>
            <w:vAlign w:val="center"/>
            <w:hideMark/>
          </w:tcPr>
          <w:p w:rsidR="00475BBF" w:rsidRPr="006D48B5" w:rsidRDefault="00475BBF" w:rsidP="00475BBF">
            <w:pPr>
              <w:rPr>
                <w:rFonts w:ascii="Arial" w:eastAsia="Times New Roman" w:hAnsi="Arial" w:cs="Arial"/>
                <w:b/>
                <w:bCs/>
                <w:color w:val="000000"/>
                <w:sz w:val="20"/>
                <w:szCs w:val="20"/>
              </w:rPr>
            </w:pPr>
          </w:p>
        </w:tc>
      </w:tr>
      <w:tr w:rsidR="00475BBF" w:rsidRPr="006D48B5" w:rsidTr="00B1553C">
        <w:trPr>
          <w:trHeight w:val="413"/>
          <w:jc w:val="center"/>
        </w:trPr>
        <w:tc>
          <w:tcPr>
            <w:tcW w:w="1732" w:type="dxa"/>
            <w:tcBorders>
              <w:top w:val="nil"/>
              <w:left w:val="nil"/>
              <w:bottom w:val="single" w:sz="4" w:space="0" w:color="auto"/>
              <w:right w:val="nil"/>
            </w:tcBorders>
            <w:shd w:val="clear" w:color="000000" w:fill="FFFFFF"/>
            <w:noWrap/>
            <w:vAlign w:val="bottom"/>
            <w:hideMark/>
          </w:tcPr>
          <w:p w:rsidR="00475BBF" w:rsidRPr="006D48B5" w:rsidRDefault="00475BBF" w:rsidP="00B1553C">
            <w:pPr>
              <w:rPr>
                <w:rFonts w:ascii="Arial" w:eastAsia="Times New Roman" w:hAnsi="Arial" w:cs="Arial"/>
                <w:b/>
                <w:color w:val="000000"/>
                <w:sz w:val="20"/>
                <w:szCs w:val="20"/>
              </w:rPr>
            </w:pPr>
            <w:r w:rsidRPr="006D48B5">
              <w:rPr>
                <w:rFonts w:ascii="Arial" w:eastAsia="Times New Roman" w:hAnsi="Arial" w:cs="Arial"/>
                <w:b/>
                <w:color w:val="000000"/>
                <w:sz w:val="20"/>
                <w:szCs w:val="20"/>
              </w:rPr>
              <w:t xml:space="preserve">Total </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4</w:t>
            </w:r>
            <w:r w:rsidR="00B1553C" w:rsidRPr="006D48B5">
              <w:rPr>
                <w:rFonts w:ascii="Arial" w:eastAsia="Times New Roman" w:hAnsi="Arial" w:cs="Arial"/>
                <w:b/>
                <w:bCs/>
                <w:color w:val="000000"/>
                <w:sz w:val="20"/>
                <w:szCs w:val="20"/>
              </w:rPr>
              <w:t>.</w:t>
            </w:r>
            <w:r w:rsidRPr="006D48B5">
              <w:rPr>
                <w:rFonts w:ascii="Arial" w:eastAsia="Times New Roman" w:hAnsi="Arial" w:cs="Arial"/>
                <w:b/>
                <w:bCs/>
                <w:color w:val="000000"/>
                <w:sz w:val="20"/>
                <w:szCs w:val="20"/>
              </w:rPr>
              <w:t>980</w:t>
            </w:r>
          </w:p>
        </w:tc>
        <w:tc>
          <w:tcPr>
            <w:tcW w:w="767"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104,3</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3</w:t>
            </w:r>
            <w:r w:rsidR="00B1553C" w:rsidRPr="006D48B5">
              <w:rPr>
                <w:rFonts w:ascii="Arial" w:eastAsia="Times New Roman" w:hAnsi="Arial" w:cs="Arial"/>
                <w:b/>
                <w:bCs/>
                <w:color w:val="000000"/>
                <w:sz w:val="20"/>
                <w:szCs w:val="20"/>
              </w:rPr>
              <w:t>.</w:t>
            </w:r>
            <w:r w:rsidRPr="006D48B5">
              <w:rPr>
                <w:rFonts w:ascii="Arial" w:eastAsia="Times New Roman" w:hAnsi="Arial" w:cs="Arial"/>
                <w:b/>
                <w:bCs/>
                <w:color w:val="000000"/>
                <w:sz w:val="20"/>
                <w:szCs w:val="20"/>
              </w:rPr>
              <w:t>369</w:t>
            </w:r>
          </w:p>
        </w:tc>
        <w:tc>
          <w:tcPr>
            <w:tcW w:w="767"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69,7</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3</w:t>
            </w:r>
            <w:r w:rsidR="00B1553C" w:rsidRPr="006D48B5">
              <w:rPr>
                <w:rFonts w:ascii="Arial" w:eastAsia="Times New Roman" w:hAnsi="Arial" w:cs="Arial"/>
                <w:b/>
                <w:bCs/>
                <w:color w:val="000000"/>
                <w:sz w:val="20"/>
                <w:szCs w:val="20"/>
              </w:rPr>
              <w:t>.</w:t>
            </w:r>
            <w:r w:rsidRPr="006D48B5">
              <w:rPr>
                <w:rFonts w:ascii="Arial" w:eastAsia="Times New Roman" w:hAnsi="Arial" w:cs="Arial"/>
                <w:b/>
                <w:bCs/>
                <w:color w:val="000000"/>
                <w:sz w:val="20"/>
                <w:szCs w:val="20"/>
              </w:rPr>
              <w:t>325</w:t>
            </w:r>
          </w:p>
        </w:tc>
        <w:tc>
          <w:tcPr>
            <w:tcW w:w="718"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68,0</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2</w:t>
            </w:r>
            <w:r w:rsidR="00B1553C" w:rsidRPr="006D48B5">
              <w:rPr>
                <w:rFonts w:ascii="Arial" w:eastAsia="Times New Roman" w:hAnsi="Arial" w:cs="Arial"/>
                <w:b/>
                <w:bCs/>
                <w:color w:val="000000"/>
                <w:sz w:val="20"/>
                <w:szCs w:val="20"/>
              </w:rPr>
              <w:t>.</w:t>
            </w:r>
            <w:r w:rsidRPr="006D48B5">
              <w:rPr>
                <w:rFonts w:ascii="Arial" w:eastAsia="Times New Roman" w:hAnsi="Arial" w:cs="Arial"/>
                <w:b/>
                <w:bCs/>
                <w:color w:val="000000"/>
                <w:sz w:val="20"/>
                <w:szCs w:val="20"/>
              </w:rPr>
              <w:t>450</w:t>
            </w:r>
          </w:p>
        </w:tc>
        <w:tc>
          <w:tcPr>
            <w:tcW w:w="718"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49,5</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3</w:t>
            </w:r>
            <w:r w:rsidR="00B1553C" w:rsidRPr="006D48B5">
              <w:rPr>
                <w:rFonts w:ascii="Arial" w:eastAsia="Times New Roman" w:hAnsi="Arial" w:cs="Arial"/>
                <w:b/>
                <w:bCs/>
                <w:color w:val="000000"/>
                <w:sz w:val="20"/>
                <w:szCs w:val="20"/>
              </w:rPr>
              <w:t>.</w:t>
            </w:r>
            <w:r w:rsidRPr="006D48B5">
              <w:rPr>
                <w:rFonts w:ascii="Arial" w:eastAsia="Times New Roman" w:hAnsi="Arial" w:cs="Arial"/>
                <w:b/>
                <w:bCs/>
                <w:color w:val="000000"/>
                <w:sz w:val="20"/>
                <w:szCs w:val="20"/>
              </w:rPr>
              <w:t>587</w:t>
            </w:r>
          </w:p>
        </w:tc>
        <w:tc>
          <w:tcPr>
            <w:tcW w:w="982"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b/>
                <w:bCs/>
                <w:color w:val="000000"/>
                <w:sz w:val="20"/>
                <w:szCs w:val="20"/>
              </w:rPr>
            </w:pPr>
            <w:r w:rsidRPr="006D48B5">
              <w:rPr>
                <w:rFonts w:ascii="Arial" w:eastAsia="Times New Roman" w:hAnsi="Arial" w:cs="Arial"/>
                <w:b/>
                <w:bCs/>
                <w:color w:val="000000"/>
                <w:sz w:val="20"/>
                <w:szCs w:val="20"/>
              </w:rPr>
              <w:t>71,7</w:t>
            </w:r>
          </w:p>
        </w:tc>
      </w:tr>
      <w:tr w:rsidR="00475BBF" w:rsidRPr="006D48B5" w:rsidTr="00B1553C">
        <w:trPr>
          <w:trHeight w:val="420"/>
          <w:jc w:val="center"/>
        </w:trPr>
        <w:tc>
          <w:tcPr>
            <w:tcW w:w="1732" w:type="dxa"/>
            <w:tcBorders>
              <w:top w:val="nil"/>
              <w:left w:val="nil"/>
              <w:bottom w:val="nil"/>
              <w:right w:val="nil"/>
            </w:tcBorders>
            <w:shd w:val="clear" w:color="000000" w:fill="FFFFFF"/>
            <w:noWrap/>
            <w:vAlign w:val="bottom"/>
            <w:hideMark/>
          </w:tcPr>
          <w:p w:rsidR="00475BBF" w:rsidRPr="006D48B5" w:rsidRDefault="00475BBF" w:rsidP="00475BBF">
            <w:pPr>
              <w:rPr>
                <w:rFonts w:ascii="Arial" w:eastAsia="Times New Roman" w:hAnsi="Arial" w:cs="Arial"/>
                <w:color w:val="000000"/>
                <w:sz w:val="20"/>
                <w:szCs w:val="20"/>
              </w:rPr>
            </w:pPr>
            <w:r w:rsidRPr="006D48B5">
              <w:rPr>
                <w:rFonts w:ascii="Arial" w:eastAsia="Times New Roman" w:hAnsi="Arial" w:cs="Arial"/>
                <w:color w:val="000000"/>
                <w:sz w:val="20"/>
                <w:szCs w:val="20"/>
              </w:rPr>
              <w:t>San José</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w:t>
            </w:r>
            <w:r w:rsidR="00B1553C" w:rsidRPr="006D48B5">
              <w:rPr>
                <w:rFonts w:ascii="Arial" w:eastAsia="Times New Roman" w:hAnsi="Arial" w:cs="Arial"/>
                <w:color w:val="000000"/>
                <w:sz w:val="20"/>
                <w:szCs w:val="20"/>
              </w:rPr>
              <w:t>.</w:t>
            </w:r>
            <w:r w:rsidRPr="006D48B5">
              <w:rPr>
                <w:rFonts w:ascii="Arial" w:eastAsia="Times New Roman" w:hAnsi="Arial" w:cs="Arial"/>
                <w:color w:val="000000"/>
                <w:sz w:val="20"/>
                <w:szCs w:val="20"/>
              </w:rPr>
              <w:t>773</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112,4</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w:t>
            </w:r>
            <w:r w:rsidR="00B1553C" w:rsidRPr="006D48B5">
              <w:rPr>
                <w:rFonts w:ascii="Arial" w:eastAsia="Times New Roman" w:hAnsi="Arial" w:cs="Arial"/>
                <w:color w:val="000000"/>
                <w:sz w:val="20"/>
                <w:szCs w:val="20"/>
              </w:rPr>
              <w:t>.</w:t>
            </w:r>
            <w:r w:rsidRPr="006D48B5">
              <w:rPr>
                <w:rFonts w:ascii="Arial" w:eastAsia="Times New Roman" w:hAnsi="Arial" w:cs="Arial"/>
                <w:color w:val="000000"/>
                <w:sz w:val="20"/>
                <w:szCs w:val="20"/>
              </w:rPr>
              <w:t>362</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85,5</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w:t>
            </w:r>
            <w:r w:rsidR="00B1553C" w:rsidRPr="006D48B5">
              <w:rPr>
                <w:rFonts w:ascii="Arial" w:eastAsia="Times New Roman" w:hAnsi="Arial" w:cs="Arial"/>
                <w:color w:val="000000"/>
                <w:sz w:val="20"/>
                <w:szCs w:val="20"/>
              </w:rPr>
              <w:t>.</w:t>
            </w:r>
            <w:r w:rsidRPr="006D48B5">
              <w:rPr>
                <w:rFonts w:ascii="Arial" w:eastAsia="Times New Roman" w:hAnsi="Arial" w:cs="Arial"/>
                <w:color w:val="000000"/>
                <w:sz w:val="20"/>
                <w:szCs w:val="20"/>
              </w:rPr>
              <w:t>127</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70,1</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850</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52,4</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w:t>
            </w:r>
            <w:r w:rsidR="00B1553C" w:rsidRPr="006D48B5">
              <w:rPr>
                <w:rFonts w:ascii="Arial" w:eastAsia="Times New Roman" w:hAnsi="Arial" w:cs="Arial"/>
                <w:color w:val="000000"/>
                <w:sz w:val="20"/>
                <w:szCs w:val="20"/>
              </w:rPr>
              <w:t>.</w:t>
            </w:r>
            <w:r w:rsidRPr="006D48B5">
              <w:rPr>
                <w:rFonts w:ascii="Arial" w:eastAsia="Times New Roman" w:hAnsi="Arial" w:cs="Arial"/>
                <w:color w:val="000000"/>
                <w:sz w:val="20"/>
                <w:szCs w:val="20"/>
              </w:rPr>
              <w:t>288</w:t>
            </w:r>
          </w:p>
        </w:tc>
        <w:tc>
          <w:tcPr>
            <w:tcW w:w="982"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78,8</w:t>
            </w:r>
          </w:p>
        </w:tc>
      </w:tr>
      <w:tr w:rsidR="00475BBF" w:rsidRPr="006D48B5" w:rsidTr="009B2F15">
        <w:trPr>
          <w:trHeight w:val="243"/>
          <w:jc w:val="center"/>
        </w:trPr>
        <w:tc>
          <w:tcPr>
            <w:tcW w:w="1732" w:type="dxa"/>
            <w:tcBorders>
              <w:top w:val="nil"/>
              <w:left w:val="nil"/>
              <w:bottom w:val="nil"/>
              <w:right w:val="nil"/>
            </w:tcBorders>
            <w:shd w:val="clear" w:color="000000" w:fill="FFFFFF"/>
            <w:noWrap/>
            <w:vAlign w:val="bottom"/>
            <w:hideMark/>
          </w:tcPr>
          <w:p w:rsidR="00475BBF" w:rsidRPr="006D48B5" w:rsidRDefault="00475BBF" w:rsidP="00475BBF">
            <w:pPr>
              <w:rPr>
                <w:rFonts w:ascii="Arial" w:eastAsia="Times New Roman" w:hAnsi="Arial" w:cs="Arial"/>
                <w:color w:val="000000"/>
                <w:sz w:val="20"/>
                <w:szCs w:val="20"/>
              </w:rPr>
            </w:pPr>
            <w:r w:rsidRPr="006D48B5">
              <w:rPr>
                <w:rFonts w:ascii="Arial" w:eastAsia="Times New Roman" w:hAnsi="Arial" w:cs="Arial"/>
                <w:color w:val="000000"/>
                <w:sz w:val="20"/>
                <w:szCs w:val="20"/>
              </w:rPr>
              <w:t>Alajuela</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937</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99,0</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543</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56,5</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581</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59,6</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417</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42,2</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674</w:t>
            </w:r>
          </w:p>
        </w:tc>
        <w:tc>
          <w:tcPr>
            <w:tcW w:w="982"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67,2</w:t>
            </w:r>
          </w:p>
        </w:tc>
      </w:tr>
      <w:tr w:rsidR="00475BBF" w:rsidRPr="006D48B5" w:rsidTr="009B2F15">
        <w:trPr>
          <w:trHeight w:val="243"/>
          <w:jc w:val="center"/>
        </w:trPr>
        <w:tc>
          <w:tcPr>
            <w:tcW w:w="1732" w:type="dxa"/>
            <w:tcBorders>
              <w:top w:val="nil"/>
              <w:left w:val="nil"/>
              <w:bottom w:val="nil"/>
              <w:right w:val="nil"/>
            </w:tcBorders>
            <w:shd w:val="clear" w:color="000000" w:fill="FFFFFF"/>
            <w:noWrap/>
            <w:vAlign w:val="bottom"/>
            <w:hideMark/>
          </w:tcPr>
          <w:p w:rsidR="00475BBF" w:rsidRPr="006D48B5" w:rsidRDefault="00475BBF" w:rsidP="00475BBF">
            <w:pPr>
              <w:rPr>
                <w:rFonts w:ascii="Arial" w:eastAsia="Times New Roman" w:hAnsi="Arial" w:cs="Arial"/>
                <w:color w:val="000000"/>
                <w:sz w:val="20"/>
                <w:szCs w:val="20"/>
              </w:rPr>
            </w:pPr>
            <w:r w:rsidRPr="006D48B5">
              <w:rPr>
                <w:rFonts w:ascii="Arial" w:eastAsia="Times New Roman" w:hAnsi="Arial" w:cs="Arial"/>
                <w:color w:val="000000"/>
                <w:sz w:val="20"/>
                <w:szCs w:val="20"/>
              </w:rPr>
              <w:t>Cartago</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337</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65,2</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228</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43,7</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338</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64,3</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172</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32,5</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284</w:t>
            </w:r>
          </w:p>
        </w:tc>
        <w:tc>
          <w:tcPr>
            <w:tcW w:w="982"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53,2</w:t>
            </w:r>
          </w:p>
        </w:tc>
      </w:tr>
      <w:tr w:rsidR="00475BBF" w:rsidRPr="006D48B5" w:rsidTr="009B2F15">
        <w:trPr>
          <w:trHeight w:val="243"/>
          <w:jc w:val="center"/>
        </w:trPr>
        <w:tc>
          <w:tcPr>
            <w:tcW w:w="1732" w:type="dxa"/>
            <w:tcBorders>
              <w:top w:val="nil"/>
              <w:left w:val="nil"/>
              <w:bottom w:val="nil"/>
              <w:right w:val="nil"/>
            </w:tcBorders>
            <w:shd w:val="clear" w:color="000000" w:fill="FFFFFF"/>
            <w:noWrap/>
            <w:vAlign w:val="bottom"/>
            <w:hideMark/>
          </w:tcPr>
          <w:p w:rsidR="00475BBF" w:rsidRPr="006D48B5" w:rsidRDefault="00475BBF" w:rsidP="00475BBF">
            <w:pPr>
              <w:rPr>
                <w:rFonts w:ascii="Arial" w:eastAsia="Times New Roman" w:hAnsi="Arial" w:cs="Arial"/>
                <w:color w:val="000000"/>
                <w:sz w:val="20"/>
                <w:szCs w:val="20"/>
              </w:rPr>
            </w:pPr>
            <w:r w:rsidRPr="006D48B5">
              <w:rPr>
                <w:rFonts w:ascii="Arial" w:eastAsia="Times New Roman" w:hAnsi="Arial" w:cs="Arial"/>
                <w:color w:val="000000"/>
                <w:sz w:val="20"/>
                <w:szCs w:val="20"/>
              </w:rPr>
              <w:t>Heredia</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362</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74,9</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222</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45,3</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259</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52,0</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209</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41,4</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261</w:t>
            </w:r>
          </w:p>
        </w:tc>
        <w:tc>
          <w:tcPr>
            <w:tcW w:w="982"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51,0</w:t>
            </w:r>
          </w:p>
        </w:tc>
      </w:tr>
      <w:tr w:rsidR="00475BBF" w:rsidRPr="006D48B5" w:rsidTr="009B2F15">
        <w:trPr>
          <w:trHeight w:val="243"/>
          <w:jc w:val="center"/>
        </w:trPr>
        <w:tc>
          <w:tcPr>
            <w:tcW w:w="1732" w:type="dxa"/>
            <w:tcBorders>
              <w:top w:val="nil"/>
              <w:left w:val="nil"/>
              <w:bottom w:val="nil"/>
              <w:right w:val="nil"/>
            </w:tcBorders>
            <w:shd w:val="clear" w:color="000000" w:fill="FFFFFF"/>
            <w:noWrap/>
            <w:vAlign w:val="bottom"/>
            <w:hideMark/>
          </w:tcPr>
          <w:p w:rsidR="00475BBF" w:rsidRPr="006D48B5" w:rsidRDefault="00475BBF" w:rsidP="00475BBF">
            <w:pPr>
              <w:rPr>
                <w:rFonts w:ascii="Arial" w:eastAsia="Times New Roman" w:hAnsi="Arial" w:cs="Arial"/>
                <w:color w:val="000000"/>
                <w:sz w:val="20"/>
                <w:szCs w:val="20"/>
              </w:rPr>
            </w:pPr>
            <w:r w:rsidRPr="006D48B5">
              <w:rPr>
                <w:rFonts w:ascii="Arial" w:eastAsia="Times New Roman" w:hAnsi="Arial" w:cs="Arial"/>
                <w:color w:val="000000"/>
                <w:sz w:val="20"/>
                <w:szCs w:val="20"/>
              </w:rPr>
              <w:t>Guanacaste</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529</w:t>
            </w:r>
          </w:p>
        </w:tc>
        <w:tc>
          <w:tcPr>
            <w:tcW w:w="767" w:type="dxa"/>
            <w:tcBorders>
              <w:top w:val="nil"/>
              <w:left w:val="nil"/>
              <w:bottom w:val="nil"/>
              <w:right w:val="nil"/>
            </w:tcBorders>
            <w:shd w:val="clear" w:color="auto" w:fill="auto"/>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147,0</w:t>
            </w:r>
          </w:p>
        </w:tc>
        <w:tc>
          <w:tcPr>
            <w:tcW w:w="706" w:type="dxa"/>
            <w:tcBorders>
              <w:top w:val="nil"/>
              <w:left w:val="nil"/>
              <w:bottom w:val="nil"/>
              <w:right w:val="nil"/>
            </w:tcBorders>
            <w:shd w:val="clear" w:color="auto" w:fill="auto"/>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250</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68,4</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207</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55,7</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213</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56,5</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211</w:t>
            </w:r>
          </w:p>
        </w:tc>
        <w:tc>
          <w:tcPr>
            <w:tcW w:w="982"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55,1</w:t>
            </w:r>
          </w:p>
        </w:tc>
      </w:tr>
      <w:tr w:rsidR="00475BBF" w:rsidRPr="006D48B5" w:rsidTr="009B2F15">
        <w:trPr>
          <w:trHeight w:val="243"/>
          <w:jc w:val="center"/>
        </w:trPr>
        <w:tc>
          <w:tcPr>
            <w:tcW w:w="1732" w:type="dxa"/>
            <w:tcBorders>
              <w:top w:val="nil"/>
              <w:left w:val="nil"/>
              <w:bottom w:val="nil"/>
              <w:right w:val="nil"/>
            </w:tcBorders>
            <w:shd w:val="clear" w:color="000000" w:fill="FFFFFF"/>
            <w:noWrap/>
            <w:vAlign w:val="bottom"/>
            <w:hideMark/>
          </w:tcPr>
          <w:p w:rsidR="00475BBF" w:rsidRPr="006D48B5" w:rsidRDefault="00475BBF" w:rsidP="00475BBF">
            <w:pPr>
              <w:rPr>
                <w:rFonts w:ascii="Arial" w:eastAsia="Times New Roman" w:hAnsi="Arial" w:cs="Arial"/>
                <w:color w:val="000000"/>
                <w:sz w:val="20"/>
                <w:szCs w:val="20"/>
              </w:rPr>
            </w:pPr>
            <w:r w:rsidRPr="006D48B5">
              <w:rPr>
                <w:rFonts w:ascii="Arial" w:eastAsia="Times New Roman" w:hAnsi="Arial" w:cs="Arial"/>
                <w:color w:val="000000"/>
                <w:sz w:val="20"/>
                <w:szCs w:val="20"/>
              </w:rPr>
              <w:t>Puntarenas</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607</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131,5</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503</w:t>
            </w:r>
          </w:p>
        </w:tc>
        <w:tc>
          <w:tcPr>
            <w:tcW w:w="767"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107,5</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431</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90,9</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279</w:t>
            </w:r>
          </w:p>
        </w:tc>
        <w:tc>
          <w:tcPr>
            <w:tcW w:w="718"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58,1</w:t>
            </w:r>
          </w:p>
        </w:tc>
        <w:tc>
          <w:tcPr>
            <w:tcW w:w="706"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447</w:t>
            </w:r>
          </w:p>
        </w:tc>
        <w:tc>
          <w:tcPr>
            <w:tcW w:w="982" w:type="dxa"/>
            <w:tcBorders>
              <w:top w:val="nil"/>
              <w:left w:val="nil"/>
              <w:bottom w:val="nil"/>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91,8</w:t>
            </w:r>
          </w:p>
        </w:tc>
      </w:tr>
      <w:tr w:rsidR="00475BBF" w:rsidRPr="006D48B5" w:rsidTr="009B2F15">
        <w:trPr>
          <w:trHeight w:val="243"/>
          <w:jc w:val="center"/>
        </w:trPr>
        <w:tc>
          <w:tcPr>
            <w:tcW w:w="1732" w:type="dxa"/>
            <w:tcBorders>
              <w:top w:val="nil"/>
              <w:left w:val="nil"/>
              <w:bottom w:val="single" w:sz="4" w:space="0" w:color="auto"/>
              <w:right w:val="nil"/>
            </w:tcBorders>
            <w:shd w:val="clear" w:color="000000" w:fill="FFFFFF"/>
            <w:noWrap/>
            <w:vAlign w:val="bottom"/>
            <w:hideMark/>
          </w:tcPr>
          <w:p w:rsidR="00475BBF" w:rsidRPr="006D48B5" w:rsidRDefault="00475BBF" w:rsidP="00475BBF">
            <w:pPr>
              <w:rPr>
                <w:rFonts w:ascii="Arial" w:eastAsia="Times New Roman" w:hAnsi="Arial" w:cs="Arial"/>
                <w:color w:val="000000"/>
                <w:sz w:val="20"/>
                <w:szCs w:val="20"/>
              </w:rPr>
            </w:pPr>
            <w:r w:rsidRPr="006D48B5">
              <w:rPr>
                <w:rFonts w:ascii="Arial" w:eastAsia="Times New Roman" w:hAnsi="Arial" w:cs="Arial"/>
                <w:color w:val="000000"/>
                <w:sz w:val="20"/>
                <w:szCs w:val="20"/>
              </w:rPr>
              <w:t>Limón</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435</w:t>
            </w:r>
          </w:p>
        </w:tc>
        <w:tc>
          <w:tcPr>
            <w:tcW w:w="767"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101,6</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261</w:t>
            </w:r>
          </w:p>
        </w:tc>
        <w:tc>
          <w:tcPr>
            <w:tcW w:w="767"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60,2</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382</w:t>
            </w:r>
          </w:p>
        </w:tc>
        <w:tc>
          <w:tcPr>
            <w:tcW w:w="718"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87,0</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310</w:t>
            </w:r>
          </w:p>
        </w:tc>
        <w:tc>
          <w:tcPr>
            <w:tcW w:w="718"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69,7</w:t>
            </w:r>
          </w:p>
        </w:tc>
        <w:tc>
          <w:tcPr>
            <w:tcW w:w="706"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421</w:t>
            </w:r>
          </w:p>
        </w:tc>
        <w:tc>
          <w:tcPr>
            <w:tcW w:w="982" w:type="dxa"/>
            <w:tcBorders>
              <w:top w:val="nil"/>
              <w:left w:val="nil"/>
              <w:bottom w:val="single" w:sz="4" w:space="0" w:color="auto"/>
              <w:right w:val="nil"/>
            </w:tcBorders>
            <w:shd w:val="clear" w:color="000000" w:fill="FFFFFF"/>
            <w:noWrap/>
            <w:vAlign w:val="bottom"/>
            <w:hideMark/>
          </w:tcPr>
          <w:p w:rsidR="00475BBF" w:rsidRPr="006D48B5" w:rsidRDefault="00475BBF" w:rsidP="00475BBF">
            <w:pPr>
              <w:jc w:val="center"/>
              <w:rPr>
                <w:rFonts w:ascii="Arial" w:eastAsia="Times New Roman" w:hAnsi="Arial" w:cs="Arial"/>
                <w:color w:val="000000"/>
                <w:sz w:val="20"/>
                <w:szCs w:val="20"/>
              </w:rPr>
            </w:pPr>
            <w:r w:rsidRPr="006D48B5">
              <w:rPr>
                <w:rFonts w:ascii="Arial" w:eastAsia="Times New Roman" w:hAnsi="Arial" w:cs="Arial"/>
                <w:color w:val="000000"/>
                <w:sz w:val="20"/>
                <w:szCs w:val="20"/>
              </w:rPr>
              <w:t>93,6</w:t>
            </w:r>
          </w:p>
        </w:tc>
      </w:tr>
    </w:tbl>
    <w:p w:rsidR="00475BBF" w:rsidRDefault="00475BBF" w:rsidP="00B1553C">
      <w:pPr>
        <w:jc w:val="right"/>
        <w:rPr>
          <w:rFonts w:ascii="Arial" w:eastAsia="Times New Roman" w:hAnsi="Arial" w:cs="Arial"/>
          <w:color w:val="000000"/>
          <w:sz w:val="20"/>
          <w:szCs w:val="20"/>
          <w:lang w:val="es-CR"/>
        </w:rPr>
      </w:pPr>
      <w:r w:rsidRPr="00B1553C">
        <w:rPr>
          <w:rFonts w:ascii="Arial" w:hAnsi="Arial" w:cs="Arial"/>
          <w:b/>
          <w:sz w:val="20"/>
          <w:szCs w:val="20"/>
          <w:lang w:val="es-MX"/>
        </w:rPr>
        <w:t xml:space="preserve">Fuente: </w:t>
      </w:r>
      <w:r w:rsidRPr="00F527C7">
        <w:rPr>
          <w:rFonts w:ascii="Arial" w:hAnsi="Arial" w:cs="Arial"/>
          <w:sz w:val="20"/>
          <w:szCs w:val="20"/>
          <w:lang w:val="es-MX"/>
        </w:rPr>
        <w:t>Dirección de Vigilancia de la Salud. Ministerio de Salud</w:t>
      </w:r>
      <w:r w:rsidR="00B1553C">
        <w:rPr>
          <w:rFonts w:ascii="Arial" w:hAnsi="Arial" w:cs="Arial"/>
          <w:sz w:val="20"/>
          <w:szCs w:val="20"/>
          <w:lang w:val="es-MX"/>
        </w:rPr>
        <w:t>, 2019.</w:t>
      </w:r>
    </w:p>
    <w:p w:rsidR="00F91DFE" w:rsidRDefault="00F91DFE" w:rsidP="00F91DFE">
      <w:pPr>
        <w:spacing w:line="276" w:lineRule="auto"/>
        <w:jc w:val="both"/>
        <w:rPr>
          <w:rFonts w:ascii="Arial" w:hAnsi="Arial" w:cs="Arial"/>
          <w:lang w:val="es-CR"/>
        </w:rPr>
      </w:pPr>
    </w:p>
    <w:p w:rsidR="00475BBF" w:rsidRPr="004756DB" w:rsidRDefault="00F91DFE" w:rsidP="00F91DFE">
      <w:pPr>
        <w:spacing w:line="276" w:lineRule="auto"/>
        <w:jc w:val="both"/>
        <w:rPr>
          <w:rFonts w:ascii="Arial" w:hAnsi="Arial" w:cs="Arial"/>
          <w:lang w:val="es-CR"/>
        </w:rPr>
      </w:pPr>
      <w:r>
        <w:rPr>
          <w:rFonts w:ascii="Arial" w:hAnsi="Arial" w:cs="Arial"/>
          <w:lang w:val="es-CR"/>
        </w:rPr>
        <w:t>El cuadro 3</w:t>
      </w:r>
      <w:r w:rsidR="00BB0F6E">
        <w:rPr>
          <w:rFonts w:ascii="Arial" w:hAnsi="Arial" w:cs="Arial"/>
          <w:lang w:val="es-CR"/>
        </w:rPr>
        <w:t>1</w:t>
      </w:r>
      <w:r>
        <w:rPr>
          <w:rFonts w:ascii="Arial" w:hAnsi="Arial" w:cs="Arial"/>
          <w:lang w:val="es-CR"/>
        </w:rPr>
        <w:t xml:space="preserve"> presenta la incidencia de varicela según cantón durante el período 2014-2018. En éste se observa que el cantón de la Cruz de l</w:t>
      </w:r>
      <w:r w:rsidR="00475BBF" w:rsidRPr="008F1B89">
        <w:rPr>
          <w:rFonts w:ascii="Arial" w:hAnsi="Arial" w:cs="Arial"/>
          <w:lang w:val="es-CR"/>
        </w:rPr>
        <w:t xml:space="preserve">a </w:t>
      </w:r>
      <w:r>
        <w:rPr>
          <w:rFonts w:ascii="Arial" w:hAnsi="Arial" w:cs="Arial"/>
          <w:lang w:val="es-CR"/>
        </w:rPr>
        <w:t xml:space="preserve">provincia de Guanacaste fue el que presentó el mayor número de </w:t>
      </w:r>
      <w:r w:rsidR="00475BBF" w:rsidRPr="008F1B89">
        <w:rPr>
          <w:rFonts w:ascii="Arial" w:hAnsi="Arial" w:cs="Arial"/>
          <w:lang w:val="es-CR"/>
        </w:rPr>
        <w:t xml:space="preserve">casos </w:t>
      </w:r>
      <w:r>
        <w:rPr>
          <w:rFonts w:ascii="Arial" w:hAnsi="Arial" w:cs="Arial"/>
          <w:lang w:val="es-CR"/>
        </w:rPr>
        <w:t>de</w:t>
      </w:r>
      <w:r w:rsidR="00475BBF" w:rsidRPr="002E68F5">
        <w:rPr>
          <w:rFonts w:ascii="Arial" w:hAnsi="Arial" w:cs="Arial"/>
          <w:lang w:val="es-CR"/>
        </w:rPr>
        <w:t xml:space="preserve"> varicela</w:t>
      </w:r>
      <w:r w:rsidR="00475BBF" w:rsidRPr="008F1B89">
        <w:rPr>
          <w:rFonts w:ascii="Arial" w:hAnsi="Arial" w:cs="Arial"/>
          <w:lang w:val="es-CR"/>
        </w:rPr>
        <w:t xml:space="preserve"> en el 2014 con una tasa de </w:t>
      </w:r>
      <w:r w:rsidR="00475BBF" w:rsidRPr="002E68F5">
        <w:rPr>
          <w:rFonts w:ascii="Arial" w:hAnsi="Arial" w:cs="Arial"/>
          <w:lang w:val="es-CR"/>
        </w:rPr>
        <w:t>253,3</w:t>
      </w:r>
      <w:r w:rsidR="00475BBF">
        <w:rPr>
          <w:rFonts w:ascii="Arial" w:hAnsi="Arial" w:cs="Arial"/>
          <w:lang w:val="es-CR"/>
        </w:rPr>
        <w:t xml:space="preserve"> casos por 100 </w:t>
      </w:r>
      <w:r w:rsidR="00475BBF" w:rsidRPr="008F1B89">
        <w:rPr>
          <w:rFonts w:ascii="Arial" w:hAnsi="Arial" w:cs="Arial"/>
          <w:lang w:val="es-CR"/>
        </w:rPr>
        <w:t xml:space="preserve">000 habitantes, </w:t>
      </w:r>
      <w:r w:rsidR="001A7499">
        <w:rPr>
          <w:rFonts w:ascii="Arial" w:hAnsi="Arial" w:cs="Arial"/>
          <w:lang w:val="es-CR"/>
        </w:rPr>
        <w:t xml:space="preserve">el </w:t>
      </w:r>
      <w:r w:rsidR="00475BBF" w:rsidRPr="002E68F5">
        <w:rPr>
          <w:rFonts w:ascii="Arial" w:hAnsi="Arial" w:cs="Arial"/>
          <w:lang w:val="es-CR"/>
        </w:rPr>
        <w:t>cantón de Corredores</w:t>
      </w:r>
      <w:r w:rsidR="00475BBF" w:rsidRPr="008F1B89">
        <w:rPr>
          <w:rFonts w:ascii="Arial" w:hAnsi="Arial" w:cs="Arial"/>
          <w:lang w:val="es-CR"/>
        </w:rPr>
        <w:t xml:space="preserve"> ocup</w:t>
      </w:r>
      <w:r w:rsidR="001A7499">
        <w:rPr>
          <w:rFonts w:ascii="Arial" w:hAnsi="Arial" w:cs="Arial"/>
          <w:lang w:val="es-CR"/>
        </w:rPr>
        <w:t>ó</w:t>
      </w:r>
      <w:r w:rsidR="00475BBF" w:rsidRPr="008F1B89">
        <w:rPr>
          <w:rFonts w:ascii="Arial" w:hAnsi="Arial" w:cs="Arial"/>
          <w:lang w:val="es-CR"/>
        </w:rPr>
        <w:t xml:space="preserve"> el primer puesto </w:t>
      </w:r>
      <w:r w:rsidR="001A7499">
        <w:rPr>
          <w:rFonts w:ascii="Arial" w:hAnsi="Arial" w:cs="Arial"/>
          <w:lang w:val="es-CR"/>
        </w:rPr>
        <w:t xml:space="preserve">en el 2015 </w:t>
      </w:r>
      <w:r w:rsidR="00475BBF" w:rsidRPr="008F1B89">
        <w:rPr>
          <w:rFonts w:ascii="Arial" w:hAnsi="Arial" w:cs="Arial"/>
          <w:lang w:val="es-CR"/>
        </w:rPr>
        <w:t xml:space="preserve">con una tasa de </w:t>
      </w:r>
      <w:r w:rsidR="00475BBF" w:rsidRPr="002E68F5">
        <w:rPr>
          <w:rFonts w:ascii="Arial" w:hAnsi="Arial" w:cs="Arial"/>
          <w:lang w:val="es-CR"/>
        </w:rPr>
        <w:t>220,2</w:t>
      </w:r>
      <w:r w:rsidR="00475BBF" w:rsidRPr="008F1B89">
        <w:rPr>
          <w:rFonts w:ascii="Arial" w:hAnsi="Arial" w:cs="Arial"/>
          <w:lang w:val="es-CR"/>
        </w:rPr>
        <w:t xml:space="preserve"> </w:t>
      </w:r>
      <w:r w:rsidR="00475BBF" w:rsidRPr="002E68F5">
        <w:rPr>
          <w:rFonts w:ascii="Arial" w:hAnsi="Arial" w:cs="Arial"/>
          <w:lang w:val="es-CR"/>
        </w:rPr>
        <w:t xml:space="preserve">casos </w:t>
      </w:r>
      <w:r w:rsidR="00475BBF">
        <w:rPr>
          <w:rFonts w:ascii="Arial" w:hAnsi="Arial" w:cs="Arial"/>
          <w:lang w:val="es-CR"/>
        </w:rPr>
        <w:t xml:space="preserve">por 100 </w:t>
      </w:r>
      <w:r w:rsidR="00475BBF" w:rsidRPr="008F1B89">
        <w:rPr>
          <w:rFonts w:ascii="Arial" w:hAnsi="Arial" w:cs="Arial"/>
          <w:lang w:val="es-CR"/>
        </w:rPr>
        <w:t xml:space="preserve">000 habitantes. En </w:t>
      </w:r>
      <w:r w:rsidR="001A7499">
        <w:rPr>
          <w:rFonts w:ascii="Arial" w:hAnsi="Arial" w:cs="Arial"/>
          <w:lang w:val="es-CR"/>
        </w:rPr>
        <w:t xml:space="preserve">los años </w:t>
      </w:r>
      <w:r w:rsidR="00475BBF" w:rsidRPr="008F1B89">
        <w:rPr>
          <w:rFonts w:ascii="Arial" w:hAnsi="Arial" w:cs="Arial"/>
          <w:lang w:val="es-CR"/>
        </w:rPr>
        <w:t xml:space="preserve">2016 </w:t>
      </w:r>
      <w:r w:rsidR="00475BBF" w:rsidRPr="002E68F5">
        <w:rPr>
          <w:rFonts w:ascii="Arial" w:hAnsi="Arial" w:cs="Arial"/>
          <w:lang w:val="es-CR"/>
        </w:rPr>
        <w:t>y el 2017</w:t>
      </w:r>
      <w:r w:rsidR="001A7499">
        <w:rPr>
          <w:rFonts w:ascii="Arial" w:hAnsi="Arial" w:cs="Arial"/>
          <w:lang w:val="es-CR"/>
        </w:rPr>
        <w:t>,</w:t>
      </w:r>
      <w:r w:rsidR="00475BBF" w:rsidRPr="002E68F5">
        <w:rPr>
          <w:rFonts w:ascii="Arial" w:hAnsi="Arial" w:cs="Arial"/>
          <w:lang w:val="es-CR"/>
        </w:rPr>
        <w:t xml:space="preserve"> los cantones de Orotina y Cañas </w:t>
      </w:r>
      <w:r w:rsidR="001A7499">
        <w:rPr>
          <w:rFonts w:ascii="Arial" w:hAnsi="Arial" w:cs="Arial"/>
          <w:lang w:val="es-CR"/>
        </w:rPr>
        <w:t xml:space="preserve">fueron los de mayor </w:t>
      </w:r>
      <w:r w:rsidR="00475BBF" w:rsidRPr="002E68F5">
        <w:rPr>
          <w:rFonts w:ascii="Arial" w:hAnsi="Arial" w:cs="Arial"/>
          <w:lang w:val="es-CR"/>
        </w:rPr>
        <w:t>incidencia, con tasa</w:t>
      </w:r>
      <w:r w:rsidR="00475BBF">
        <w:rPr>
          <w:rFonts w:ascii="Arial" w:hAnsi="Arial" w:cs="Arial"/>
          <w:lang w:val="es-CR"/>
        </w:rPr>
        <w:t>s</w:t>
      </w:r>
      <w:r w:rsidR="00475BBF" w:rsidRPr="002E68F5">
        <w:rPr>
          <w:rFonts w:ascii="Arial" w:hAnsi="Arial" w:cs="Arial"/>
          <w:lang w:val="es-CR"/>
        </w:rPr>
        <w:t xml:space="preserve"> de 289,6 </w:t>
      </w:r>
      <w:r w:rsidR="00475BBF">
        <w:rPr>
          <w:rFonts w:ascii="Arial" w:hAnsi="Arial" w:cs="Arial"/>
          <w:lang w:val="es-CR"/>
        </w:rPr>
        <w:t xml:space="preserve">y 164,7 </w:t>
      </w:r>
      <w:r w:rsidR="00475BBF" w:rsidRPr="002E68F5">
        <w:rPr>
          <w:rFonts w:ascii="Arial" w:hAnsi="Arial" w:cs="Arial"/>
          <w:lang w:val="es-CR"/>
        </w:rPr>
        <w:t>casos por cien mil habitantes</w:t>
      </w:r>
      <w:r w:rsidR="001A7499">
        <w:rPr>
          <w:rFonts w:ascii="Arial" w:hAnsi="Arial" w:cs="Arial"/>
          <w:lang w:val="es-CR"/>
        </w:rPr>
        <w:t>, respectivamente</w:t>
      </w:r>
      <w:r w:rsidR="00475BBF" w:rsidRPr="002E68F5">
        <w:rPr>
          <w:rFonts w:ascii="Arial" w:hAnsi="Arial" w:cs="Arial"/>
          <w:lang w:val="es-CR"/>
        </w:rPr>
        <w:t xml:space="preserve">. </w:t>
      </w:r>
      <w:r w:rsidR="001A7499">
        <w:rPr>
          <w:rFonts w:ascii="Arial" w:hAnsi="Arial" w:cs="Arial"/>
          <w:lang w:val="es-CR"/>
        </w:rPr>
        <w:t xml:space="preserve">En el </w:t>
      </w:r>
      <w:r w:rsidR="00475BBF" w:rsidRPr="002E68F5">
        <w:rPr>
          <w:rFonts w:ascii="Arial" w:hAnsi="Arial" w:cs="Arial"/>
          <w:lang w:val="es-CR"/>
        </w:rPr>
        <w:t>2018, la zona de Los Santos registró en tres de sus cantones el mayor número de casos</w:t>
      </w:r>
      <w:r w:rsidR="001A7499">
        <w:rPr>
          <w:rFonts w:ascii="Arial" w:hAnsi="Arial" w:cs="Arial"/>
          <w:lang w:val="es-CR"/>
        </w:rPr>
        <w:t>,</w:t>
      </w:r>
      <w:r w:rsidR="00475BBF" w:rsidRPr="002E68F5">
        <w:rPr>
          <w:rFonts w:ascii="Arial" w:hAnsi="Arial" w:cs="Arial"/>
          <w:lang w:val="es-CR"/>
        </w:rPr>
        <w:t xml:space="preserve"> con tasas que superan la nacional, específicamente León Cortés, Dota y Tarrazú.</w:t>
      </w:r>
    </w:p>
    <w:p w:rsidR="001A7499" w:rsidRDefault="001A7499">
      <w:pPr>
        <w:spacing w:after="160" w:line="259" w:lineRule="auto"/>
        <w:rPr>
          <w:rFonts w:ascii="Arial" w:hAnsi="Arial" w:cs="Arial"/>
          <w:lang w:val="es-ES"/>
        </w:rPr>
      </w:pPr>
      <w:r>
        <w:rPr>
          <w:rFonts w:ascii="Arial" w:hAnsi="Arial" w:cs="Arial"/>
          <w:lang w:val="es-ES"/>
        </w:rPr>
        <w:br w:type="page"/>
      </w:r>
    </w:p>
    <w:p w:rsidR="00475BBF" w:rsidRPr="001A7499" w:rsidRDefault="00F91DFE" w:rsidP="001A7499">
      <w:pPr>
        <w:jc w:val="center"/>
        <w:rPr>
          <w:rFonts w:ascii="Arial" w:hAnsi="Arial" w:cs="Arial"/>
          <w:b/>
          <w:lang w:val="es-CR"/>
        </w:rPr>
      </w:pPr>
      <w:r w:rsidRPr="001A7499">
        <w:rPr>
          <w:rFonts w:ascii="Arial" w:hAnsi="Arial" w:cs="Arial"/>
          <w:b/>
          <w:lang w:val="es-CR"/>
        </w:rPr>
        <w:lastRenderedPageBreak/>
        <w:t>Cuadro 3</w:t>
      </w:r>
      <w:r w:rsidR="00BB0F6E">
        <w:rPr>
          <w:rFonts w:ascii="Arial" w:hAnsi="Arial" w:cs="Arial"/>
          <w:b/>
          <w:lang w:val="es-CR"/>
        </w:rPr>
        <w:t>1</w:t>
      </w:r>
    </w:p>
    <w:p w:rsidR="00475BBF" w:rsidRPr="001A7499" w:rsidRDefault="00475BBF" w:rsidP="001A7499">
      <w:pPr>
        <w:jc w:val="center"/>
        <w:rPr>
          <w:rFonts w:ascii="Arial" w:hAnsi="Arial" w:cs="Arial"/>
          <w:b/>
          <w:lang w:val="es-CR"/>
        </w:rPr>
      </w:pPr>
      <w:r w:rsidRPr="001A7499">
        <w:rPr>
          <w:rFonts w:ascii="Arial" w:hAnsi="Arial" w:cs="Arial"/>
          <w:b/>
          <w:lang w:val="es-CR"/>
        </w:rPr>
        <w:t>Costa Rica: Incidencia de casos de varicela por cantón, 2014-2018</w:t>
      </w:r>
    </w:p>
    <w:p w:rsidR="00475BBF" w:rsidRDefault="00475BBF" w:rsidP="00475BBF">
      <w:pPr>
        <w:jc w:val="center"/>
        <w:rPr>
          <w:rFonts w:ascii="Arial" w:hAnsi="Arial" w:cs="Arial"/>
          <w:sz w:val="20"/>
          <w:szCs w:val="20"/>
          <w:lang w:val="es-CR"/>
        </w:rPr>
      </w:pPr>
      <w:r w:rsidRPr="0000160A">
        <w:rPr>
          <w:rFonts w:ascii="Arial" w:hAnsi="Arial" w:cs="Arial"/>
          <w:sz w:val="20"/>
          <w:szCs w:val="20"/>
          <w:lang w:val="es-CR"/>
        </w:rPr>
        <w:t>(</w:t>
      </w:r>
      <w:r w:rsidR="001A7499">
        <w:rPr>
          <w:rFonts w:ascii="Arial" w:hAnsi="Arial" w:cs="Arial"/>
          <w:sz w:val="20"/>
          <w:szCs w:val="20"/>
          <w:lang w:val="es-CR"/>
        </w:rPr>
        <w:t>t</w:t>
      </w:r>
      <w:r w:rsidRPr="0000160A">
        <w:rPr>
          <w:rFonts w:ascii="Arial" w:hAnsi="Arial" w:cs="Arial"/>
          <w:sz w:val="20"/>
          <w:szCs w:val="20"/>
          <w:lang w:val="es-CR"/>
        </w:rPr>
        <w:t>asa por 100.000 habitantes)</w:t>
      </w:r>
    </w:p>
    <w:p w:rsidR="00475BBF" w:rsidRDefault="00475BBF" w:rsidP="00475BBF">
      <w:pPr>
        <w:jc w:val="center"/>
        <w:rPr>
          <w:rFonts w:ascii="Arial" w:hAnsi="Arial" w:cs="Arial"/>
          <w:sz w:val="20"/>
          <w:szCs w:val="20"/>
          <w:lang w:val="es-CR"/>
        </w:rPr>
      </w:pPr>
    </w:p>
    <w:tbl>
      <w:tblPr>
        <w:tblW w:w="9510" w:type="dxa"/>
        <w:jc w:val="center"/>
        <w:tblCellMar>
          <w:left w:w="70" w:type="dxa"/>
          <w:right w:w="70" w:type="dxa"/>
        </w:tblCellMar>
        <w:tblLook w:val="04A0" w:firstRow="1" w:lastRow="0" w:firstColumn="1" w:lastColumn="0" w:noHBand="0" w:noVBand="1"/>
      </w:tblPr>
      <w:tblGrid>
        <w:gridCol w:w="1256"/>
        <w:gridCol w:w="646"/>
        <w:gridCol w:w="1310"/>
        <w:gridCol w:w="592"/>
        <w:gridCol w:w="1328"/>
        <w:gridCol w:w="591"/>
        <w:gridCol w:w="1310"/>
        <w:gridCol w:w="592"/>
        <w:gridCol w:w="1310"/>
        <w:gridCol w:w="592"/>
      </w:tblGrid>
      <w:tr w:rsidR="00475BBF" w:rsidRPr="004756DB" w:rsidTr="006919AD">
        <w:trPr>
          <w:trHeight w:val="260"/>
          <w:jc w:val="center"/>
        </w:trPr>
        <w:tc>
          <w:tcPr>
            <w:tcW w:w="1902" w:type="dxa"/>
            <w:gridSpan w:val="2"/>
            <w:tcBorders>
              <w:left w:val="nil"/>
              <w:right w:val="nil"/>
            </w:tcBorders>
            <w:shd w:val="clear" w:color="auto" w:fill="D5DCE4" w:themeFill="text2" w:themeFillTint="33"/>
            <w:noWrap/>
            <w:vAlign w:val="bottom"/>
            <w:hideMark/>
          </w:tcPr>
          <w:p w:rsidR="00475BBF" w:rsidRPr="001A7499" w:rsidRDefault="00475BBF" w:rsidP="00475BBF">
            <w:pPr>
              <w:jc w:val="center"/>
              <w:rPr>
                <w:rFonts w:ascii="Arial" w:eastAsia="Times New Roman" w:hAnsi="Arial" w:cs="Arial"/>
                <w:b/>
                <w:bCs/>
                <w:color w:val="000000"/>
                <w:sz w:val="18"/>
                <w:szCs w:val="18"/>
                <w:lang w:val="es-PA" w:eastAsia="es-PA"/>
              </w:rPr>
            </w:pPr>
            <w:r w:rsidRPr="001A7499">
              <w:rPr>
                <w:rFonts w:ascii="Arial" w:eastAsia="Times New Roman" w:hAnsi="Arial" w:cs="Arial"/>
                <w:b/>
                <w:bCs/>
                <w:color w:val="000000"/>
                <w:sz w:val="18"/>
                <w:szCs w:val="18"/>
                <w:lang w:val="es-PA" w:eastAsia="es-PA"/>
              </w:rPr>
              <w:t>2014</w:t>
            </w:r>
          </w:p>
        </w:tc>
        <w:tc>
          <w:tcPr>
            <w:tcW w:w="1902" w:type="dxa"/>
            <w:gridSpan w:val="2"/>
            <w:tcBorders>
              <w:left w:val="nil"/>
              <w:right w:val="nil"/>
            </w:tcBorders>
            <w:shd w:val="clear" w:color="auto" w:fill="D5DCE4" w:themeFill="text2" w:themeFillTint="33"/>
            <w:noWrap/>
            <w:vAlign w:val="bottom"/>
            <w:hideMark/>
          </w:tcPr>
          <w:p w:rsidR="00475BBF" w:rsidRPr="001A7499" w:rsidRDefault="00475BBF" w:rsidP="00475BBF">
            <w:pPr>
              <w:jc w:val="center"/>
              <w:rPr>
                <w:rFonts w:ascii="Arial" w:eastAsia="Times New Roman" w:hAnsi="Arial" w:cs="Arial"/>
                <w:b/>
                <w:bCs/>
                <w:color w:val="000000"/>
                <w:sz w:val="18"/>
                <w:szCs w:val="18"/>
                <w:lang w:val="es-PA" w:eastAsia="es-PA"/>
              </w:rPr>
            </w:pPr>
            <w:r w:rsidRPr="001A7499">
              <w:rPr>
                <w:rFonts w:ascii="Arial" w:eastAsia="Times New Roman" w:hAnsi="Arial" w:cs="Arial"/>
                <w:b/>
                <w:bCs/>
                <w:color w:val="000000"/>
                <w:sz w:val="18"/>
                <w:szCs w:val="18"/>
                <w:lang w:val="es-PA" w:eastAsia="es-PA"/>
              </w:rPr>
              <w:t>2015</w:t>
            </w:r>
          </w:p>
        </w:tc>
        <w:tc>
          <w:tcPr>
            <w:tcW w:w="1902" w:type="dxa"/>
            <w:gridSpan w:val="2"/>
            <w:tcBorders>
              <w:left w:val="nil"/>
              <w:right w:val="nil"/>
            </w:tcBorders>
            <w:shd w:val="clear" w:color="auto" w:fill="D5DCE4" w:themeFill="text2" w:themeFillTint="33"/>
            <w:noWrap/>
            <w:vAlign w:val="bottom"/>
            <w:hideMark/>
          </w:tcPr>
          <w:p w:rsidR="00475BBF" w:rsidRPr="001A7499" w:rsidRDefault="00475BBF" w:rsidP="00475BBF">
            <w:pPr>
              <w:jc w:val="center"/>
              <w:rPr>
                <w:rFonts w:ascii="Arial" w:eastAsia="Times New Roman" w:hAnsi="Arial" w:cs="Arial"/>
                <w:b/>
                <w:bCs/>
                <w:color w:val="000000"/>
                <w:sz w:val="18"/>
                <w:szCs w:val="18"/>
                <w:lang w:val="es-PA" w:eastAsia="es-PA"/>
              </w:rPr>
            </w:pPr>
            <w:r w:rsidRPr="001A7499">
              <w:rPr>
                <w:rFonts w:ascii="Arial" w:eastAsia="Times New Roman" w:hAnsi="Arial" w:cs="Arial"/>
                <w:b/>
                <w:bCs/>
                <w:color w:val="000000"/>
                <w:sz w:val="18"/>
                <w:szCs w:val="18"/>
                <w:lang w:val="es-PA" w:eastAsia="es-PA"/>
              </w:rPr>
              <w:t>2016</w:t>
            </w:r>
          </w:p>
        </w:tc>
        <w:tc>
          <w:tcPr>
            <w:tcW w:w="1902" w:type="dxa"/>
            <w:gridSpan w:val="2"/>
            <w:tcBorders>
              <w:left w:val="nil"/>
              <w:right w:val="nil"/>
            </w:tcBorders>
            <w:shd w:val="clear" w:color="auto" w:fill="D5DCE4" w:themeFill="text2" w:themeFillTint="33"/>
            <w:noWrap/>
            <w:vAlign w:val="bottom"/>
            <w:hideMark/>
          </w:tcPr>
          <w:p w:rsidR="00475BBF" w:rsidRPr="001A7499" w:rsidRDefault="00475BBF" w:rsidP="00475BBF">
            <w:pPr>
              <w:jc w:val="center"/>
              <w:rPr>
                <w:rFonts w:ascii="Arial" w:eastAsia="Times New Roman" w:hAnsi="Arial" w:cs="Arial"/>
                <w:b/>
                <w:bCs/>
                <w:color w:val="000000"/>
                <w:sz w:val="18"/>
                <w:szCs w:val="18"/>
                <w:lang w:val="es-PA" w:eastAsia="es-PA"/>
              </w:rPr>
            </w:pPr>
            <w:r w:rsidRPr="001A7499">
              <w:rPr>
                <w:rFonts w:ascii="Arial" w:eastAsia="Times New Roman" w:hAnsi="Arial" w:cs="Arial"/>
                <w:b/>
                <w:bCs/>
                <w:color w:val="000000"/>
                <w:sz w:val="18"/>
                <w:szCs w:val="18"/>
                <w:lang w:val="es-PA" w:eastAsia="es-PA"/>
              </w:rPr>
              <w:t>2017</w:t>
            </w:r>
          </w:p>
        </w:tc>
        <w:tc>
          <w:tcPr>
            <w:tcW w:w="1902" w:type="dxa"/>
            <w:gridSpan w:val="2"/>
            <w:tcBorders>
              <w:left w:val="nil"/>
              <w:right w:val="nil"/>
            </w:tcBorders>
            <w:shd w:val="clear" w:color="auto" w:fill="D5DCE4" w:themeFill="text2" w:themeFillTint="33"/>
            <w:noWrap/>
            <w:vAlign w:val="bottom"/>
            <w:hideMark/>
          </w:tcPr>
          <w:p w:rsidR="00475BBF" w:rsidRPr="001A7499" w:rsidRDefault="00475BBF" w:rsidP="00475BBF">
            <w:pPr>
              <w:jc w:val="center"/>
              <w:rPr>
                <w:rFonts w:ascii="Arial" w:eastAsia="Times New Roman" w:hAnsi="Arial" w:cs="Arial"/>
                <w:b/>
                <w:bCs/>
                <w:color w:val="000000"/>
                <w:sz w:val="18"/>
                <w:szCs w:val="18"/>
                <w:lang w:val="es-PA" w:eastAsia="es-PA"/>
              </w:rPr>
            </w:pPr>
            <w:r w:rsidRPr="001A7499">
              <w:rPr>
                <w:rFonts w:ascii="Arial" w:eastAsia="Times New Roman" w:hAnsi="Arial" w:cs="Arial"/>
                <w:b/>
                <w:bCs/>
                <w:color w:val="000000"/>
                <w:sz w:val="18"/>
                <w:szCs w:val="18"/>
                <w:lang w:val="es-PA" w:eastAsia="es-PA"/>
              </w:rPr>
              <w:t>2018</w:t>
            </w:r>
          </w:p>
        </w:tc>
      </w:tr>
      <w:tr w:rsidR="00475BBF" w:rsidRPr="004756DB" w:rsidTr="006919AD">
        <w:trPr>
          <w:trHeight w:val="464"/>
          <w:jc w:val="center"/>
        </w:trPr>
        <w:tc>
          <w:tcPr>
            <w:tcW w:w="1256"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C</w:t>
            </w:r>
            <w:r w:rsidR="001A7499" w:rsidRPr="004756DB">
              <w:rPr>
                <w:rFonts w:ascii="Arial" w:eastAsia="Times New Roman" w:hAnsi="Arial" w:cs="Arial"/>
                <w:b/>
                <w:bCs/>
                <w:color w:val="000000"/>
                <w:sz w:val="18"/>
                <w:szCs w:val="18"/>
                <w:lang w:val="es-PA" w:eastAsia="es-PA"/>
              </w:rPr>
              <w:t>antón</w:t>
            </w:r>
          </w:p>
        </w:tc>
        <w:tc>
          <w:tcPr>
            <w:tcW w:w="645"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jc w:val="cente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T</w:t>
            </w:r>
            <w:r w:rsidR="001A7499" w:rsidRPr="004756DB">
              <w:rPr>
                <w:rFonts w:ascii="Arial" w:eastAsia="Times New Roman" w:hAnsi="Arial" w:cs="Arial"/>
                <w:b/>
                <w:bCs/>
                <w:color w:val="000000"/>
                <w:sz w:val="18"/>
                <w:szCs w:val="18"/>
                <w:lang w:val="es-PA" w:eastAsia="es-PA"/>
              </w:rPr>
              <w:t>asa</w:t>
            </w:r>
          </w:p>
        </w:tc>
        <w:tc>
          <w:tcPr>
            <w:tcW w:w="1310"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C</w:t>
            </w:r>
            <w:r w:rsidR="001A7499" w:rsidRPr="004756DB">
              <w:rPr>
                <w:rFonts w:ascii="Arial" w:eastAsia="Times New Roman" w:hAnsi="Arial" w:cs="Arial"/>
                <w:b/>
                <w:bCs/>
                <w:color w:val="000000"/>
                <w:sz w:val="18"/>
                <w:szCs w:val="18"/>
                <w:lang w:val="es-PA" w:eastAsia="es-PA"/>
              </w:rPr>
              <w:t>antón</w:t>
            </w:r>
          </w:p>
        </w:tc>
        <w:tc>
          <w:tcPr>
            <w:tcW w:w="592"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jc w:val="cente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T</w:t>
            </w:r>
            <w:r w:rsidR="001A7499" w:rsidRPr="004756DB">
              <w:rPr>
                <w:rFonts w:ascii="Arial" w:eastAsia="Times New Roman" w:hAnsi="Arial" w:cs="Arial"/>
                <w:b/>
                <w:bCs/>
                <w:color w:val="000000"/>
                <w:sz w:val="18"/>
                <w:szCs w:val="18"/>
                <w:lang w:val="es-PA" w:eastAsia="es-PA"/>
              </w:rPr>
              <w:t>asa</w:t>
            </w:r>
          </w:p>
        </w:tc>
        <w:tc>
          <w:tcPr>
            <w:tcW w:w="1328"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jc w:val="cente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C</w:t>
            </w:r>
            <w:r w:rsidR="001A7499" w:rsidRPr="004756DB">
              <w:rPr>
                <w:rFonts w:ascii="Arial" w:eastAsia="Times New Roman" w:hAnsi="Arial" w:cs="Arial"/>
                <w:b/>
                <w:bCs/>
                <w:color w:val="000000"/>
                <w:sz w:val="18"/>
                <w:szCs w:val="18"/>
                <w:lang w:val="es-PA" w:eastAsia="es-PA"/>
              </w:rPr>
              <w:t>antón</w:t>
            </w:r>
          </w:p>
        </w:tc>
        <w:tc>
          <w:tcPr>
            <w:tcW w:w="573"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jc w:val="cente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T</w:t>
            </w:r>
            <w:r w:rsidR="001A7499" w:rsidRPr="004756DB">
              <w:rPr>
                <w:rFonts w:ascii="Arial" w:eastAsia="Times New Roman" w:hAnsi="Arial" w:cs="Arial"/>
                <w:b/>
                <w:bCs/>
                <w:color w:val="000000"/>
                <w:sz w:val="18"/>
                <w:szCs w:val="18"/>
                <w:lang w:val="es-PA" w:eastAsia="es-PA"/>
              </w:rPr>
              <w:t>asa</w:t>
            </w:r>
          </w:p>
        </w:tc>
        <w:tc>
          <w:tcPr>
            <w:tcW w:w="1310"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jc w:val="cente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C</w:t>
            </w:r>
            <w:r w:rsidR="001A7499" w:rsidRPr="004756DB">
              <w:rPr>
                <w:rFonts w:ascii="Arial" w:eastAsia="Times New Roman" w:hAnsi="Arial" w:cs="Arial"/>
                <w:b/>
                <w:bCs/>
                <w:color w:val="000000"/>
                <w:sz w:val="18"/>
                <w:szCs w:val="18"/>
                <w:lang w:val="es-PA" w:eastAsia="es-PA"/>
              </w:rPr>
              <w:t>antón</w:t>
            </w:r>
          </w:p>
        </w:tc>
        <w:tc>
          <w:tcPr>
            <w:tcW w:w="592"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jc w:val="cente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T</w:t>
            </w:r>
            <w:r w:rsidR="001A7499" w:rsidRPr="004756DB">
              <w:rPr>
                <w:rFonts w:ascii="Arial" w:eastAsia="Times New Roman" w:hAnsi="Arial" w:cs="Arial"/>
                <w:b/>
                <w:bCs/>
                <w:color w:val="000000"/>
                <w:sz w:val="18"/>
                <w:szCs w:val="18"/>
                <w:lang w:val="es-PA" w:eastAsia="es-PA"/>
              </w:rPr>
              <w:t>asa</w:t>
            </w:r>
          </w:p>
        </w:tc>
        <w:tc>
          <w:tcPr>
            <w:tcW w:w="1310"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jc w:val="cente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C</w:t>
            </w:r>
            <w:r w:rsidR="001A7499" w:rsidRPr="004756DB">
              <w:rPr>
                <w:rFonts w:ascii="Arial" w:eastAsia="Times New Roman" w:hAnsi="Arial" w:cs="Arial"/>
                <w:b/>
                <w:bCs/>
                <w:color w:val="000000"/>
                <w:sz w:val="18"/>
                <w:szCs w:val="18"/>
                <w:lang w:val="es-PA" w:eastAsia="es-PA"/>
              </w:rPr>
              <w:t>antón</w:t>
            </w:r>
          </w:p>
        </w:tc>
        <w:tc>
          <w:tcPr>
            <w:tcW w:w="592" w:type="dxa"/>
            <w:vMerge w:val="restart"/>
            <w:tcBorders>
              <w:top w:val="nil"/>
              <w:left w:val="nil"/>
              <w:right w:val="nil"/>
            </w:tcBorders>
            <w:shd w:val="clear" w:color="auto" w:fill="D5DCE4" w:themeFill="text2" w:themeFillTint="33"/>
            <w:noWrap/>
            <w:vAlign w:val="center"/>
            <w:hideMark/>
          </w:tcPr>
          <w:p w:rsidR="00475BBF" w:rsidRPr="004756DB" w:rsidRDefault="00475BBF" w:rsidP="00475BBF">
            <w:pPr>
              <w:jc w:val="center"/>
              <w:rPr>
                <w:rFonts w:ascii="Arial" w:eastAsia="Times New Roman" w:hAnsi="Arial" w:cs="Arial"/>
                <w:b/>
                <w:bCs/>
                <w:color w:val="000000"/>
                <w:sz w:val="18"/>
                <w:szCs w:val="18"/>
                <w:lang w:val="es-PA" w:eastAsia="es-PA"/>
              </w:rPr>
            </w:pPr>
            <w:r w:rsidRPr="004756DB">
              <w:rPr>
                <w:rFonts w:ascii="Arial" w:eastAsia="Times New Roman" w:hAnsi="Arial" w:cs="Arial"/>
                <w:b/>
                <w:bCs/>
                <w:color w:val="000000"/>
                <w:sz w:val="18"/>
                <w:szCs w:val="18"/>
                <w:lang w:val="es-PA" w:eastAsia="es-PA"/>
              </w:rPr>
              <w:t>T</w:t>
            </w:r>
            <w:r w:rsidR="001A7499" w:rsidRPr="004756DB">
              <w:rPr>
                <w:rFonts w:ascii="Arial" w:eastAsia="Times New Roman" w:hAnsi="Arial" w:cs="Arial"/>
                <w:b/>
                <w:bCs/>
                <w:color w:val="000000"/>
                <w:sz w:val="18"/>
                <w:szCs w:val="18"/>
                <w:lang w:val="es-PA" w:eastAsia="es-PA"/>
              </w:rPr>
              <w:t>asa</w:t>
            </w:r>
          </w:p>
        </w:tc>
      </w:tr>
      <w:tr w:rsidR="00475BBF" w:rsidRPr="004756DB" w:rsidTr="006919AD">
        <w:trPr>
          <w:trHeight w:val="464"/>
          <w:jc w:val="center"/>
        </w:trPr>
        <w:tc>
          <w:tcPr>
            <w:tcW w:w="1256"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c>
          <w:tcPr>
            <w:tcW w:w="645"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c>
          <w:tcPr>
            <w:tcW w:w="1310"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c>
          <w:tcPr>
            <w:tcW w:w="592"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c>
          <w:tcPr>
            <w:tcW w:w="1328"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c>
          <w:tcPr>
            <w:tcW w:w="573"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c>
          <w:tcPr>
            <w:tcW w:w="1310"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c>
          <w:tcPr>
            <w:tcW w:w="592"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c>
          <w:tcPr>
            <w:tcW w:w="1310"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c>
          <w:tcPr>
            <w:tcW w:w="592" w:type="dxa"/>
            <w:vMerge/>
            <w:tcBorders>
              <w:top w:val="nil"/>
              <w:left w:val="nil"/>
              <w:right w:val="nil"/>
            </w:tcBorders>
            <w:shd w:val="clear" w:color="auto" w:fill="D5DCE4" w:themeFill="text2" w:themeFillTint="33"/>
            <w:vAlign w:val="center"/>
            <w:hideMark/>
          </w:tcPr>
          <w:p w:rsidR="00475BBF" w:rsidRPr="004756DB" w:rsidRDefault="00475BBF" w:rsidP="00475BBF">
            <w:pPr>
              <w:rPr>
                <w:rFonts w:ascii="Arial" w:eastAsia="Times New Roman" w:hAnsi="Arial" w:cs="Arial"/>
                <w:b/>
                <w:bCs/>
                <w:color w:val="000000"/>
                <w:sz w:val="18"/>
                <w:szCs w:val="18"/>
                <w:lang w:val="es-PA" w:eastAsia="es-PA"/>
              </w:rPr>
            </w:pPr>
          </w:p>
        </w:tc>
      </w:tr>
      <w:tr w:rsidR="00475BBF" w:rsidRPr="004756DB" w:rsidTr="006919AD">
        <w:trPr>
          <w:trHeight w:val="260"/>
          <w:jc w:val="center"/>
        </w:trPr>
        <w:tc>
          <w:tcPr>
            <w:tcW w:w="1256" w:type="dxa"/>
            <w:tcBorders>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La Cruz              </w:t>
            </w:r>
          </w:p>
        </w:tc>
        <w:tc>
          <w:tcPr>
            <w:tcW w:w="645" w:type="dxa"/>
            <w:tcBorders>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253</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3</w:t>
            </w:r>
          </w:p>
        </w:tc>
        <w:tc>
          <w:tcPr>
            <w:tcW w:w="1310" w:type="dxa"/>
            <w:tcBorders>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Corredores          </w:t>
            </w:r>
          </w:p>
        </w:tc>
        <w:tc>
          <w:tcPr>
            <w:tcW w:w="592" w:type="dxa"/>
            <w:tcBorders>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220</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2</w:t>
            </w:r>
          </w:p>
        </w:tc>
        <w:tc>
          <w:tcPr>
            <w:tcW w:w="1328" w:type="dxa"/>
            <w:tcBorders>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Orotina             </w:t>
            </w:r>
          </w:p>
        </w:tc>
        <w:tc>
          <w:tcPr>
            <w:tcW w:w="573" w:type="dxa"/>
            <w:tcBorders>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289</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6</w:t>
            </w:r>
          </w:p>
        </w:tc>
        <w:tc>
          <w:tcPr>
            <w:tcW w:w="1310" w:type="dxa"/>
            <w:tcBorders>
              <w:left w:val="nil"/>
              <w:bottom w:val="nil"/>
              <w:right w:val="nil"/>
            </w:tcBorders>
            <w:shd w:val="clear" w:color="auto" w:fill="auto"/>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Cañas</w:t>
            </w:r>
          </w:p>
        </w:tc>
        <w:tc>
          <w:tcPr>
            <w:tcW w:w="592" w:type="dxa"/>
            <w:tcBorders>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164</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7</w:t>
            </w:r>
          </w:p>
        </w:tc>
        <w:tc>
          <w:tcPr>
            <w:tcW w:w="1310" w:type="dxa"/>
            <w:tcBorders>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León Cortés     </w:t>
            </w:r>
          </w:p>
        </w:tc>
        <w:tc>
          <w:tcPr>
            <w:tcW w:w="592" w:type="dxa"/>
            <w:tcBorders>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400</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2</w:t>
            </w:r>
          </w:p>
        </w:tc>
      </w:tr>
      <w:tr w:rsidR="00475BBF" w:rsidRPr="004756DB" w:rsidTr="00475BBF">
        <w:trPr>
          <w:trHeight w:val="260"/>
          <w:jc w:val="center"/>
        </w:trPr>
        <w:tc>
          <w:tcPr>
            <w:tcW w:w="1256"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Poás             </w:t>
            </w:r>
          </w:p>
        </w:tc>
        <w:tc>
          <w:tcPr>
            <w:tcW w:w="645"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244</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2</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Orotina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162</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9</w:t>
            </w:r>
          </w:p>
        </w:tc>
        <w:tc>
          <w:tcPr>
            <w:tcW w:w="1328"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Matina              </w:t>
            </w:r>
          </w:p>
        </w:tc>
        <w:tc>
          <w:tcPr>
            <w:tcW w:w="573"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172</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2</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Matina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123</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0</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Dota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293</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1</w:t>
            </w:r>
          </w:p>
        </w:tc>
      </w:tr>
      <w:tr w:rsidR="00475BBF" w:rsidRPr="004756DB" w:rsidTr="00475BBF">
        <w:trPr>
          <w:trHeight w:val="260"/>
          <w:jc w:val="center"/>
        </w:trPr>
        <w:tc>
          <w:tcPr>
            <w:tcW w:w="1256"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Orotina             </w:t>
            </w:r>
          </w:p>
        </w:tc>
        <w:tc>
          <w:tcPr>
            <w:tcW w:w="645" w:type="dxa"/>
            <w:tcBorders>
              <w:top w:val="nil"/>
              <w:left w:val="nil"/>
              <w:bottom w:val="nil"/>
              <w:right w:val="nil"/>
            </w:tcBorders>
            <w:shd w:val="clear" w:color="000000" w:fill="FFFFFF"/>
            <w:noWrap/>
            <w:vAlign w:val="bottom"/>
            <w:hideMark/>
          </w:tcPr>
          <w:p w:rsidR="00475BBF" w:rsidRPr="001A7499" w:rsidRDefault="00475BBF" w:rsidP="00475BBF">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225.1</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Tibás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139</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9</w:t>
            </w:r>
          </w:p>
        </w:tc>
        <w:tc>
          <w:tcPr>
            <w:tcW w:w="1328"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Buenos Aires        </w:t>
            </w:r>
          </w:p>
        </w:tc>
        <w:tc>
          <w:tcPr>
            <w:tcW w:w="573"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169</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5</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Corredores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112</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4</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Tarrazú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246</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4</w:t>
            </w:r>
          </w:p>
        </w:tc>
      </w:tr>
      <w:tr w:rsidR="00475BBF" w:rsidRPr="004756DB" w:rsidTr="00475BBF">
        <w:trPr>
          <w:trHeight w:val="260"/>
          <w:jc w:val="center"/>
        </w:trPr>
        <w:tc>
          <w:tcPr>
            <w:tcW w:w="1256"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Tilarán</w:t>
            </w:r>
          </w:p>
        </w:tc>
        <w:tc>
          <w:tcPr>
            <w:tcW w:w="645"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201</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1</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Osa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135</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3</w:t>
            </w:r>
          </w:p>
        </w:tc>
        <w:tc>
          <w:tcPr>
            <w:tcW w:w="1328"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Guatuso             </w:t>
            </w:r>
          </w:p>
        </w:tc>
        <w:tc>
          <w:tcPr>
            <w:tcW w:w="573"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158</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4</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La Cruz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109</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4</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Guatuso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229</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0</w:t>
            </w:r>
          </w:p>
        </w:tc>
      </w:tr>
      <w:tr w:rsidR="00475BBF" w:rsidRPr="004756DB" w:rsidTr="00475BBF">
        <w:trPr>
          <w:trHeight w:val="260"/>
          <w:jc w:val="center"/>
        </w:trPr>
        <w:tc>
          <w:tcPr>
            <w:tcW w:w="1256"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Mora              </w:t>
            </w:r>
          </w:p>
        </w:tc>
        <w:tc>
          <w:tcPr>
            <w:tcW w:w="645"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191</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6</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Tarrazú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135</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0</w:t>
            </w:r>
          </w:p>
        </w:tc>
        <w:tc>
          <w:tcPr>
            <w:tcW w:w="1328"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Guácimo             </w:t>
            </w:r>
          </w:p>
        </w:tc>
        <w:tc>
          <w:tcPr>
            <w:tcW w:w="573"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132</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6</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Flores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108</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2</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Quepos</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205</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5</w:t>
            </w:r>
          </w:p>
        </w:tc>
      </w:tr>
      <w:tr w:rsidR="00475BBF" w:rsidRPr="004756DB" w:rsidTr="00475BBF">
        <w:trPr>
          <w:trHeight w:val="260"/>
          <w:jc w:val="center"/>
        </w:trPr>
        <w:tc>
          <w:tcPr>
            <w:tcW w:w="1256"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Liberia          </w:t>
            </w:r>
          </w:p>
        </w:tc>
        <w:tc>
          <w:tcPr>
            <w:tcW w:w="645"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189</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0</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Tilarán</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133</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0</w:t>
            </w:r>
          </w:p>
        </w:tc>
        <w:tc>
          <w:tcPr>
            <w:tcW w:w="1328"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San Mateo          </w:t>
            </w:r>
          </w:p>
        </w:tc>
        <w:tc>
          <w:tcPr>
            <w:tcW w:w="573"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131</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3</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San Rafael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97</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7</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Matina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141</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3</w:t>
            </w:r>
          </w:p>
        </w:tc>
      </w:tr>
      <w:tr w:rsidR="00475BBF" w:rsidRPr="004756DB" w:rsidTr="00475BBF">
        <w:trPr>
          <w:trHeight w:val="260"/>
          <w:jc w:val="center"/>
        </w:trPr>
        <w:tc>
          <w:tcPr>
            <w:tcW w:w="1256"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Nandayure          </w:t>
            </w:r>
          </w:p>
        </w:tc>
        <w:tc>
          <w:tcPr>
            <w:tcW w:w="645"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164</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9</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Guatuso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132</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9</w:t>
            </w:r>
          </w:p>
        </w:tc>
        <w:tc>
          <w:tcPr>
            <w:tcW w:w="1328"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Garabito          </w:t>
            </w:r>
          </w:p>
        </w:tc>
        <w:tc>
          <w:tcPr>
            <w:tcW w:w="573"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123</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8</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San Pablo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91</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5</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Golfito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132</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4</w:t>
            </w:r>
          </w:p>
        </w:tc>
      </w:tr>
      <w:tr w:rsidR="00475BBF" w:rsidRPr="004756DB" w:rsidTr="00475BBF">
        <w:trPr>
          <w:trHeight w:val="260"/>
          <w:jc w:val="center"/>
        </w:trPr>
        <w:tc>
          <w:tcPr>
            <w:tcW w:w="1256"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San Ramón        </w:t>
            </w:r>
          </w:p>
        </w:tc>
        <w:tc>
          <w:tcPr>
            <w:tcW w:w="645"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161</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2</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Goicoechea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130</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9</w:t>
            </w:r>
          </w:p>
        </w:tc>
        <w:tc>
          <w:tcPr>
            <w:tcW w:w="1328"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Acosta         </w:t>
            </w:r>
          </w:p>
        </w:tc>
        <w:tc>
          <w:tcPr>
            <w:tcW w:w="573"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117</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2</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Talamanca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91</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0</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Guácimo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122</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1</w:t>
            </w:r>
          </w:p>
        </w:tc>
      </w:tr>
      <w:tr w:rsidR="00475BBF" w:rsidRPr="004756DB" w:rsidTr="00475BBF">
        <w:trPr>
          <w:trHeight w:val="260"/>
          <w:jc w:val="center"/>
        </w:trPr>
        <w:tc>
          <w:tcPr>
            <w:tcW w:w="1256"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Flores             </w:t>
            </w:r>
          </w:p>
        </w:tc>
        <w:tc>
          <w:tcPr>
            <w:tcW w:w="645"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155</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8</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Coronado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129</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5</w:t>
            </w:r>
          </w:p>
        </w:tc>
        <w:tc>
          <w:tcPr>
            <w:tcW w:w="1328"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Dota             </w:t>
            </w:r>
          </w:p>
        </w:tc>
        <w:tc>
          <w:tcPr>
            <w:tcW w:w="573"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116</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5</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Guácimo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89</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9</w:t>
            </w:r>
          </w:p>
        </w:tc>
        <w:tc>
          <w:tcPr>
            <w:tcW w:w="1310" w:type="dxa"/>
            <w:tcBorders>
              <w:top w:val="nil"/>
              <w:left w:val="nil"/>
              <w:bottom w:val="nil"/>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Poás             </w:t>
            </w:r>
          </w:p>
        </w:tc>
        <w:tc>
          <w:tcPr>
            <w:tcW w:w="592" w:type="dxa"/>
            <w:tcBorders>
              <w:top w:val="nil"/>
              <w:left w:val="nil"/>
              <w:bottom w:val="nil"/>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121</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0</w:t>
            </w:r>
          </w:p>
        </w:tc>
      </w:tr>
      <w:tr w:rsidR="00475BBF" w:rsidRPr="004756DB" w:rsidTr="00475BBF">
        <w:trPr>
          <w:trHeight w:val="260"/>
          <w:jc w:val="center"/>
        </w:trPr>
        <w:tc>
          <w:tcPr>
            <w:tcW w:w="1256" w:type="dxa"/>
            <w:tcBorders>
              <w:top w:val="nil"/>
              <w:left w:val="nil"/>
              <w:bottom w:val="single" w:sz="4" w:space="0" w:color="auto"/>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Turrialba        </w:t>
            </w:r>
          </w:p>
        </w:tc>
        <w:tc>
          <w:tcPr>
            <w:tcW w:w="645" w:type="dxa"/>
            <w:tcBorders>
              <w:top w:val="nil"/>
              <w:left w:val="nil"/>
              <w:bottom w:val="single" w:sz="4" w:space="0" w:color="auto"/>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155</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6</w:t>
            </w:r>
          </w:p>
        </w:tc>
        <w:tc>
          <w:tcPr>
            <w:tcW w:w="1310" w:type="dxa"/>
            <w:tcBorders>
              <w:top w:val="nil"/>
              <w:left w:val="nil"/>
              <w:bottom w:val="single" w:sz="4" w:space="0" w:color="auto"/>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La Cruz              </w:t>
            </w:r>
          </w:p>
        </w:tc>
        <w:tc>
          <w:tcPr>
            <w:tcW w:w="592" w:type="dxa"/>
            <w:tcBorders>
              <w:top w:val="nil"/>
              <w:left w:val="nil"/>
              <w:bottom w:val="single" w:sz="4" w:space="0" w:color="auto"/>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126</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2</w:t>
            </w:r>
          </w:p>
        </w:tc>
        <w:tc>
          <w:tcPr>
            <w:tcW w:w="1328" w:type="dxa"/>
            <w:tcBorders>
              <w:top w:val="nil"/>
              <w:left w:val="nil"/>
              <w:bottom w:val="single" w:sz="4" w:space="0" w:color="auto"/>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Corredores          </w:t>
            </w:r>
          </w:p>
        </w:tc>
        <w:tc>
          <w:tcPr>
            <w:tcW w:w="573" w:type="dxa"/>
            <w:tcBorders>
              <w:top w:val="nil"/>
              <w:left w:val="nil"/>
              <w:bottom w:val="single" w:sz="4" w:space="0" w:color="auto"/>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115</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8</w:t>
            </w:r>
          </w:p>
        </w:tc>
        <w:tc>
          <w:tcPr>
            <w:tcW w:w="1310" w:type="dxa"/>
            <w:tcBorders>
              <w:top w:val="nil"/>
              <w:left w:val="nil"/>
              <w:bottom w:val="single" w:sz="4" w:space="0" w:color="auto"/>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San Carlos          </w:t>
            </w:r>
          </w:p>
        </w:tc>
        <w:tc>
          <w:tcPr>
            <w:tcW w:w="592" w:type="dxa"/>
            <w:tcBorders>
              <w:top w:val="nil"/>
              <w:left w:val="nil"/>
              <w:bottom w:val="single" w:sz="4" w:space="0" w:color="auto"/>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82</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1</w:t>
            </w:r>
          </w:p>
        </w:tc>
        <w:tc>
          <w:tcPr>
            <w:tcW w:w="1310" w:type="dxa"/>
            <w:tcBorders>
              <w:top w:val="nil"/>
              <w:left w:val="nil"/>
              <w:bottom w:val="single" w:sz="4" w:space="0" w:color="auto"/>
              <w:right w:val="nil"/>
            </w:tcBorders>
            <w:shd w:val="clear" w:color="000000" w:fill="FFFFFF"/>
            <w:noWrap/>
            <w:vAlign w:val="bottom"/>
            <w:hideMark/>
          </w:tcPr>
          <w:p w:rsidR="00475BBF" w:rsidRPr="001A7499" w:rsidRDefault="00475BBF" w:rsidP="00475BBF">
            <w:pP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 xml:space="preserve">Osa                 </w:t>
            </w:r>
          </w:p>
        </w:tc>
        <w:tc>
          <w:tcPr>
            <w:tcW w:w="592" w:type="dxa"/>
            <w:tcBorders>
              <w:top w:val="nil"/>
              <w:left w:val="nil"/>
              <w:bottom w:val="single" w:sz="4" w:space="0" w:color="auto"/>
              <w:right w:val="nil"/>
            </w:tcBorders>
            <w:shd w:val="clear" w:color="000000" w:fill="FFFFFF"/>
            <w:noWrap/>
            <w:vAlign w:val="bottom"/>
            <w:hideMark/>
          </w:tcPr>
          <w:p w:rsidR="00475BBF" w:rsidRPr="001A7499" w:rsidRDefault="00475BBF" w:rsidP="001A7499">
            <w:pPr>
              <w:jc w:val="center"/>
              <w:rPr>
                <w:rFonts w:ascii="Arial" w:eastAsia="Times New Roman" w:hAnsi="Arial" w:cs="Arial"/>
                <w:color w:val="000000"/>
                <w:sz w:val="18"/>
                <w:szCs w:val="18"/>
                <w:lang w:val="es-PA" w:eastAsia="es-PA"/>
              </w:rPr>
            </w:pPr>
            <w:r w:rsidRPr="001A7499">
              <w:rPr>
                <w:rFonts w:ascii="Arial" w:eastAsia="Times New Roman" w:hAnsi="Arial" w:cs="Arial"/>
                <w:color w:val="000000"/>
                <w:sz w:val="18"/>
                <w:szCs w:val="18"/>
                <w:lang w:val="es-PA" w:eastAsia="es-PA"/>
              </w:rPr>
              <w:t>116</w:t>
            </w:r>
            <w:r w:rsidR="001A7499" w:rsidRPr="001A7499">
              <w:rPr>
                <w:rFonts w:ascii="Arial" w:eastAsia="Times New Roman" w:hAnsi="Arial" w:cs="Arial"/>
                <w:color w:val="000000"/>
                <w:sz w:val="18"/>
                <w:szCs w:val="18"/>
                <w:lang w:val="es-PA" w:eastAsia="es-PA"/>
              </w:rPr>
              <w:t>,</w:t>
            </w:r>
            <w:r w:rsidRPr="001A7499">
              <w:rPr>
                <w:rFonts w:ascii="Arial" w:eastAsia="Times New Roman" w:hAnsi="Arial" w:cs="Arial"/>
                <w:color w:val="000000"/>
                <w:sz w:val="18"/>
                <w:szCs w:val="18"/>
                <w:lang w:val="es-PA" w:eastAsia="es-PA"/>
              </w:rPr>
              <w:t>8</w:t>
            </w:r>
          </w:p>
        </w:tc>
      </w:tr>
    </w:tbl>
    <w:p w:rsidR="00475BBF" w:rsidRPr="006919AD" w:rsidRDefault="00475BBF" w:rsidP="006919AD">
      <w:pPr>
        <w:jc w:val="right"/>
        <w:rPr>
          <w:rFonts w:ascii="Arial" w:eastAsia="Times New Roman" w:hAnsi="Arial" w:cs="Arial"/>
          <w:color w:val="000000"/>
          <w:sz w:val="18"/>
          <w:szCs w:val="18"/>
          <w:lang w:val="es-CR"/>
        </w:rPr>
      </w:pPr>
      <w:r w:rsidRPr="006919AD">
        <w:rPr>
          <w:rFonts w:ascii="Arial" w:hAnsi="Arial" w:cs="Arial"/>
          <w:b/>
          <w:sz w:val="18"/>
          <w:szCs w:val="18"/>
          <w:lang w:val="es-MX"/>
        </w:rPr>
        <w:t>Fuente:</w:t>
      </w:r>
      <w:r w:rsidRPr="006919AD">
        <w:rPr>
          <w:rFonts w:ascii="Arial" w:hAnsi="Arial" w:cs="Arial"/>
          <w:sz w:val="18"/>
          <w:szCs w:val="18"/>
          <w:lang w:val="es-MX"/>
        </w:rPr>
        <w:t xml:space="preserve"> Dirección de Vigilancia de la Salud. Ministerio de Salud</w:t>
      </w:r>
      <w:r w:rsidR="006919AD" w:rsidRPr="006919AD">
        <w:rPr>
          <w:rFonts w:ascii="Arial" w:hAnsi="Arial" w:cs="Arial"/>
          <w:sz w:val="18"/>
          <w:szCs w:val="18"/>
          <w:lang w:val="es-MX"/>
        </w:rPr>
        <w:t>, 2019.</w:t>
      </w:r>
    </w:p>
    <w:p w:rsidR="00475BBF" w:rsidRDefault="00475BBF" w:rsidP="00475BBF">
      <w:pPr>
        <w:rPr>
          <w:rFonts w:ascii="Arial" w:hAnsi="Arial" w:cs="Arial"/>
          <w:sz w:val="20"/>
          <w:szCs w:val="20"/>
          <w:lang w:val="es-CR"/>
        </w:rPr>
      </w:pPr>
    </w:p>
    <w:p w:rsidR="00475BBF" w:rsidRDefault="00475BBF" w:rsidP="006919AD">
      <w:pPr>
        <w:spacing w:line="276" w:lineRule="auto"/>
        <w:jc w:val="both"/>
        <w:rPr>
          <w:rFonts w:ascii="Arial" w:hAnsi="Arial" w:cs="Arial"/>
          <w:lang w:val="es-CR"/>
        </w:rPr>
      </w:pPr>
      <w:r w:rsidRPr="00023F76">
        <w:rPr>
          <w:rFonts w:ascii="Arial" w:hAnsi="Arial" w:cs="Arial"/>
          <w:lang w:val="es-CR"/>
        </w:rPr>
        <w:t>La tasa de incidencia</w:t>
      </w:r>
      <w:r>
        <w:rPr>
          <w:rFonts w:ascii="Arial" w:hAnsi="Arial" w:cs="Arial"/>
          <w:lang w:val="es-CR"/>
        </w:rPr>
        <w:t xml:space="preserve">, según grupo de edad, </w:t>
      </w:r>
      <w:r w:rsidR="006919AD">
        <w:rPr>
          <w:rFonts w:ascii="Arial" w:hAnsi="Arial" w:cs="Arial"/>
          <w:lang w:val="es-CR"/>
        </w:rPr>
        <w:t xml:space="preserve">se presenta a continuación. La incidencia es </w:t>
      </w:r>
      <w:r w:rsidRPr="00023F76">
        <w:rPr>
          <w:rFonts w:ascii="Arial" w:hAnsi="Arial" w:cs="Arial"/>
          <w:lang w:val="es-CR"/>
        </w:rPr>
        <w:t xml:space="preserve">mayor </w:t>
      </w:r>
      <w:r>
        <w:rPr>
          <w:rFonts w:ascii="Arial" w:hAnsi="Arial" w:cs="Arial"/>
          <w:lang w:val="es-CR"/>
        </w:rPr>
        <w:t>e</w:t>
      </w:r>
      <w:r w:rsidR="006919AD">
        <w:rPr>
          <w:rFonts w:ascii="Arial" w:hAnsi="Arial" w:cs="Arial"/>
          <w:lang w:val="es-CR"/>
        </w:rPr>
        <w:t xml:space="preserve">n los grupos de menos de un año a </w:t>
      </w:r>
      <w:r w:rsidRPr="00023F76">
        <w:rPr>
          <w:rFonts w:ascii="Arial" w:hAnsi="Arial" w:cs="Arial"/>
          <w:lang w:val="es-CR"/>
        </w:rPr>
        <w:t xml:space="preserve"> 19 años</w:t>
      </w:r>
      <w:r>
        <w:rPr>
          <w:rFonts w:ascii="Arial" w:hAnsi="Arial" w:cs="Arial"/>
          <w:lang w:val="es-CR"/>
        </w:rPr>
        <w:t xml:space="preserve"> que representan el 70,5% de todos los casos notificados</w:t>
      </w:r>
      <w:r w:rsidR="006919AD">
        <w:rPr>
          <w:rFonts w:ascii="Arial" w:hAnsi="Arial" w:cs="Arial"/>
          <w:lang w:val="es-CR"/>
        </w:rPr>
        <w:t>.</w:t>
      </w:r>
      <w:r>
        <w:rPr>
          <w:rFonts w:ascii="Arial" w:hAnsi="Arial" w:cs="Arial"/>
          <w:lang w:val="es-CR"/>
        </w:rPr>
        <w:t xml:space="preserve"> </w:t>
      </w:r>
    </w:p>
    <w:p w:rsidR="00475BBF" w:rsidRPr="00023F76" w:rsidRDefault="00475BBF" w:rsidP="006919AD">
      <w:pPr>
        <w:spacing w:line="360" w:lineRule="auto"/>
        <w:jc w:val="both"/>
        <w:rPr>
          <w:rFonts w:ascii="Arial" w:hAnsi="Arial" w:cs="Arial"/>
          <w:lang w:val="es-CR"/>
        </w:rPr>
      </w:pPr>
    </w:p>
    <w:p w:rsidR="00475BBF" w:rsidRPr="008172D7" w:rsidRDefault="006919AD" w:rsidP="008172D7">
      <w:pPr>
        <w:jc w:val="center"/>
        <w:rPr>
          <w:rFonts w:ascii="Arial" w:hAnsi="Arial" w:cs="Arial"/>
          <w:b/>
          <w:lang w:val="es-CR"/>
        </w:rPr>
      </w:pPr>
      <w:r w:rsidRPr="008172D7">
        <w:rPr>
          <w:rFonts w:ascii="Arial" w:hAnsi="Arial" w:cs="Arial"/>
          <w:b/>
          <w:lang w:val="es-CR"/>
        </w:rPr>
        <w:t xml:space="preserve">Cuadro </w:t>
      </w:r>
      <w:r w:rsidR="008172D7" w:rsidRPr="008172D7">
        <w:rPr>
          <w:rFonts w:ascii="Arial" w:hAnsi="Arial" w:cs="Arial"/>
          <w:b/>
          <w:lang w:val="es-CR"/>
        </w:rPr>
        <w:t>3</w:t>
      </w:r>
      <w:r w:rsidR="00BB0F6E">
        <w:rPr>
          <w:rFonts w:ascii="Arial" w:hAnsi="Arial" w:cs="Arial"/>
          <w:b/>
          <w:lang w:val="es-CR"/>
        </w:rPr>
        <w:t>2</w:t>
      </w:r>
    </w:p>
    <w:p w:rsidR="008172D7" w:rsidRDefault="00475BBF" w:rsidP="008172D7">
      <w:pPr>
        <w:jc w:val="center"/>
        <w:rPr>
          <w:rFonts w:ascii="Arial" w:hAnsi="Arial" w:cs="Arial"/>
          <w:b/>
          <w:lang w:val="es-CR"/>
        </w:rPr>
      </w:pPr>
      <w:r w:rsidRPr="008172D7">
        <w:rPr>
          <w:rFonts w:ascii="Arial" w:hAnsi="Arial" w:cs="Arial"/>
          <w:b/>
          <w:lang w:val="es-CR"/>
        </w:rPr>
        <w:t xml:space="preserve">Costa Rica: Incidencia de casos de varicela, </w:t>
      </w:r>
    </w:p>
    <w:p w:rsidR="00475BBF" w:rsidRPr="008172D7" w:rsidRDefault="00475BBF" w:rsidP="008172D7">
      <w:pPr>
        <w:jc w:val="center"/>
        <w:rPr>
          <w:rFonts w:ascii="Arial" w:hAnsi="Arial" w:cs="Arial"/>
          <w:b/>
          <w:lang w:val="es-CR"/>
        </w:rPr>
      </w:pPr>
      <w:r w:rsidRPr="008172D7">
        <w:rPr>
          <w:rFonts w:ascii="Arial" w:hAnsi="Arial" w:cs="Arial"/>
          <w:b/>
          <w:lang w:val="es-CR"/>
        </w:rPr>
        <w:t>según grupos de edad</w:t>
      </w:r>
      <w:r>
        <w:rPr>
          <w:rFonts w:ascii="Arial" w:hAnsi="Arial" w:cs="Arial"/>
          <w:lang w:val="es-CR"/>
        </w:rPr>
        <w:t xml:space="preserve">, </w:t>
      </w:r>
      <w:r w:rsidRPr="008172D7">
        <w:rPr>
          <w:rFonts w:ascii="Arial" w:hAnsi="Arial" w:cs="Arial"/>
          <w:b/>
          <w:lang w:val="es-CR"/>
        </w:rPr>
        <w:t>2014- 2018</w:t>
      </w:r>
    </w:p>
    <w:p w:rsidR="00475BBF" w:rsidRDefault="00475BBF" w:rsidP="00475BBF">
      <w:pPr>
        <w:jc w:val="center"/>
        <w:rPr>
          <w:rFonts w:ascii="Arial" w:hAnsi="Arial" w:cs="Arial"/>
          <w:sz w:val="20"/>
          <w:szCs w:val="20"/>
          <w:lang w:val="es-CR"/>
        </w:rPr>
      </w:pPr>
      <w:r w:rsidRPr="004328DA">
        <w:rPr>
          <w:rFonts w:ascii="Arial" w:hAnsi="Arial" w:cs="Arial"/>
          <w:sz w:val="20"/>
          <w:szCs w:val="20"/>
          <w:lang w:val="es-CR"/>
        </w:rPr>
        <w:t>(</w:t>
      </w:r>
      <w:r w:rsidR="008172D7">
        <w:rPr>
          <w:rFonts w:ascii="Arial" w:hAnsi="Arial" w:cs="Arial"/>
          <w:sz w:val="20"/>
          <w:szCs w:val="20"/>
          <w:lang w:val="es-CR"/>
        </w:rPr>
        <w:t>t</w:t>
      </w:r>
      <w:r w:rsidRPr="004328DA">
        <w:rPr>
          <w:rFonts w:ascii="Arial" w:hAnsi="Arial" w:cs="Arial"/>
          <w:sz w:val="20"/>
          <w:szCs w:val="20"/>
          <w:lang w:val="es-CR"/>
        </w:rPr>
        <w:t>asa por 100.000 habitantes)</w:t>
      </w:r>
    </w:p>
    <w:p w:rsidR="00475BBF" w:rsidRPr="004328DA" w:rsidRDefault="00475BBF" w:rsidP="00475BBF">
      <w:pPr>
        <w:jc w:val="center"/>
        <w:rPr>
          <w:rFonts w:ascii="Arial" w:hAnsi="Arial" w:cs="Arial"/>
          <w:sz w:val="20"/>
          <w:szCs w:val="20"/>
          <w:lang w:val="es-CR"/>
        </w:rPr>
      </w:pPr>
    </w:p>
    <w:tbl>
      <w:tblPr>
        <w:tblW w:w="8336" w:type="dxa"/>
        <w:jc w:val="center"/>
        <w:tblCellMar>
          <w:left w:w="70" w:type="dxa"/>
          <w:right w:w="70" w:type="dxa"/>
        </w:tblCellMar>
        <w:tblLook w:val="04A0" w:firstRow="1" w:lastRow="0" w:firstColumn="1" w:lastColumn="0" w:noHBand="0" w:noVBand="1"/>
      </w:tblPr>
      <w:tblGrid>
        <w:gridCol w:w="1743"/>
        <w:gridCol w:w="652"/>
        <w:gridCol w:w="728"/>
        <w:gridCol w:w="641"/>
        <w:gridCol w:w="665"/>
        <w:gridCol w:w="641"/>
        <w:gridCol w:w="686"/>
        <w:gridCol w:w="591"/>
        <w:gridCol w:w="707"/>
        <w:gridCol w:w="641"/>
        <w:gridCol w:w="641"/>
      </w:tblGrid>
      <w:tr w:rsidR="00475BBF" w:rsidRPr="0041582A" w:rsidTr="008172D7">
        <w:trPr>
          <w:trHeight w:val="300"/>
          <w:jc w:val="center"/>
        </w:trPr>
        <w:tc>
          <w:tcPr>
            <w:tcW w:w="1743" w:type="dxa"/>
            <w:vMerge w:val="restart"/>
            <w:tcBorders>
              <w:top w:val="single" w:sz="4" w:space="0" w:color="auto"/>
              <w:left w:val="nil"/>
              <w:bottom w:val="single" w:sz="4" w:space="0" w:color="000000"/>
              <w:right w:val="nil"/>
            </w:tcBorders>
            <w:shd w:val="clear" w:color="auto" w:fill="D5DCE4" w:themeFill="text2" w:themeFillTint="33"/>
            <w:vAlign w:val="center"/>
            <w:hideMark/>
          </w:tcPr>
          <w:p w:rsidR="00475BBF" w:rsidRPr="0041582A" w:rsidRDefault="008172D7" w:rsidP="008172D7">
            <w:pPr>
              <w:jc w:val="center"/>
              <w:rPr>
                <w:rFonts w:ascii="Arial" w:eastAsia="Times New Roman" w:hAnsi="Arial" w:cs="Arial"/>
                <w:b/>
                <w:bCs/>
                <w:color w:val="000000"/>
                <w:sz w:val="18"/>
                <w:szCs w:val="18"/>
                <w:lang w:val="es-PA" w:eastAsia="es-PA"/>
              </w:rPr>
            </w:pPr>
            <w:r>
              <w:rPr>
                <w:rFonts w:ascii="Arial" w:eastAsia="Times New Roman" w:hAnsi="Arial" w:cs="Arial"/>
                <w:b/>
                <w:bCs/>
                <w:color w:val="000000"/>
                <w:sz w:val="18"/>
                <w:szCs w:val="18"/>
                <w:lang w:val="es-PA" w:eastAsia="es-PA"/>
              </w:rPr>
              <w:t>G</w:t>
            </w:r>
            <w:r w:rsidRPr="0041582A">
              <w:rPr>
                <w:rFonts w:ascii="Arial" w:eastAsia="Times New Roman" w:hAnsi="Arial" w:cs="Arial"/>
                <w:b/>
                <w:bCs/>
                <w:color w:val="000000"/>
                <w:sz w:val="18"/>
                <w:szCs w:val="18"/>
                <w:lang w:val="es-PA" w:eastAsia="es-PA"/>
              </w:rPr>
              <w:t>rupos de edad</w:t>
            </w:r>
          </w:p>
        </w:tc>
        <w:tc>
          <w:tcPr>
            <w:tcW w:w="1380"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2014</w:t>
            </w:r>
          </w:p>
        </w:tc>
        <w:tc>
          <w:tcPr>
            <w:tcW w:w="1306"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2015</w:t>
            </w:r>
          </w:p>
        </w:tc>
        <w:tc>
          <w:tcPr>
            <w:tcW w:w="1327"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2016</w:t>
            </w:r>
          </w:p>
        </w:tc>
        <w:tc>
          <w:tcPr>
            <w:tcW w:w="1298"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2017</w:t>
            </w:r>
          </w:p>
        </w:tc>
        <w:tc>
          <w:tcPr>
            <w:tcW w:w="1282"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2018</w:t>
            </w:r>
          </w:p>
        </w:tc>
      </w:tr>
      <w:tr w:rsidR="00475BBF" w:rsidRPr="0041582A" w:rsidTr="008172D7">
        <w:trPr>
          <w:trHeight w:val="300"/>
          <w:jc w:val="center"/>
        </w:trPr>
        <w:tc>
          <w:tcPr>
            <w:tcW w:w="1743" w:type="dxa"/>
            <w:vMerge/>
            <w:tcBorders>
              <w:top w:val="single" w:sz="4" w:space="0" w:color="auto"/>
              <w:left w:val="nil"/>
              <w:bottom w:val="single" w:sz="4" w:space="0" w:color="000000"/>
              <w:right w:val="nil"/>
            </w:tcBorders>
            <w:shd w:val="clear" w:color="auto" w:fill="D5DCE4" w:themeFill="text2" w:themeFillTint="33"/>
            <w:vAlign w:val="center"/>
            <w:hideMark/>
          </w:tcPr>
          <w:p w:rsidR="00475BBF" w:rsidRPr="0041582A" w:rsidRDefault="00475BBF" w:rsidP="00475BBF">
            <w:pPr>
              <w:rPr>
                <w:rFonts w:ascii="Arial" w:eastAsia="Times New Roman" w:hAnsi="Arial" w:cs="Arial"/>
                <w:b/>
                <w:bCs/>
                <w:color w:val="000000"/>
                <w:sz w:val="18"/>
                <w:szCs w:val="18"/>
                <w:lang w:val="es-PA" w:eastAsia="es-PA"/>
              </w:rPr>
            </w:pPr>
          </w:p>
        </w:tc>
        <w:tc>
          <w:tcPr>
            <w:tcW w:w="1380" w:type="dxa"/>
            <w:gridSpan w:val="2"/>
            <w:tcBorders>
              <w:top w:val="single" w:sz="4" w:space="0" w:color="auto"/>
              <w:left w:val="nil"/>
              <w:bottom w:val="nil"/>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 </w:t>
            </w:r>
          </w:p>
        </w:tc>
        <w:tc>
          <w:tcPr>
            <w:tcW w:w="1306" w:type="dxa"/>
            <w:gridSpan w:val="2"/>
            <w:tcBorders>
              <w:top w:val="single" w:sz="4" w:space="0" w:color="auto"/>
              <w:left w:val="nil"/>
              <w:bottom w:val="nil"/>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 </w:t>
            </w:r>
          </w:p>
        </w:tc>
        <w:tc>
          <w:tcPr>
            <w:tcW w:w="1327" w:type="dxa"/>
            <w:gridSpan w:val="2"/>
            <w:tcBorders>
              <w:top w:val="single" w:sz="4" w:space="0" w:color="auto"/>
              <w:left w:val="nil"/>
              <w:bottom w:val="nil"/>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 </w:t>
            </w:r>
          </w:p>
        </w:tc>
        <w:tc>
          <w:tcPr>
            <w:tcW w:w="1298" w:type="dxa"/>
            <w:gridSpan w:val="2"/>
            <w:tcBorders>
              <w:top w:val="single" w:sz="4" w:space="0" w:color="auto"/>
              <w:left w:val="nil"/>
              <w:bottom w:val="nil"/>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 </w:t>
            </w:r>
          </w:p>
        </w:tc>
        <w:tc>
          <w:tcPr>
            <w:tcW w:w="1282" w:type="dxa"/>
            <w:gridSpan w:val="2"/>
            <w:tcBorders>
              <w:top w:val="single" w:sz="4" w:space="0" w:color="auto"/>
              <w:left w:val="nil"/>
              <w:bottom w:val="nil"/>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 </w:t>
            </w:r>
          </w:p>
        </w:tc>
      </w:tr>
      <w:tr w:rsidR="00475BBF" w:rsidRPr="0041582A" w:rsidTr="008172D7">
        <w:trPr>
          <w:trHeight w:val="120"/>
          <w:jc w:val="center"/>
        </w:trPr>
        <w:tc>
          <w:tcPr>
            <w:tcW w:w="1743" w:type="dxa"/>
            <w:vMerge/>
            <w:tcBorders>
              <w:top w:val="single" w:sz="4" w:space="0" w:color="auto"/>
              <w:left w:val="nil"/>
              <w:bottom w:val="single" w:sz="4" w:space="0" w:color="000000"/>
              <w:right w:val="nil"/>
            </w:tcBorders>
            <w:shd w:val="clear" w:color="auto" w:fill="D5DCE4" w:themeFill="text2" w:themeFillTint="33"/>
            <w:vAlign w:val="center"/>
            <w:hideMark/>
          </w:tcPr>
          <w:p w:rsidR="00475BBF" w:rsidRPr="0041582A" w:rsidRDefault="00475BBF" w:rsidP="00475BBF">
            <w:pPr>
              <w:rPr>
                <w:rFonts w:ascii="Arial" w:eastAsia="Times New Roman" w:hAnsi="Arial" w:cs="Arial"/>
                <w:b/>
                <w:bCs/>
                <w:color w:val="000000"/>
                <w:sz w:val="18"/>
                <w:szCs w:val="18"/>
                <w:lang w:val="es-PA" w:eastAsia="es-PA"/>
              </w:rPr>
            </w:pPr>
          </w:p>
        </w:tc>
        <w:tc>
          <w:tcPr>
            <w:tcW w:w="652"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Nº</w:t>
            </w:r>
          </w:p>
        </w:tc>
        <w:tc>
          <w:tcPr>
            <w:tcW w:w="728"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T</w:t>
            </w:r>
            <w:r w:rsidR="008172D7" w:rsidRPr="0041582A">
              <w:rPr>
                <w:rFonts w:ascii="Arial" w:eastAsia="Times New Roman" w:hAnsi="Arial" w:cs="Arial"/>
                <w:b/>
                <w:bCs/>
                <w:color w:val="000000"/>
                <w:sz w:val="18"/>
                <w:szCs w:val="18"/>
                <w:lang w:val="es-PA" w:eastAsia="es-PA"/>
              </w:rPr>
              <w:t>asa</w:t>
            </w:r>
          </w:p>
        </w:tc>
        <w:tc>
          <w:tcPr>
            <w:tcW w:w="641"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Nº</w:t>
            </w:r>
          </w:p>
        </w:tc>
        <w:tc>
          <w:tcPr>
            <w:tcW w:w="665"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T</w:t>
            </w:r>
            <w:r w:rsidR="008172D7" w:rsidRPr="0041582A">
              <w:rPr>
                <w:rFonts w:ascii="Arial" w:eastAsia="Times New Roman" w:hAnsi="Arial" w:cs="Arial"/>
                <w:b/>
                <w:bCs/>
                <w:color w:val="000000"/>
                <w:sz w:val="18"/>
                <w:szCs w:val="18"/>
                <w:lang w:val="es-PA" w:eastAsia="es-PA"/>
              </w:rPr>
              <w:t>asa</w:t>
            </w:r>
          </w:p>
        </w:tc>
        <w:tc>
          <w:tcPr>
            <w:tcW w:w="641"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Nº</w:t>
            </w:r>
          </w:p>
        </w:tc>
        <w:tc>
          <w:tcPr>
            <w:tcW w:w="686"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T</w:t>
            </w:r>
            <w:r w:rsidR="008172D7" w:rsidRPr="0041582A">
              <w:rPr>
                <w:rFonts w:ascii="Arial" w:eastAsia="Times New Roman" w:hAnsi="Arial" w:cs="Arial"/>
                <w:b/>
                <w:bCs/>
                <w:color w:val="000000"/>
                <w:sz w:val="18"/>
                <w:szCs w:val="18"/>
                <w:lang w:val="es-PA" w:eastAsia="es-PA"/>
              </w:rPr>
              <w:t>asa</w:t>
            </w:r>
          </w:p>
        </w:tc>
        <w:tc>
          <w:tcPr>
            <w:tcW w:w="591"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Nº</w:t>
            </w:r>
          </w:p>
        </w:tc>
        <w:tc>
          <w:tcPr>
            <w:tcW w:w="707"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T</w:t>
            </w:r>
            <w:r w:rsidR="008172D7" w:rsidRPr="0041582A">
              <w:rPr>
                <w:rFonts w:ascii="Arial" w:eastAsia="Times New Roman" w:hAnsi="Arial" w:cs="Arial"/>
                <w:b/>
                <w:bCs/>
                <w:color w:val="000000"/>
                <w:sz w:val="18"/>
                <w:szCs w:val="18"/>
                <w:lang w:val="es-PA" w:eastAsia="es-PA"/>
              </w:rPr>
              <w:t>asa</w:t>
            </w:r>
          </w:p>
        </w:tc>
        <w:tc>
          <w:tcPr>
            <w:tcW w:w="641"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Nº</w:t>
            </w:r>
          </w:p>
        </w:tc>
        <w:tc>
          <w:tcPr>
            <w:tcW w:w="641" w:type="dxa"/>
            <w:tcBorders>
              <w:top w:val="nil"/>
              <w:left w:val="nil"/>
              <w:bottom w:val="single" w:sz="4" w:space="0" w:color="auto"/>
              <w:right w:val="nil"/>
            </w:tcBorders>
            <w:shd w:val="clear" w:color="auto" w:fill="D5DCE4" w:themeFill="text2" w:themeFillTint="33"/>
            <w:noWrap/>
            <w:vAlign w:val="center"/>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T</w:t>
            </w:r>
            <w:r w:rsidR="008172D7" w:rsidRPr="0041582A">
              <w:rPr>
                <w:rFonts w:ascii="Arial" w:eastAsia="Times New Roman" w:hAnsi="Arial" w:cs="Arial"/>
                <w:b/>
                <w:bCs/>
                <w:color w:val="000000"/>
                <w:sz w:val="18"/>
                <w:szCs w:val="18"/>
                <w:lang w:val="es-PA" w:eastAsia="es-PA"/>
              </w:rPr>
              <w:t>asa</w:t>
            </w:r>
          </w:p>
        </w:tc>
      </w:tr>
      <w:tr w:rsidR="00475BBF" w:rsidRPr="0041582A" w:rsidTr="008172D7">
        <w:trPr>
          <w:trHeight w:val="300"/>
          <w:jc w:val="center"/>
        </w:trPr>
        <w:tc>
          <w:tcPr>
            <w:tcW w:w="1743"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TOTAL</w:t>
            </w:r>
          </w:p>
        </w:tc>
        <w:tc>
          <w:tcPr>
            <w:tcW w:w="652"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4</w:t>
            </w:r>
            <w:r w:rsidR="008172D7">
              <w:rPr>
                <w:rFonts w:ascii="Arial" w:eastAsia="Times New Roman" w:hAnsi="Arial" w:cs="Arial"/>
                <w:b/>
                <w:bCs/>
                <w:color w:val="000000"/>
                <w:sz w:val="18"/>
                <w:szCs w:val="18"/>
                <w:lang w:val="es-PA" w:eastAsia="es-PA"/>
              </w:rPr>
              <w:t>.</w:t>
            </w:r>
            <w:r w:rsidRPr="0041582A">
              <w:rPr>
                <w:rFonts w:ascii="Arial" w:eastAsia="Times New Roman" w:hAnsi="Arial" w:cs="Arial"/>
                <w:b/>
                <w:bCs/>
                <w:color w:val="000000"/>
                <w:sz w:val="18"/>
                <w:szCs w:val="18"/>
                <w:lang w:val="es-PA" w:eastAsia="es-PA"/>
              </w:rPr>
              <w:t>980</w:t>
            </w:r>
          </w:p>
        </w:tc>
        <w:tc>
          <w:tcPr>
            <w:tcW w:w="728" w:type="dxa"/>
            <w:tcBorders>
              <w:top w:val="nil"/>
              <w:left w:val="nil"/>
              <w:bottom w:val="single" w:sz="4" w:space="0" w:color="auto"/>
              <w:right w:val="nil"/>
            </w:tcBorders>
            <w:shd w:val="clear" w:color="000000" w:fill="FFFFFF"/>
            <w:noWrap/>
            <w:vAlign w:val="bottom"/>
            <w:hideMark/>
          </w:tcPr>
          <w:p w:rsidR="00475BBF" w:rsidRPr="0041582A" w:rsidRDefault="00475BBF" w:rsidP="008172D7">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104</w:t>
            </w:r>
            <w:r w:rsidR="008172D7">
              <w:rPr>
                <w:rFonts w:ascii="Arial" w:eastAsia="Times New Roman" w:hAnsi="Arial" w:cs="Arial"/>
                <w:b/>
                <w:bCs/>
                <w:color w:val="000000"/>
                <w:sz w:val="18"/>
                <w:szCs w:val="18"/>
                <w:lang w:val="es-PA" w:eastAsia="es-PA"/>
              </w:rPr>
              <w:t>,</w:t>
            </w:r>
            <w:r w:rsidRPr="0041582A">
              <w:rPr>
                <w:rFonts w:ascii="Arial" w:eastAsia="Times New Roman" w:hAnsi="Arial" w:cs="Arial"/>
                <w:b/>
                <w:bCs/>
                <w:color w:val="000000"/>
                <w:sz w:val="18"/>
                <w:szCs w:val="18"/>
                <w:lang w:val="es-PA" w:eastAsia="es-PA"/>
              </w:rPr>
              <w:t>3</w:t>
            </w:r>
          </w:p>
        </w:tc>
        <w:tc>
          <w:tcPr>
            <w:tcW w:w="641" w:type="dxa"/>
            <w:tcBorders>
              <w:top w:val="nil"/>
              <w:left w:val="single" w:sz="8" w:space="0" w:color="auto"/>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3</w:t>
            </w:r>
            <w:r w:rsidR="008172D7">
              <w:rPr>
                <w:rFonts w:ascii="Arial" w:eastAsia="Times New Roman" w:hAnsi="Arial" w:cs="Arial"/>
                <w:b/>
                <w:bCs/>
                <w:color w:val="000000"/>
                <w:sz w:val="18"/>
                <w:szCs w:val="18"/>
                <w:lang w:val="es-PA" w:eastAsia="es-PA"/>
              </w:rPr>
              <w:t>.</w:t>
            </w:r>
            <w:r w:rsidRPr="0041582A">
              <w:rPr>
                <w:rFonts w:ascii="Arial" w:eastAsia="Times New Roman" w:hAnsi="Arial" w:cs="Arial"/>
                <w:b/>
                <w:bCs/>
                <w:color w:val="000000"/>
                <w:sz w:val="18"/>
                <w:szCs w:val="18"/>
                <w:lang w:val="es-PA" w:eastAsia="es-PA"/>
              </w:rPr>
              <w:t>369</w:t>
            </w:r>
          </w:p>
        </w:tc>
        <w:tc>
          <w:tcPr>
            <w:tcW w:w="665"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69.7</w:t>
            </w:r>
          </w:p>
        </w:tc>
        <w:tc>
          <w:tcPr>
            <w:tcW w:w="641" w:type="dxa"/>
            <w:tcBorders>
              <w:top w:val="nil"/>
              <w:left w:val="single" w:sz="8" w:space="0" w:color="auto"/>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3</w:t>
            </w:r>
            <w:r w:rsidR="008172D7">
              <w:rPr>
                <w:rFonts w:ascii="Arial" w:eastAsia="Times New Roman" w:hAnsi="Arial" w:cs="Arial"/>
                <w:b/>
                <w:bCs/>
                <w:color w:val="000000"/>
                <w:sz w:val="18"/>
                <w:szCs w:val="18"/>
                <w:lang w:val="es-PA" w:eastAsia="es-PA"/>
              </w:rPr>
              <w:t>.</w:t>
            </w:r>
            <w:r w:rsidRPr="0041582A">
              <w:rPr>
                <w:rFonts w:ascii="Arial" w:eastAsia="Times New Roman" w:hAnsi="Arial" w:cs="Arial"/>
                <w:b/>
                <w:bCs/>
                <w:color w:val="000000"/>
                <w:sz w:val="18"/>
                <w:szCs w:val="18"/>
                <w:lang w:val="es-PA" w:eastAsia="es-PA"/>
              </w:rPr>
              <w:t>325</w:t>
            </w:r>
          </w:p>
        </w:tc>
        <w:tc>
          <w:tcPr>
            <w:tcW w:w="686"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68.0</w:t>
            </w:r>
          </w:p>
        </w:tc>
        <w:tc>
          <w:tcPr>
            <w:tcW w:w="591" w:type="dxa"/>
            <w:tcBorders>
              <w:top w:val="nil"/>
              <w:left w:val="single" w:sz="8" w:space="0" w:color="auto"/>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2</w:t>
            </w:r>
            <w:r w:rsidR="008172D7">
              <w:rPr>
                <w:rFonts w:ascii="Arial" w:eastAsia="Times New Roman" w:hAnsi="Arial" w:cs="Arial"/>
                <w:b/>
                <w:bCs/>
                <w:color w:val="000000"/>
                <w:sz w:val="18"/>
                <w:szCs w:val="18"/>
                <w:lang w:val="es-PA" w:eastAsia="es-PA"/>
              </w:rPr>
              <w:t>.</w:t>
            </w:r>
            <w:r w:rsidRPr="0041582A">
              <w:rPr>
                <w:rFonts w:ascii="Arial" w:eastAsia="Times New Roman" w:hAnsi="Arial" w:cs="Arial"/>
                <w:b/>
                <w:bCs/>
                <w:color w:val="000000"/>
                <w:sz w:val="18"/>
                <w:szCs w:val="18"/>
                <w:lang w:val="es-PA" w:eastAsia="es-PA"/>
              </w:rPr>
              <w:t>450</w:t>
            </w:r>
          </w:p>
        </w:tc>
        <w:tc>
          <w:tcPr>
            <w:tcW w:w="707"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49.5</w:t>
            </w:r>
          </w:p>
        </w:tc>
        <w:tc>
          <w:tcPr>
            <w:tcW w:w="641" w:type="dxa"/>
            <w:tcBorders>
              <w:top w:val="nil"/>
              <w:left w:val="single" w:sz="8" w:space="0" w:color="auto"/>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3</w:t>
            </w:r>
            <w:r w:rsidR="008172D7">
              <w:rPr>
                <w:rFonts w:ascii="Arial" w:eastAsia="Times New Roman" w:hAnsi="Arial" w:cs="Arial"/>
                <w:b/>
                <w:bCs/>
                <w:color w:val="000000"/>
                <w:sz w:val="18"/>
                <w:szCs w:val="18"/>
                <w:lang w:val="es-PA" w:eastAsia="es-PA"/>
              </w:rPr>
              <w:t>.</w:t>
            </w:r>
            <w:r w:rsidRPr="0041582A">
              <w:rPr>
                <w:rFonts w:ascii="Arial" w:eastAsia="Times New Roman" w:hAnsi="Arial" w:cs="Arial"/>
                <w:b/>
                <w:bCs/>
                <w:color w:val="000000"/>
                <w:sz w:val="18"/>
                <w:szCs w:val="18"/>
                <w:lang w:val="es-PA" w:eastAsia="es-PA"/>
              </w:rPr>
              <w:t>587</w:t>
            </w:r>
          </w:p>
        </w:tc>
        <w:tc>
          <w:tcPr>
            <w:tcW w:w="641"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b/>
                <w:bCs/>
                <w:color w:val="000000"/>
                <w:sz w:val="18"/>
                <w:szCs w:val="18"/>
                <w:lang w:val="es-PA" w:eastAsia="es-PA"/>
              </w:rPr>
            </w:pPr>
            <w:r w:rsidRPr="0041582A">
              <w:rPr>
                <w:rFonts w:ascii="Arial" w:eastAsia="Times New Roman" w:hAnsi="Arial" w:cs="Arial"/>
                <w:b/>
                <w:bCs/>
                <w:color w:val="000000"/>
                <w:sz w:val="18"/>
                <w:szCs w:val="18"/>
                <w:lang w:val="es-PA" w:eastAsia="es-PA"/>
              </w:rPr>
              <w:t>71.7</w:t>
            </w:r>
          </w:p>
        </w:tc>
      </w:tr>
      <w:tr w:rsidR="00475BBF" w:rsidRPr="0041582A" w:rsidTr="008172D7">
        <w:trPr>
          <w:trHeight w:val="300"/>
          <w:jc w:val="center"/>
        </w:trPr>
        <w:tc>
          <w:tcPr>
            <w:tcW w:w="1743" w:type="dxa"/>
            <w:tcBorders>
              <w:top w:val="single" w:sz="4" w:space="0" w:color="auto"/>
              <w:left w:val="nil"/>
              <w:bottom w:val="nil"/>
              <w:right w:val="nil"/>
            </w:tcBorders>
            <w:shd w:val="clear" w:color="000000" w:fill="FFFFFF"/>
            <w:noWrap/>
            <w:vAlign w:val="bottom"/>
            <w:hideMark/>
          </w:tcPr>
          <w:p w:rsidR="00475BBF" w:rsidRPr="0041582A" w:rsidRDefault="00475BBF" w:rsidP="00475BBF">
            <w:pP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Menos de 1 año</w:t>
            </w:r>
          </w:p>
        </w:tc>
        <w:tc>
          <w:tcPr>
            <w:tcW w:w="652" w:type="dxa"/>
            <w:tcBorders>
              <w:top w:val="single" w:sz="4" w:space="0" w:color="auto"/>
              <w:left w:val="nil"/>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352</w:t>
            </w:r>
          </w:p>
        </w:tc>
        <w:tc>
          <w:tcPr>
            <w:tcW w:w="728" w:type="dxa"/>
            <w:tcBorders>
              <w:top w:val="single" w:sz="4" w:space="0" w:color="auto"/>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490</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3</w:t>
            </w:r>
          </w:p>
        </w:tc>
        <w:tc>
          <w:tcPr>
            <w:tcW w:w="641" w:type="dxa"/>
            <w:tcBorders>
              <w:top w:val="single" w:sz="4" w:space="0" w:color="auto"/>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196</w:t>
            </w:r>
          </w:p>
        </w:tc>
        <w:tc>
          <w:tcPr>
            <w:tcW w:w="665" w:type="dxa"/>
            <w:tcBorders>
              <w:top w:val="single" w:sz="4" w:space="0" w:color="auto"/>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272</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9</w:t>
            </w:r>
          </w:p>
        </w:tc>
        <w:tc>
          <w:tcPr>
            <w:tcW w:w="641" w:type="dxa"/>
            <w:tcBorders>
              <w:top w:val="single" w:sz="4" w:space="0" w:color="auto"/>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66</w:t>
            </w:r>
          </w:p>
        </w:tc>
        <w:tc>
          <w:tcPr>
            <w:tcW w:w="686" w:type="dxa"/>
            <w:tcBorders>
              <w:top w:val="single" w:sz="4" w:space="0" w:color="auto"/>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94</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3</w:t>
            </w:r>
          </w:p>
        </w:tc>
        <w:tc>
          <w:tcPr>
            <w:tcW w:w="591" w:type="dxa"/>
            <w:tcBorders>
              <w:top w:val="single" w:sz="4" w:space="0" w:color="auto"/>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116</w:t>
            </w:r>
          </w:p>
        </w:tc>
        <w:tc>
          <w:tcPr>
            <w:tcW w:w="707" w:type="dxa"/>
            <w:tcBorders>
              <w:top w:val="single" w:sz="4" w:space="0" w:color="auto"/>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163</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8</w:t>
            </w:r>
          </w:p>
        </w:tc>
        <w:tc>
          <w:tcPr>
            <w:tcW w:w="641" w:type="dxa"/>
            <w:tcBorders>
              <w:top w:val="single" w:sz="4" w:space="0" w:color="auto"/>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169</w:t>
            </w:r>
          </w:p>
        </w:tc>
        <w:tc>
          <w:tcPr>
            <w:tcW w:w="641" w:type="dxa"/>
            <w:tcBorders>
              <w:top w:val="single" w:sz="4" w:space="0" w:color="auto"/>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233</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2</w:t>
            </w:r>
          </w:p>
        </w:tc>
      </w:tr>
      <w:tr w:rsidR="00475BBF" w:rsidRPr="0041582A" w:rsidTr="008172D7">
        <w:trPr>
          <w:trHeight w:val="300"/>
          <w:jc w:val="center"/>
        </w:trPr>
        <w:tc>
          <w:tcPr>
            <w:tcW w:w="1743" w:type="dxa"/>
            <w:tcBorders>
              <w:top w:val="nil"/>
              <w:left w:val="nil"/>
              <w:bottom w:val="nil"/>
              <w:right w:val="nil"/>
            </w:tcBorders>
            <w:shd w:val="clear" w:color="000000" w:fill="FFFFFF"/>
            <w:noWrap/>
            <w:vAlign w:val="bottom"/>
            <w:hideMark/>
          </w:tcPr>
          <w:p w:rsidR="00475BBF" w:rsidRPr="0041582A" w:rsidRDefault="00475BBF" w:rsidP="00475BBF">
            <w:pP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 a 9 años</w:t>
            </w:r>
          </w:p>
        </w:tc>
        <w:tc>
          <w:tcPr>
            <w:tcW w:w="652" w:type="dxa"/>
            <w:tcBorders>
              <w:top w:val="nil"/>
              <w:left w:val="nil"/>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124</w:t>
            </w:r>
          </w:p>
        </w:tc>
        <w:tc>
          <w:tcPr>
            <w:tcW w:w="728"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320</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7</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979</w:t>
            </w:r>
          </w:p>
        </w:tc>
        <w:tc>
          <w:tcPr>
            <w:tcW w:w="665"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147</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2</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338</w:t>
            </w:r>
          </w:p>
        </w:tc>
        <w:tc>
          <w:tcPr>
            <w:tcW w:w="686"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199</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7</w:t>
            </w:r>
          </w:p>
        </w:tc>
        <w:tc>
          <w:tcPr>
            <w:tcW w:w="59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781</w:t>
            </w:r>
          </w:p>
        </w:tc>
        <w:tc>
          <w:tcPr>
            <w:tcW w:w="707"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116</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3</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899</w:t>
            </w:r>
          </w:p>
        </w:tc>
        <w:tc>
          <w:tcPr>
            <w:tcW w:w="641"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134</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4</w:t>
            </w:r>
          </w:p>
        </w:tc>
      </w:tr>
      <w:tr w:rsidR="00475BBF" w:rsidRPr="0041582A" w:rsidTr="008172D7">
        <w:trPr>
          <w:trHeight w:val="300"/>
          <w:jc w:val="center"/>
        </w:trPr>
        <w:tc>
          <w:tcPr>
            <w:tcW w:w="1743" w:type="dxa"/>
            <w:tcBorders>
              <w:top w:val="nil"/>
              <w:left w:val="nil"/>
              <w:bottom w:val="nil"/>
              <w:right w:val="nil"/>
            </w:tcBorders>
            <w:shd w:val="clear" w:color="000000" w:fill="FFFFFF"/>
            <w:noWrap/>
            <w:vAlign w:val="bottom"/>
            <w:hideMark/>
          </w:tcPr>
          <w:p w:rsidR="00475BBF" w:rsidRPr="0041582A" w:rsidRDefault="00475BBF" w:rsidP="00475BBF">
            <w:pP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10 a 19 años</w:t>
            </w:r>
          </w:p>
        </w:tc>
        <w:tc>
          <w:tcPr>
            <w:tcW w:w="652" w:type="dxa"/>
            <w:tcBorders>
              <w:top w:val="nil"/>
              <w:left w:val="nil"/>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304</w:t>
            </w:r>
          </w:p>
        </w:tc>
        <w:tc>
          <w:tcPr>
            <w:tcW w:w="728"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163</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5</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237</w:t>
            </w:r>
          </w:p>
        </w:tc>
        <w:tc>
          <w:tcPr>
            <w:tcW w:w="665"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157</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2</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099</w:t>
            </w:r>
          </w:p>
        </w:tc>
        <w:tc>
          <w:tcPr>
            <w:tcW w:w="686"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141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6</w:t>
            </w:r>
          </w:p>
        </w:tc>
        <w:tc>
          <w:tcPr>
            <w:tcW w:w="59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840</w:t>
            </w:r>
          </w:p>
        </w:tc>
        <w:tc>
          <w:tcPr>
            <w:tcW w:w="707"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109</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3</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155</w:t>
            </w:r>
          </w:p>
        </w:tc>
        <w:tc>
          <w:tcPr>
            <w:tcW w:w="641"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151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1</w:t>
            </w:r>
          </w:p>
        </w:tc>
      </w:tr>
      <w:tr w:rsidR="00475BBF" w:rsidRPr="0041582A" w:rsidTr="008172D7">
        <w:trPr>
          <w:trHeight w:val="300"/>
          <w:jc w:val="center"/>
        </w:trPr>
        <w:tc>
          <w:tcPr>
            <w:tcW w:w="1743" w:type="dxa"/>
            <w:tcBorders>
              <w:top w:val="nil"/>
              <w:left w:val="nil"/>
              <w:bottom w:val="nil"/>
              <w:right w:val="nil"/>
            </w:tcBorders>
            <w:shd w:val="clear" w:color="000000" w:fill="FFFFFF"/>
            <w:noWrap/>
            <w:vAlign w:val="bottom"/>
            <w:hideMark/>
          </w:tcPr>
          <w:p w:rsidR="00475BBF" w:rsidRPr="0041582A" w:rsidRDefault="00475BBF" w:rsidP="00475BBF">
            <w:pP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20 a 64 años</w:t>
            </w:r>
          </w:p>
        </w:tc>
        <w:tc>
          <w:tcPr>
            <w:tcW w:w="652" w:type="dxa"/>
            <w:tcBorders>
              <w:top w:val="nil"/>
              <w:left w:val="nil"/>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173</w:t>
            </w:r>
          </w:p>
        </w:tc>
        <w:tc>
          <w:tcPr>
            <w:tcW w:w="728"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40</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4</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937</w:t>
            </w:r>
          </w:p>
        </w:tc>
        <w:tc>
          <w:tcPr>
            <w:tcW w:w="665"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31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7</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797</w:t>
            </w:r>
          </w:p>
        </w:tc>
        <w:tc>
          <w:tcPr>
            <w:tcW w:w="686"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26</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5</w:t>
            </w:r>
          </w:p>
        </w:tc>
        <w:tc>
          <w:tcPr>
            <w:tcW w:w="59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703</w:t>
            </w:r>
          </w:p>
        </w:tc>
        <w:tc>
          <w:tcPr>
            <w:tcW w:w="707"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23</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1</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339</w:t>
            </w:r>
          </w:p>
        </w:tc>
        <w:tc>
          <w:tcPr>
            <w:tcW w:w="641"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43</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4</w:t>
            </w:r>
          </w:p>
        </w:tc>
      </w:tr>
      <w:tr w:rsidR="00475BBF" w:rsidRPr="0041582A" w:rsidTr="008172D7">
        <w:trPr>
          <w:trHeight w:val="300"/>
          <w:jc w:val="center"/>
        </w:trPr>
        <w:tc>
          <w:tcPr>
            <w:tcW w:w="1743" w:type="dxa"/>
            <w:tcBorders>
              <w:top w:val="nil"/>
              <w:left w:val="nil"/>
              <w:bottom w:val="nil"/>
              <w:right w:val="nil"/>
            </w:tcBorders>
            <w:shd w:val="clear" w:color="000000" w:fill="FFFFFF"/>
            <w:noWrap/>
            <w:vAlign w:val="bottom"/>
            <w:hideMark/>
          </w:tcPr>
          <w:p w:rsidR="00475BBF" w:rsidRPr="0041582A" w:rsidRDefault="00475BBF" w:rsidP="00475BBF">
            <w:pP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65 años y más</w:t>
            </w:r>
          </w:p>
        </w:tc>
        <w:tc>
          <w:tcPr>
            <w:tcW w:w="652" w:type="dxa"/>
            <w:tcBorders>
              <w:top w:val="nil"/>
              <w:left w:val="nil"/>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27</w:t>
            </w:r>
          </w:p>
        </w:tc>
        <w:tc>
          <w:tcPr>
            <w:tcW w:w="728"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7</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9</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20</w:t>
            </w:r>
          </w:p>
        </w:tc>
        <w:tc>
          <w:tcPr>
            <w:tcW w:w="665"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5</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6</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25</w:t>
            </w:r>
          </w:p>
        </w:tc>
        <w:tc>
          <w:tcPr>
            <w:tcW w:w="686"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6</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7</w:t>
            </w:r>
          </w:p>
        </w:tc>
        <w:tc>
          <w:tcPr>
            <w:tcW w:w="59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10</w:t>
            </w:r>
          </w:p>
        </w:tc>
        <w:tc>
          <w:tcPr>
            <w:tcW w:w="707"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6</w:t>
            </w:r>
          </w:p>
        </w:tc>
        <w:tc>
          <w:tcPr>
            <w:tcW w:w="641" w:type="dxa"/>
            <w:tcBorders>
              <w:top w:val="nil"/>
              <w:left w:val="single" w:sz="8" w:space="0" w:color="auto"/>
              <w:bottom w:val="nil"/>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24</w:t>
            </w:r>
          </w:p>
        </w:tc>
        <w:tc>
          <w:tcPr>
            <w:tcW w:w="641" w:type="dxa"/>
            <w:tcBorders>
              <w:top w:val="nil"/>
              <w:left w:val="nil"/>
              <w:bottom w:val="nil"/>
              <w:right w:val="nil"/>
            </w:tcBorders>
            <w:shd w:val="clear" w:color="000000" w:fill="FFFFFF"/>
            <w:noWrap/>
            <w:vAlign w:val="bottom"/>
            <w:hideMark/>
          </w:tcPr>
          <w:p w:rsidR="00475BBF" w:rsidRPr="0041582A" w:rsidRDefault="00475BBF" w:rsidP="008172D7">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5</w:t>
            </w:r>
            <w:r w:rsidR="008172D7">
              <w:rPr>
                <w:rFonts w:ascii="Arial" w:eastAsia="Times New Roman" w:hAnsi="Arial" w:cs="Arial"/>
                <w:color w:val="000000"/>
                <w:sz w:val="20"/>
                <w:szCs w:val="20"/>
                <w:lang w:val="es-PA" w:eastAsia="es-PA"/>
              </w:rPr>
              <w:t>,</w:t>
            </w:r>
            <w:r w:rsidRPr="0041582A">
              <w:rPr>
                <w:rFonts w:ascii="Arial" w:eastAsia="Times New Roman" w:hAnsi="Arial" w:cs="Arial"/>
                <w:color w:val="000000"/>
                <w:sz w:val="20"/>
                <w:szCs w:val="20"/>
                <w:lang w:val="es-PA" w:eastAsia="es-PA"/>
              </w:rPr>
              <w:t>9</w:t>
            </w:r>
          </w:p>
        </w:tc>
      </w:tr>
      <w:tr w:rsidR="00475BBF" w:rsidRPr="0041582A" w:rsidTr="008172D7">
        <w:trPr>
          <w:trHeight w:val="300"/>
          <w:jc w:val="center"/>
        </w:trPr>
        <w:tc>
          <w:tcPr>
            <w:tcW w:w="1743" w:type="dxa"/>
            <w:tcBorders>
              <w:top w:val="nil"/>
              <w:left w:val="nil"/>
              <w:bottom w:val="single" w:sz="4" w:space="0" w:color="auto"/>
              <w:right w:val="nil"/>
            </w:tcBorders>
            <w:shd w:val="clear" w:color="000000" w:fill="FFFFFF"/>
            <w:noWrap/>
            <w:vAlign w:val="bottom"/>
            <w:hideMark/>
          </w:tcPr>
          <w:p w:rsidR="00475BBF" w:rsidRPr="0041582A" w:rsidRDefault="00475BBF" w:rsidP="00475BBF">
            <w:pP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Ignorados</w:t>
            </w:r>
          </w:p>
        </w:tc>
        <w:tc>
          <w:tcPr>
            <w:tcW w:w="652"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0</w:t>
            </w:r>
          </w:p>
        </w:tc>
        <w:tc>
          <w:tcPr>
            <w:tcW w:w="728"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 </w:t>
            </w:r>
          </w:p>
        </w:tc>
        <w:tc>
          <w:tcPr>
            <w:tcW w:w="641" w:type="dxa"/>
            <w:tcBorders>
              <w:top w:val="nil"/>
              <w:left w:val="single" w:sz="8" w:space="0" w:color="auto"/>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0</w:t>
            </w:r>
          </w:p>
        </w:tc>
        <w:tc>
          <w:tcPr>
            <w:tcW w:w="665"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 </w:t>
            </w:r>
          </w:p>
        </w:tc>
        <w:tc>
          <w:tcPr>
            <w:tcW w:w="641" w:type="dxa"/>
            <w:tcBorders>
              <w:top w:val="nil"/>
              <w:left w:val="single" w:sz="8" w:space="0" w:color="auto"/>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0</w:t>
            </w:r>
          </w:p>
        </w:tc>
        <w:tc>
          <w:tcPr>
            <w:tcW w:w="686" w:type="dxa"/>
            <w:tcBorders>
              <w:top w:val="nil"/>
              <w:left w:val="nil"/>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 </w:t>
            </w:r>
          </w:p>
        </w:tc>
        <w:tc>
          <w:tcPr>
            <w:tcW w:w="591" w:type="dxa"/>
            <w:tcBorders>
              <w:top w:val="nil"/>
              <w:left w:val="single" w:sz="8" w:space="0" w:color="auto"/>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0</w:t>
            </w:r>
          </w:p>
        </w:tc>
        <w:tc>
          <w:tcPr>
            <w:tcW w:w="707" w:type="dxa"/>
            <w:tcBorders>
              <w:top w:val="nil"/>
              <w:left w:val="nil"/>
              <w:bottom w:val="single" w:sz="4" w:space="0" w:color="auto"/>
              <w:right w:val="nil"/>
            </w:tcBorders>
            <w:shd w:val="clear" w:color="auto" w:fill="auto"/>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 </w:t>
            </w:r>
          </w:p>
        </w:tc>
        <w:tc>
          <w:tcPr>
            <w:tcW w:w="641" w:type="dxa"/>
            <w:tcBorders>
              <w:top w:val="nil"/>
              <w:left w:val="single" w:sz="8" w:space="0" w:color="auto"/>
              <w:bottom w:val="single" w:sz="4" w:space="0" w:color="auto"/>
              <w:right w:val="nil"/>
            </w:tcBorders>
            <w:shd w:val="clear" w:color="000000" w:fill="FFFFFF"/>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1</w:t>
            </w:r>
          </w:p>
        </w:tc>
        <w:tc>
          <w:tcPr>
            <w:tcW w:w="641" w:type="dxa"/>
            <w:tcBorders>
              <w:top w:val="nil"/>
              <w:left w:val="nil"/>
              <w:bottom w:val="single" w:sz="4" w:space="0" w:color="auto"/>
              <w:right w:val="nil"/>
            </w:tcBorders>
            <w:shd w:val="clear" w:color="auto" w:fill="auto"/>
            <w:noWrap/>
            <w:vAlign w:val="bottom"/>
            <w:hideMark/>
          </w:tcPr>
          <w:p w:rsidR="00475BBF" w:rsidRPr="0041582A" w:rsidRDefault="00475BBF" w:rsidP="00475BBF">
            <w:pPr>
              <w:jc w:val="center"/>
              <w:rPr>
                <w:rFonts w:ascii="Arial" w:eastAsia="Times New Roman" w:hAnsi="Arial" w:cs="Arial"/>
                <w:color w:val="000000"/>
                <w:sz w:val="20"/>
                <w:szCs w:val="20"/>
                <w:lang w:val="es-PA" w:eastAsia="es-PA"/>
              </w:rPr>
            </w:pPr>
            <w:r w:rsidRPr="0041582A">
              <w:rPr>
                <w:rFonts w:ascii="Arial" w:eastAsia="Times New Roman" w:hAnsi="Arial" w:cs="Arial"/>
                <w:color w:val="000000"/>
                <w:sz w:val="20"/>
                <w:szCs w:val="20"/>
                <w:lang w:val="es-PA" w:eastAsia="es-PA"/>
              </w:rPr>
              <w:t> </w:t>
            </w:r>
          </w:p>
        </w:tc>
      </w:tr>
    </w:tbl>
    <w:p w:rsidR="00475BBF" w:rsidRDefault="00475BBF" w:rsidP="0096325E">
      <w:pPr>
        <w:spacing w:line="360" w:lineRule="auto"/>
        <w:jc w:val="right"/>
        <w:rPr>
          <w:rFonts w:ascii="Arial" w:hAnsi="Arial" w:cs="Arial"/>
          <w:lang w:val="es-CR"/>
        </w:rPr>
      </w:pPr>
      <w:r w:rsidRPr="0096325E">
        <w:rPr>
          <w:rFonts w:ascii="Arial" w:hAnsi="Arial" w:cs="Arial"/>
          <w:b/>
          <w:sz w:val="20"/>
          <w:szCs w:val="20"/>
          <w:lang w:val="es-MX"/>
        </w:rPr>
        <w:t>Fuente:</w:t>
      </w:r>
      <w:r w:rsidRPr="00F527C7">
        <w:rPr>
          <w:rFonts w:ascii="Arial" w:hAnsi="Arial" w:cs="Arial"/>
          <w:sz w:val="20"/>
          <w:szCs w:val="20"/>
          <w:lang w:val="es-MX"/>
        </w:rPr>
        <w:t xml:space="preserve"> Dirección de Vigilancia de la Salud. Ministerio de Salud</w:t>
      </w:r>
      <w:r w:rsidR="0096325E">
        <w:rPr>
          <w:rFonts w:ascii="Arial" w:hAnsi="Arial" w:cs="Arial"/>
          <w:sz w:val="20"/>
          <w:szCs w:val="20"/>
          <w:lang w:val="es-MX"/>
        </w:rPr>
        <w:t>, 2019.</w:t>
      </w:r>
    </w:p>
    <w:p w:rsidR="0096325E" w:rsidRDefault="0096325E" w:rsidP="00475BBF">
      <w:pPr>
        <w:spacing w:line="276" w:lineRule="auto"/>
        <w:jc w:val="both"/>
        <w:rPr>
          <w:rFonts w:ascii="Arial" w:eastAsia="Times New Roman" w:hAnsi="Arial" w:cs="Arial"/>
          <w:lang w:val="es-ES" w:eastAsia="es-ES"/>
        </w:rPr>
      </w:pPr>
    </w:p>
    <w:p w:rsidR="00475BBF" w:rsidRPr="007135AE" w:rsidRDefault="00475BBF" w:rsidP="00475BBF">
      <w:pPr>
        <w:spacing w:line="276" w:lineRule="auto"/>
        <w:jc w:val="both"/>
        <w:rPr>
          <w:rFonts w:ascii="Arial" w:eastAsia="Times New Roman" w:hAnsi="Arial" w:cs="Arial"/>
          <w:lang w:val="es-ES" w:eastAsia="es-ES"/>
        </w:rPr>
      </w:pPr>
      <w:r w:rsidRPr="00195725">
        <w:rPr>
          <w:rFonts w:ascii="Arial" w:eastAsia="Times New Roman" w:hAnsi="Arial" w:cs="Arial"/>
          <w:lang w:val="es-ES" w:eastAsia="es-ES"/>
        </w:rPr>
        <w:t>El mayor número de casos notificados por varicela</w:t>
      </w:r>
      <w:r w:rsidR="0096325E">
        <w:rPr>
          <w:rFonts w:ascii="Arial" w:eastAsia="Times New Roman" w:hAnsi="Arial" w:cs="Arial"/>
          <w:lang w:val="es-ES" w:eastAsia="es-ES"/>
        </w:rPr>
        <w:t xml:space="preserve"> se presentó en hombres</w:t>
      </w:r>
      <w:r w:rsidRPr="00195725">
        <w:rPr>
          <w:rFonts w:ascii="Arial" w:eastAsia="Times New Roman" w:hAnsi="Arial" w:cs="Arial"/>
          <w:lang w:val="es-ES" w:eastAsia="es-ES"/>
        </w:rPr>
        <w:t xml:space="preserve">, con una incidencia promedio de 75,5 </w:t>
      </w:r>
      <w:r>
        <w:rPr>
          <w:rFonts w:ascii="Arial" w:eastAsia="Times New Roman" w:hAnsi="Arial" w:cs="Arial"/>
          <w:lang w:val="es-ES" w:eastAsia="es-ES"/>
        </w:rPr>
        <w:t>por 100</w:t>
      </w:r>
      <w:r w:rsidR="00BB0F6E">
        <w:rPr>
          <w:rFonts w:ascii="Arial" w:eastAsia="Times New Roman" w:hAnsi="Arial" w:cs="Arial"/>
          <w:lang w:val="es-ES" w:eastAsia="es-ES"/>
        </w:rPr>
        <w:t>.</w:t>
      </w:r>
      <w:r w:rsidR="0096325E">
        <w:rPr>
          <w:rFonts w:ascii="Arial" w:eastAsia="Times New Roman" w:hAnsi="Arial" w:cs="Arial"/>
          <w:lang w:val="es-ES" w:eastAsia="es-ES"/>
        </w:rPr>
        <w:t>000 habitantes para el período.</w:t>
      </w:r>
    </w:p>
    <w:p w:rsidR="00475BBF" w:rsidRDefault="00475BBF" w:rsidP="00475BBF">
      <w:pPr>
        <w:spacing w:line="276" w:lineRule="auto"/>
        <w:jc w:val="both"/>
        <w:rPr>
          <w:rFonts w:ascii="Arial" w:hAnsi="Arial" w:cs="Arial"/>
          <w:lang w:val="es-CR"/>
        </w:rPr>
      </w:pPr>
    </w:p>
    <w:p w:rsidR="00475BBF" w:rsidRDefault="0096325E" w:rsidP="00475BBF">
      <w:pPr>
        <w:spacing w:line="276" w:lineRule="auto"/>
        <w:jc w:val="both"/>
        <w:rPr>
          <w:rFonts w:ascii="Arial" w:hAnsi="Arial" w:cs="Arial"/>
          <w:lang w:val="es-CR"/>
        </w:rPr>
      </w:pPr>
      <w:r>
        <w:rPr>
          <w:rFonts w:ascii="Arial" w:hAnsi="Arial" w:cs="Arial"/>
          <w:lang w:val="es-CR"/>
        </w:rPr>
        <w:lastRenderedPageBreak/>
        <w:t>Se registraron cinco muertes por varicela para</w:t>
      </w:r>
      <w:r w:rsidR="00475BBF">
        <w:rPr>
          <w:rFonts w:ascii="Arial" w:hAnsi="Arial" w:cs="Arial"/>
          <w:lang w:val="es-CR"/>
        </w:rPr>
        <w:t xml:space="preserve"> el período en estudio, cuatro de </w:t>
      </w:r>
      <w:r>
        <w:rPr>
          <w:rFonts w:ascii="Arial" w:hAnsi="Arial" w:cs="Arial"/>
          <w:lang w:val="es-CR"/>
        </w:rPr>
        <w:t>é</w:t>
      </w:r>
      <w:r w:rsidR="00475BBF">
        <w:rPr>
          <w:rFonts w:ascii="Arial" w:hAnsi="Arial" w:cs="Arial"/>
          <w:lang w:val="es-CR"/>
        </w:rPr>
        <w:t>st</w:t>
      </w:r>
      <w:r>
        <w:rPr>
          <w:rFonts w:ascii="Arial" w:hAnsi="Arial" w:cs="Arial"/>
          <w:lang w:val="es-CR"/>
        </w:rPr>
        <w:t>a</w:t>
      </w:r>
      <w:r w:rsidR="00475BBF">
        <w:rPr>
          <w:rFonts w:ascii="Arial" w:hAnsi="Arial" w:cs="Arial"/>
          <w:lang w:val="es-CR"/>
        </w:rPr>
        <w:t>s sin complicaciones y un</w:t>
      </w:r>
      <w:r>
        <w:rPr>
          <w:rFonts w:ascii="Arial" w:hAnsi="Arial" w:cs="Arial"/>
          <w:lang w:val="es-CR"/>
        </w:rPr>
        <w:t>a</w:t>
      </w:r>
      <w:r w:rsidR="00475BBF">
        <w:rPr>
          <w:rFonts w:ascii="Arial" w:hAnsi="Arial" w:cs="Arial"/>
          <w:lang w:val="es-CR"/>
        </w:rPr>
        <w:t xml:space="preserve"> </w:t>
      </w:r>
      <w:r>
        <w:rPr>
          <w:rFonts w:ascii="Arial" w:hAnsi="Arial" w:cs="Arial"/>
          <w:lang w:val="es-CR"/>
        </w:rPr>
        <w:t xml:space="preserve">asociada a </w:t>
      </w:r>
      <w:r w:rsidR="00475BBF">
        <w:rPr>
          <w:rFonts w:ascii="Arial" w:hAnsi="Arial" w:cs="Arial"/>
          <w:lang w:val="es-CR"/>
        </w:rPr>
        <w:t>meningitis</w:t>
      </w:r>
      <w:r>
        <w:rPr>
          <w:rFonts w:ascii="Arial" w:hAnsi="Arial" w:cs="Arial"/>
          <w:lang w:val="es-CR"/>
        </w:rPr>
        <w:t>;</w:t>
      </w:r>
      <w:r w:rsidR="00475BBF">
        <w:rPr>
          <w:rFonts w:ascii="Arial" w:hAnsi="Arial" w:cs="Arial"/>
          <w:lang w:val="es-CR"/>
        </w:rPr>
        <w:t xml:space="preserve"> </w:t>
      </w:r>
      <w:r>
        <w:rPr>
          <w:rFonts w:ascii="Arial" w:hAnsi="Arial" w:cs="Arial"/>
          <w:lang w:val="es-CR"/>
        </w:rPr>
        <w:t xml:space="preserve">cuatro de </w:t>
      </w:r>
      <w:r w:rsidR="00475BBF">
        <w:rPr>
          <w:rFonts w:ascii="Arial" w:hAnsi="Arial" w:cs="Arial"/>
          <w:lang w:val="es-CR"/>
        </w:rPr>
        <w:t xml:space="preserve">la provincia de Alajuela y </w:t>
      </w:r>
      <w:r>
        <w:rPr>
          <w:rFonts w:ascii="Arial" w:hAnsi="Arial" w:cs="Arial"/>
          <w:lang w:val="es-CR"/>
        </w:rPr>
        <w:t xml:space="preserve">una en </w:t>
      </w:r>
      <w:r w:rsidR="002720CD">
        <w:rPr>
          <w:rFonts w:ascii="Arial" w:hAnsi="Arial" w:cs="Arial"/>
          <w:lang w:val="es-CR"/>
        </w:rPr>
        <w:t>Puntarenas. Las muertes por varicela del 2014 correspondieron a un hombre y una mujer entre 30 y 54 años, en el 2015 murieron dos hombres, un niño y un adulto mayor y en el 2016 falleció una mujer adulta mayor.</w:t>
      </w:r>
    </w:p>
    <w:p w:rsidR="00475BBF" w:rsidRDefault="00475BBF" w:rsidP="00475BBF">
      <w:pPr>
        <w:widowControl w:val="0"/>
        <w:spacing w:line="276" w:lineRule="auto"/>
        <w:jc w:val="both"/>
        <w:rPr>
          <w:rFonts w:ascii="Arial" w:hAnsi="Arial" w:cs="Arial"/>
          <w:lang w:val="es-CR"/>
        </w:rPr>
      </w:pPr>
    </w:p>
    <w:p w:rsidR="00475BBF" w:rsidRPr="00C863F5" w:rsidRDefault="00475BBF" w:rsidP="00475BBF">
      <w:pPr>
        <w:pStyle w:val="Ttulo3"/>
        <w:rPr>
          <w:rFonts w:ascii="Arial" w:hAnsi="Arial" w:cs="Arial"/>
          <w:b/>
          <w:color w:val="auto"/>
        </w:rPr>
      </w:pPr>
      <w:bookmarkStart w:id="62" w:name="_Toc7439679"/>
      <w:r w:rsidRPr="00C863F5">
        <w:rPr>
          <w:rFonts w:ascii="Arial" w:hAnsi="Arial" w:cs="Arial"/>
          <w:b/>
          <w:color w:val="auto"/>
        </w:rPr>
        <w:t>T</w:t>
      </w:r>
      <w:r w:rsidR="00C863F5" w:rsidRPr="00C863F5">
        <w:rPr>
          <w:rFonts w:ascii="Arial" w:hAnsi="Arial" w:cs="Arial"/>
          <w:b/>
          <w:color w:val="auto"/>
        </w:rPr>
        <w:t>uberculosis</w:t>
      </w:r>
      <w:bookmarkEnd w:id="62"/>
    </w:p>
    <w:p w:rsidR="00475BBF" w:rsidRDefault="00475BBF" w:rsidP="00475BBF">
      <w:pPr>
        <w:spacing w:line="276" w:lineRule="auto"/>
        <w:rPr>
          <w:rFonts w:ascii="Arial" w:hAnsi="Arial" w:cs="Arial"/>
          <w:lang w:val="es-CR"/>
        </w:rPr>
      </w:pPr>
    </w:p>
    <w:p w:rsidR="00CD7576" w:rsidRDefault="00475BBF" w:rsidP="00CD7576">
      <w:pPr>
        <w:spacing w:after="240" w:line="276" w:lineRule="auto"/>
        <w:jc w:val="both"/>
        <w:rPr>
          <w:rFonts w:ascii="Arial" w:hAnsi="Arial" w:cs="Arial"/>
          <w:lang w:val="es-CR"/>
        </w:rPr>
      </w:pPr>
      <w:r w:rsidRPr="003362A2">
        <w:rPr>
          <w:rFonts w:ascii="Arial" w:hAnsi="Arial" w:cs="Arial"/>
          <w:lang w:val="es-CR"/>
        </w:rPr>
        <w:t xml:space="preserve">Los países de la región </w:t>
      </w:r>
      <w:r w:rsidR="00CD7576">
        <w:rPr>
          <w:rFonts w:ascii="Arial" w:hAnsi="Arial" w:cs="Arial"/>
          <w:lang w:val="es-CR"/>
        </w:rPr>
        <w:t xml:space="preserve">de las Américas </w:t>
      </w:r>
      <w:r w:rsidRPr="003362A2">
        <w:rPr>
          <w:rFonts w:ascii="Arial" w:hAnsi="Arial" w:cs="Arial"/>
          <w:lang w:val="es-CR"/>
        </w:rPr>
        <w:t>están trabajando para convert</w:t>
      </w:r>
      <w:r>
        <w:rPr>
          <w:rFonts w:ascii="Arial" w:hAnsi="Arial" w:cs="Arial"/>
          <w:lang w:val="es-CR"/>
        </w:rPr>
        <w:t>ir</w:t>
      </w:r>
      <w:r w:rsidR="00CD7576">
        <w:rPr>
          <w:rFonts w:ascii="Arial" w:hAnsi="Arial" w:cs="Arial"/>
          <w:lang w:val="es-CR"/>
        </w:rPr>
        <w:t>la</w:t>
      </w:r>
      <w:r>
        <w:rPr>
          <w:rFonts w:ascii="Arial" w:hAnsi="Arial" w:cs="Arial"/>
          <w:lang w:val="es-CR"/>
        </w:rPr>
        <w:t xml:space="preserve"> en la primera </w:t>
      </w:r>
      <w:r w:rsidRPr="003362A2">
        <w:rPr>
          <w:rFonts w:ascii="Arial" w:hAnsi="Arial" w:cs="Arial"/>
          <w:lang w:val="es-CR"/>
        </w:rPr>
        <w:t xml:space="preserve">región del mundo </w:t>
      </w:r>
      <w:r w:rsidR="00CD7576">
        <w:rPr>
          <w:rFonts w:ascii="Arial" w:hAnsi="Arial" w:cs="Arial"/>
          <w:lang w:val="es-CR"/>
        </w:rPr>
        <w:t>que</w:t>
      </w:r>
      <w:r w:rsidRPr="003362A2">
        <w:rPr>
          <w:rFonts w:ascii="Arial" w:hAnsi="Arial" w:cs="Arial"/>
          <w:lang w:val="es-CR"/>
        </w:rPr>
        <w:t xml:space="preserve"> elimina l</w:t>
      </w:r>
      <w:r>
        <w:rPr>
          <w:rFonts w:ascii="Arial" w:hAnsi="Arial" w:cs="Arial"/>
          <w:lang w:val="es-CR"/>
        </w:rPr>
        <w:t xml:space="preserve">a tuberculosis como problema de </w:t>
      </w:r>
      <w:r w:rsidRPr="003362A2">
        <w:rPr>
          <w:rFonts w:ascii="Arial" w:hAnsi="Arial" w:cs="Arial"/>
          <w:lang w:val="es-CR"/>
        </w:rPr>
        <w:t>salud pública.</w:t>
      </w:r>
      <w:r>
        <w:rPr>
          <w:rFonts w:ascii="Arial" w:hAnsi="Arial" w:cs="Arial"/>
          <w:lang w:val="es-CR"/>
        </w:rPr>
        <w:t xml:space="preserve"> </w:t>
      </w:r>
      <w:r w:rsidRPr="003362A2">
        <w:rPr>
          <w:rFonts w:ascii="Arial" w:hAnsi="Arial" w:cs="Arial"/>
          <w:lang w:val="es-CR"/>
        </w:rPr>
        <w:t>Actualmente</w:t>
      </w:r>
      <w:r w:rsidR="00CD7576">
        <w:rPr>
          <w:rFonts w:ascii="Arial" w:hAnsi="Arial" w:cs="Arial"/>
          <w:lang w:val="es-CR"/>
        </w:rPr>
        <w:t>,</w:t>
      </w:r>
      <w:r w:rsidRPr="003362A2">
        <w:rPr>
          <w:rFonts w:ascii="Arial" w:hAnsi="Arial" w:cs="Arial"/>
          <w:lang w:val="es-CR"/>
        </w:rPr>
        <w:t xml:space="preserve"> 15 países presentan una ba</w:t>
      </w:r>
      <w:r>
        <w:rPr>
          <w:rFonts w:ascii="Arial" w:hAnsi="Arial" w:cs="Arial"/>
          <w:lang w:val="es-CR"/>
        </w:rPr>
        <w:t xml:space="preserve">ja incidencia de tuberculosis (menor a </w:t>
      </w:r>
      <w:r w:rsidRPr="003362A2">
        <w:rPr>
          <w:rFonts w:ascii="Arial" w:hAnsi="Arial" w:cs="Arial"/>
          <w:lang w:val="es-CR"/>
        </w:rPr>
        <w:t>10 casos</w:t>
      </w:r>
      <w:r>
        <w:rPr>
          <w:rFonts w:ascii="Arial" w:hAnsi="Arial" w:cs="Arial"/>
          <w:lang w:val="es-CR"/>
        </w:rPr>
        <w:t xml:space="preserve"> </w:t>
      </w:r>
      <w:r w:rsidRPr="003362A2">
        <w:rPr>
          <w:rFonts w:ascii="Arial" w:hAnsi="Arial" w:cs="Arial"/>
          <w:lang w:val="es-CR"/>
        </w:rPr>
        <w:t>por</w:t>
      </w:r>
      <w:r>
        <w:rPr>
          <w:rFonts w:ascii="Arial" w:hAnsi="Arial" w:cs="Arial"/>
          <w:lang w:val="es-CR"/>
        </w:rPr>
        <w:t xml:space="preserve"> 100</w:t>
      </w:r>
      <w:r w:rsidR="00BB0F6E">
        <w:rPr>
          <w:rFonts w:ascii="Arial" w:hAnsi="Arial" w:cs="Arial"/>
          <w:lang w:val="es-CR"/>
        </w:rPr>
        <w:t>.</w:t>
      </w:r>
      <w:r>
        <w:rPr>
          <w:rFonts w:ascii="Arial" w:hAnsi="Arial" w:cs="Arial"/>
          <w:lang w:val="es-CR"/>
        </w:rPr>
        <w:t xml:space="preserve">000 habitantes), </w:t>
      </w:r>
      <w:r w:rsidR="00CD7576">
        <w:rPr>
          <w:rFonts w:ascii="Arial" w:hAnsi="Arial" w:cs="Arial"/>
          <w:lang w:val="es-CR"/>
        </w:rPr>
        <w:t xml:space="preserve">lo cual constituye </w:t>
      </w:r>
      <w:r w:rsidRPr="003362A2">
        <w:rPr>
          <w:rFonts w:ascii="Arial" w:hAnsi="Arial" w:cs="Arial"/>
          <w:lang w:val="es-CR"/>
        </w:rPr>
        <w:t>el primer paso par</w:t>
      </w:r>
      <w:r>
        <w:rPr>
          <w:rFonts w:ascii="Arial" w:hAnsi="Arial" w:cs="Arial"/>
          <w:lang w:val="es-CR"/>
        </w:rPr>
        <w:t xml:space="preserve">a </w:t>
      </w:r>
      <w:r w:rsidR="00CD7576">
        <w:rPr>
          <w:rFonts w:ascii="Arial" w:hAnsi="Arial" w:cs="Arial"/>
          <w:lang w:val="es-CR"/>
        </w:rPr>
        <w:t xml:space="preserve">su </w:t>
      </w:r>
      <w:r>
        <w:rPr>
          <w:rFonts w:ascii="Arial" w:hAnsi="Arial" w:cs="Arial"/>
          <w:lang w:val="es-CR"/>
        </w:rPr>
        <w:t>eliminación</w:t>
      </w:r>
      <w:r w:rsidR="00CD7576">
        <w:rPr>
          <w:rFonts w:ascii="Arial" w:hAnsi="Arial" w:cs="Arial"/>
          <w:lang w:val="es-CR"/>
        </w:rPr>
        <w:t>.</w:t>
      </w:r>
      <w:r>
        <w:rPr>
          <w:rFonts w:ascii="Arial" w:hAnsi="Arial" w:cs="Arial"/>
          <w:lang w:val="es-CR"/>
        </w:rPr>
        <w:t xml:space="preserve"> </w:t>
      </w:r>
    </w:p>
    <w:p w:rsidR="00475BBF" w:rsidRDefault="00475BBF" w:rsidP="00CD7576">
      <w:pPr>
        <w:spacing w:after="240" w:line="276" w:lineRule="auto"/>
        <w:jc w:val="both"/>
        <w:rPr>
          <w:rFonts w:ascii="Arial" w:hAnsi="Arial" w:cs="Arial"/>
          <w:lang w:val="es-CR"/>
        </w:rPr>
      </w:pPr>
      <w:r>
        <w:rPr>
          <w:rFonts w:ascii="Arial" w:hAnsi="Arial" w:cs="Arial"/>
          <w:lang w:val="es-CR"/>
        </w:rPr>
        <w:t xml:space="preserve">Costa Rica, </w:t>
      </w:r>
      <w:r w:rsidR="00CD7576">
        <w:rPr>
          <w:rFonts w:ascii="Arial" w:hAnsi="Arial" w:cs="Arial"/>
          <w:lang w:val="es-CR"/>
        </w:rPr>
        <w:t xml:space="preserve">se </w:t>
      </w:r>
      <w:r>
        <w:rPr>
          <w:rFonts w:ascii="Arial" w:hAnsi="Arial" w:cs="Arial"/>
          <w:lang w:val="es-CR"/>
        </w:rPr>
        <w:t>ubica</w:t>
      </w:r>
      <w:r w:rsidR="00CD7576">
        <w:rPr>
          <w:rFonts w:ascii="Arial" w:hAnsi="Arial" w:cs="Arial"/>
          <w:lang w:val="es-CR"/>
        </w:rPr>
        <w:t xml:space="preserve"> </w:t>
      </w:r>
      <w:r>
        <w:rPr>
          <w:rFonts w:ascii="Arial" w:hAnsi="Arial" w:cs="Arial"/>
          <w:lang w:val="es-CR"/>
        </w:rPr>
        <w:t>en el grupo de los diez primeros países de baja incidencia de tuberculosis en las Américas</w:t>
      </w:r>
      <w:r w:rsidR="00CD7576">
        <w:rPr>
          <w:rFonts w:ascii="Arial" w:hAnsi="Arial" w:cs="Arial"/>
          <w:lang w:val="es-CR"/>
        </w:rPr>
        <w:t xml:space="preserve"> y desarrolla la estrategia de la OMS: “</w:t>
      </w:r>
      <w:r w:rsidR="00CD7576" w:rsidRPr="00CD7576">
        <w:rPr>
          <w:rFonts w:ascii="Arial" w:hAnsi="Arial" w:cs="Arial"/>
          <w:i/>
          <w:lang w:val="es-CR"/>
        </w:rPr>
        <w:t>F</w:t>
      </w:r>
      <w:r w:rsidRPr="00CD7576">
        <w:rPr>
          <w:rFonts w:ascii="Arial" w:hAnsi="Arial" w:cs="Arial"/>
          <w:i/>
          <w:lang w:val="es-CR"/>
        </w:rPr>
        <w:t>in a la tuberculosis</w:t>
      </w:r>
      <w:r w:rsidR="00CD7576">
        <w:rPr>
          <w:rFonts w:ascii="Arial" w:hAnsi="Arial" w:cs="Arial"/>
          <w:lang w:val="es-CR"/>
        </w:rPr>
        <w:t>”.</w:t>
      </w:r>
    </w:p>
    <w:p w:rsidR="00475BBF" w:rsidRDefault="00CD7576" w:rsidP="00475BBF">
      <w:pPr>
        <w:spacing w:line="276" w:lineRule="auto"/>
        <w:jc w:val="both"/>
        <w:rPr>
          <w:rFonts w:ascii="Arial" w:hAnsi="Arial" w:cs="Arial"/>
          <w:lang w:val="es-CR"/>
        </w:rPr>
      </w:pPr>
      <w:r>
        <w:rPr>
          <w:rFonts w:ascii="Arial" w:hAnsi="Arial" w:cs="Arial"/>
          <w:lang w:val="es-CR"/>
        </w:rPr>
        <w:t xml:space="preserve">La tasa de incidencia de tuberculosis del </w:t>
      </w:r>
      <w:r w:rsidR="00475BBF" w:rsidRPr="00903407">
        <w:rPr>
          <w:rFonts w:ascii="Arial" w:hAnsi="Arial" w:cs="Arial"/>
          <w:lang w:val="es-CR"/>
        </w:rPr>
        <w:t>país</w:t>
      </w:r>
      <w:r>
        <w:rPr>
          <w:rFonts w:ascii="Arial" w:hAnsi="Arial" w:cs="Arial"/>
          <w:lang w:val="es-CR"/>
        </w:rPr>
        <w:t xml:space="preserve"> </w:t>
      </w:r>
      <w:r w:rsidR="00475BBF" w:rsidRPr="00903407">
        <w:rPr>
          <w:rFonts w:ascii="Arial" w:hAnsi="Arial" w:cs="Arial"/>
          <w:lang w:val="es-CR"/>
        </w:rPr>
        <w:t xml:space="preserve">ha disminuido, pasando de 9,9 en el 2014 a </w:t>
      </w:r>
      <w:r w:rsidR="00475BBF">
        <w:rPr>
          <w:rFonts w:ascii="Arial" w:hAnsi="Arial" w:cs="Arial"/>
          <w:lang w:val="es-CR"/>
        </w:rPr>
        <w:t>7,2</w:t>
      </w:r>
      <w:r w:rsidR="00475BBF" w:rsidRPr="00903407">
        <w:rPr>
          <w:rFonts w:ascii="Arial" w:hAnsi="Arial" w:cs="Arial"/>
          <w:lang w:val="es-CR"/>
        </w:rPr>
        <w:t xml:space="preserve"> </w:t>
      </w:r>
      <w:r w:rsidR="00475BBF">
        <w:rPr>
          <w:rFonts w:ascii="Arial" w:hAnsi="Arial" w:cs="Arial"/>
          <w:lang w:val="es-CR"/>
        </w:rPr>
        <w:t xml:space="preserve">en el </w:t>
      </w:r>
      <w:r w:rsidR="00475BBF" w:rsidRPr="00903407">
        <w:rPr>
          <w:rFonts w:ascii="Arial" w:hAnsi="Arial" w:cs="Arial"/>
          <w:lang w:val="es-CR"/>
        </w:rPr>
        <w:t>2017</w:t>
      </w:r>
      <w:r>
        <w:rPr>
          <w:rFonts w:ascii="Arial" w:hAnsi="Arial" w:cs="Arial"/>
          <w:lang w:val="es-CR"/>
        </w:rPr>
        <w:t>. S</w:t>
      </w:r>
      <w:r w:rsidR="00475BBF">
        <w:rPr>
          <w:rFonts w:ascii="Arial" w:hAnsi="Arial" w:cs="Arial"/>
          <w:lang w:val="es-CR"/>
        </w:rPr>
        <w:t xml:space="preserve">in embrago, en el año 2018, la tasa aumentó a 7,7 casos por cien mil habitantes. </w:t>
      </w:r>
    </w:p>
    <w:p w:rsidR="00475BBF" w:rsidRDefault="00475BBF" w:rsidP="00475BBF">
      <w:pPr>
        <w:spacing w:line="360" w:lineRule="auto"/>
        <w:rPr>
          <w:rFonts w:ascii="Arial" w:hAnsi="Arial" w:cs="Arial"/>
          <w:lang w:val="es-CR"/>
        </w:rPr>
      </w:pPr>
    </w:p>
    <w:p w:rsidR="00475BBF" w:rsidRPr="00CD7576" w:rsidRDefault="00CD7576" w:rsidP="00CD7576">
      <w:pPr>
        <w:jc w:val="center"/>
        <w:rPr>
          <w:rFonts w:ascii="Arial" w:hAnsi="Arial" w:cs="Arial"/>
          <w:b/>
          <w:lang w:val="es-CR"/>
        </w:rPr>
      </w:pPr>
      <w:r w:rsidRPr="00CD7576">
        <w:rPr>
          <w:rFonts w:ascii="Arial" w:hAnsi="Arial" w:cs="Arial"/>
          <w:b/>
          <w:lang w:val="es-CR"/>
        </w:rPr>
        <w:t xml:space="preserve">Gráfico </w:t>
      </w:r>
      <w:r w:rsidR="00BB0F6E">
        <w:rPr>
          <w:rFonts w:ascii="Arial" w:hAnsi="Arial" w:cs="Arial"/>
          <w:b/>
          <w:lang w:val="es-CR"/>
        </w:rPr>
        <w:t>30</w:t>
      </w:r>
    </w:p>
    <w:p w:rsidR="002268FE" w:rsidRDefault="00475BBF" w:rsidP="00CD7576">
      <w:pPr>
        <w:jc w:val="center"/>
        <w:rPr>
          <w:rFonts w:ascii="Arial" w:eastAsia="Calibri" w:hAnsi="Arial" w:cs="Arial"/>
          <w:b/>
          <w:lang w:val="es-CR"/>
        </w:rPr>
      </w:pPr>
      <w:r w:rsidRPr="00CD7576">
        <w:rPr>
          <w:rFonts w:ascii="Arial" w:eastAsia="Calibri" w:hAnsi="Arial" w:cs="Arial"/>
          <w:b/>
          <w:lang w:val="es-CR"/>
        </w:rPr>
        <w:t xml:space="preserve">Costa Rica: </w:t>
      </w:r>
      <w:r w:rsidR="002268FE">
        <w:rPr>
          <w:rFonts w:ascii="Arial" w:eastAsia="Calibri" w:hAnsi="Arial" w:cs="Arial"/>
          <w:b/>
          <w:lang w:val="es-CR"/>
        </w:rPr>
        <w:t>Número de casos e i</w:t>
      </w:r>
      <w:r w:rsidRPr="00CD7576">
        <w:rPr>
          <w:rFonts w:ascii="Arial" w:eastAsia="Calibri" w:hAnsi="Arial" w:cs="Arial"/>
          <w:b/>
          <w:lang w:val="es-CR"/>
        </w:rPr>
        <w:t xml:space="preserve">ncidencia de tuberculosis, </w:t>
      </w:r>
    </w:p>
    <w:p w:rsidR="00475BBF" w:rsidRPr="00CD7576" w:rsidRDefault="00475BBF" w:rsidP="00CD7576">
      <w:pPr>
        <w:jc w:val="center"/>
        <w:rPr>
          <w:rFonts w:ascii="Arial" w:eastAsia="Calibri" w:hAnsi="Arial" w:cs="Arial"/>
          <w:b/>
          <w:lang w:val="es-CR"/>
        </w:rPr>
      </w:pPr>
      <w:r w:rsidRPr="00CD7576">
        <w:rPr>
          <w:rFonts w:ascii="Arial" w:eastAsia="Calibri" w:hAnsi="Arial" w:cs="Arial"/>
          <w:b/>
          <w:lang w:val="es-CR"/>
        </w:rPr>
        <w:t>2014-2018.</w:t>
      </w:r>
    </w:p>
    <w:p w:rsidR="00475BBF" w:rsidRDefault="00475BBF" w:rsidP="00475BBF">
      <w:pPr>
        <w:jc w:val="center"/>
        <w:rPr>
          <w:rFonts w:ascii="Arial" w:eastAsia="Calibri" w:hAnsi="Arial" w:cs="Arial"/>
          <w:sz w:val="18"/>
          <w:szCs w:val="18"/>
          <w:lang w:val="es-CR"/>
        </w:rPr>
      </w:pPr>
      <w:r w:rsidRPr="00DA7916">
        <w:rPr>
          <w:rFonts w:ascii="Arial" w:eastAsia="Calibri" w:hAnsi="Arial" w:cs="Arial"/>
          <w:sz w:val="18"/>
          <w:szCs w:val="18"/>
          <w:lang w:val="es-CR"/>
        </w:rPr>
        <w:t>(</w:t>
      </w:r>
      <w:r w:rsidR="00CD7576">
        <w:rPr>
          <w:rFonts w:ascii="Arial" w:eastAsia="Calibri" w:hAnsi="Arial" w:cs="Arial"/>
          <w:sz w:val="18"/>
          <w:szCs w:val="18"/>
          <w:lang w:val="es-CR"/>
        </w:rPr>
        <w:t>t</w:t>
      </w:r>
      <w:r w:rsidRPr="00DA7916">
        <w:rPr>
          <w:rFonts w:ascii="Arial" w:eastAsia="Calibri" w:hAnsi="Arial" w:cs="Arial"/>
          <w:sz w:val="18"/>
          <w:szCs w:val="18"/>
          <w:lang w:val="es-CR"/>
        </w:rPr>
        <w:t>asa por 100.000 habitantes)</w:t>
      </w:r>
    </w:p>
    <w:p w:rsidR="00475BBF" w:rsidRPr="00DA7916" w:rsidRDefault="00475BBF" w:rsidP="00475BBF">
      <w:pPr>
        <w:jc w:val="both"/>
        <w:rPr>
          <w:rFonts w:ascii="Arial" w:eastAsia="Calibri" w:hAnsi="Arial" w:cs="Arial"/>
          <w:sz w:val="18"/>
          <w:szCs w:val="18"/>
          <w:lang w:val="es-CR"/>
        </w:rPr>
      </w:pPr>
    </w:p>
    <w:p w:rsidR="00475BBF" w:rsidRDefault="00475BBF" w:rsidP="00475BBF">
      <w:pPr>
        <w:spacing w:line="360" w:lineRule="auto"/>
        <w:jc w:val="center"/>
        <w:rPr>
          <w:rFonts w:ascii="Arial" w:hAnsi="Arial" w:cs="Arial"/>
          <w:lang w:val="es-CR"/>
        </w:rPr>
      </w:pPr>
      <w:r>
        <w:rPr>
          <w:noProof/>
          <w:lang w:val="es-CR" w:eastAsia="es-CR"/>
        </w:rPr>
        <w:drawing>
          <wp:inline distT="0" distB="0" distL="0" distR="0" wp14:anchorId="20AC3BB5" wp14:editId="0A7B436F">
            <wp:extent cx="6078931" cy="2256155"/>
            <wp:effectExtent l="0" t="0" r="17145" b="10795"/>
            <wp:docPr id="99" name="Gráfico 99">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475BBF" w:rsidRPr="00CD7576" w:rsidRDefault="00475BBF" w:rsidP="00CD7576">
      <w:pPr>
        <w:spacing w:line="360" w:lineRule="auto"/>
        <w:jc w:val="right"/>
        <w:rPr>
          <w:rFonts w:ascii="Arial" w:hAnsi="Arial" w:cs="Arial"/>
          <w:sz w:val="18"/>
          <w:szCs w:val="18"/>
          <w:lang w:val="es-CR"/>
        </w:rPr>
      </w:pPr>
      <w:r w:rsidRPr="00CD7576">
        <w:rPr>
          <w:rFonts w:ascii="Arial" w:hAnsi="Arial" w:cs="Arial"/>
          <w:b/>
          <w:sz w:val="18"/>
          <w:szCs w:val="18"/>
          <w:lang w:val="es-MX"/>
        </w:rPr>
        <w:t>Fuente:</w:t>
      </w:r>
      <w:r w:rsidRPr="00CD7576">
        <w:rPr>
          <w:rFonts w:ascii="Arial" w:hAnsi="Arial" w:cs="Arial"/>
          <w:sz w:val="18"/>
          <w:szCs w:val="18"/>
          <w:lang w:val="es-MX"/>
        </w:rPr>
        <w:t xml:space="preserve"> Dirección de Vigilancia de la Salud</w:t>
      </w:r>
      <w:r w:rsidR="00CD7576">
        <w:rPr>
          <w:rFonts w:ascii="Arial" w:hAnsi="Arial" w:cs="Arial"/>
          <w:sz w:val="18"/>
          <w:szCs w:val="18"/>
          <w:lang w:val="es-MX"/>
        </w:rPr>
        <w:t>,</w:t>
      </w:r>
      <w:r w:rsidRPr="00CD7576">
        <w:rPr>
          <w:rFonts w:ascii="Arial" w:hAnsi="Arial" w:cs="Arial"/>
          <w:sz w:val="18"/>
          <w:szCs w:val="18"/>
          <w:lang w:val="es-MX"/>
        </w:rPr>
        <w:t xml:space="preserve"> Ministerio de Salud</w:t>
      </w:r>
      <w:r w:rsidR="00CD7576" w:rsidRPr="00CD7576">
        <w:rPr>
          <w:rFonts w:ascii="Arial" w:hAnsi="Arial" w:cs="Arial"/>
          <w:sz w:val="18"/>
          <w:szCs w:val="18"/>
          <w:lang w:val="es-MX"/>
        </w:rPr>
        <w:t>, 2019.</w:t>
      </w:r>
    </w:p>
    <w:p w:rsidR="00475BBF" w:rsidRDefault="00475BBF" w:rsidP="00475BBF">
      <w:pPr>
        <w:spacing w:line="276" w:lineRule="auto"/>
        <w:jc w:val="both"/>
        <w:rPr>
          <w:rFonts w:ascii="Arial" w:hAnsi="Arial" w:cs="Arial"/>
          <w:lang w:val="es-CR"/>
        </w:rPr>
      </w:pPr>
    </w:p>
    <w:p w:rsidR="00475BBF" w:rsidRPr="00745F0C" w:rsidRDefault="00475BBF" w:rsidP="00475BBF">
      <w:pPr>
        <w:spacing w:line="276" w:lineRule="auto"/>
        <w:jc w:val="both"/>
        <w:rPr>
          <w:rFonts w:ascii="Arial" w:hAnsi="Arial" w:cs="Arial"/>
          <w:lang w:val="es-CR"/>
        </w:rPr>
      </w:pPr>
      <w:r>
        <w:rPr>
          <w:rFonts w:ascii="Arial" w:hAnsi="Arial" w:cs="Arial"/>
          <w:lang w:val="es-CR"/>
        </w:rPr>
        <w:lastRenderedPageBreak/>
        <w:t xml:space="preserve">Para el período, la provincia con mayor incidencia </w:t>
      </w:r>
      <w:r w:rsidR="002268FE">
        <w:rPr>
          <w:rFonts w:ascii="Arial" w:hAnsi="Arial" w:cs="Arial"/>
          <w:lang w:val="es-CR"/>
        </w:rPr>
        <w:t>fue</w:t>
      </w:r>
      <w:r>
        <w:rPr>
          <w:rFonts w:ascii="Arial" w:hAnsi="Arial" w:cs="Arial"/>
          <w:lang w:val="es-CR"/>
        </w:rPr>
        <w:t xml:space="preserve"> Limón, con una tasa promedio de 16,3 casos de tuberculosis por cien mil habitantes. Las provincias que superaron a la tasa nacional en el quinquenio fueron</w:t>
      </w:r>
      <w:r w:rsidR="002268FE">
        <w:rPr>
          <w:rFonts w:ascii="Arial" w:hAnsi="Arial" w:cs="Arial"/>
          <w:lang w:val="es-CR"/>
        </w:rPr>
        <w:t>:</w:t>
      </w:r>
      <w:r>
        <w:rPr>
          <w:rFonts w:ascii="Arial" w:hAnsi="Arial" w:cs="Arial"/>
          <w:lang w:val="es-CR"/>
        </w:rPr>
        <w:t xml:space="preserve"> Guanacaste, Puntarenas y Limón.</w:t>
      </w:r>
      <w:r w:rsidR="002268FE">
        <w:rPr>
          <w:rFonts w:ascii="Arial" w:hAnsi="Arial" w:cs="Arial"/>
          <w:lang w:val="es-CR"/>
        </w:rPr>
        <w:t xml:space="preserve"> Cuadro 3</w:t>
      </w:r>
      <w:r w:rsidR="00BB0F6E">
        <w:rPr>
          <w:rFonts w:ascii="Arial" w:hAnsi="Arial" w:cs="Arial"/>
          <w:lang w:val="es-CR"/>
        </w:rPr>
        <w:t>3</w:t>
      </w:r>
      <w:r w:rsidR="002268FE">
        <w:rPr>
          <w:rFonts w:ascii="Arial" w:hAnsi="Arial" w:cs="Arial"/>
          <w:lang w:val="es-CR"/>
        </w:rPr>
        <w:t>.</w:t>
      </w:r>
    </w:p>
    <w:p w:rsidR="00475BBF" w:rsidRDefault="00475BBF" w:rsidP="00475BBF">
      <w:pPr>
        <w:spacing w:line="360" w:lineRule="auto"/>
        <w:rPr>
          <w:rFonts w:ascii="Arial" w:hAnsi="Arial" w:cs="Arial"/>
          <w:lang w:val="es-CR"/>
        </w:rPr>
      </w:pPr>
    </w:p>
    <w:p w:rsidR="00475BBF" w:rsidRPr="002268FE" w:rsidRDefault="002268FE" w:rsidP="002268FE">
      <w:pPr>
        <w:jc w:val="center"/>
        <w:rPr>
          <w:rFonts w:ascii="Arial" w:hAnsi="Arial" w:cs="Arial"/>
          <w:b/>
          <w:lang w:val="es-CR"/>
        </w:rPr>
      </w:pPr>
      <w:r w:rsidRPr="002268FE">
        <w:rPr>
          <w:rFonts w:ascii="Arial" w:hAnsi="Arial" w:cs="Arial"/>
          <w:b/>
          <w:lang w:val="es-CR"/>
        </w:rPr>
        <w:t>Cuadro 3</w:t>
      </w:r>
      <w:r w:rsidR="00BB0F6E">
        <w:rPr>
          <w:rFonts w:ascii="Arial" w:hAnsi="Arial" w:cs="Arial"/>
          <w:b/>
          <w:lang w:val="es-CR"/>
        </w:rPr>
        <w:t>3</w:t>
      </w:r>
    </w:p>
    <w:p w:rsidR="002268FE" w:rsidRDefault="00475BBF" w:rsidP="002268FE">
      <w:pPr>
        <w:widowControl w:val="0"/>
        <w:jc w:val="center"/>
        <w:rPr>
          <w:rFonts w:ascii="Arial" w:eastAsia="Calibri" w:hAnsi="Arial" w:cs="Arial"/>
          <w:b/>
          <w:lang w:val="es-CR"/>
        </w:rPr>
      </w:pPr>
      <w:r w:rsidRPr="002268FE">
        <w:rPr>
          <w:rFonts w:ascii="Arial" w:eastAsia="Calibri" w:hAnsi="Arial" w:cs="Arial"/>
          <w:b/>
          <w:lang w:val="es-CR"/>
        </w:rPr>
        <w:t xml:space="preserve">Costa Rica: </w:t>
      </w:r>
      <w:r w:rsidR="002268FE">
        <w:rPr>
          <w:rFonts w:ascii="Arial" w:eastAsia="Calibri" w:hAnsi="Arial" w:cs="Arial"/>
          <w:b/>
          <w:lang w:val="es-CR"/>
        </w:rPr>
        <w:t>Número de casos e i</w:t>
      </w:r>
      <w:r w:rsidRPr="002268FE">
        <w:rPr>
          <w:rFonts w:ascii="Arial" w:eastAsia="Calibri" w:hAnsi="Arial" w:cs="Arial"/>
          <w:b/>
          <w:lang w:val="es-CR"/>
        </w:rPr>
        <w:t xml:space="preserve">ncidencia de tuberculosis, </w:t>
      </w:r>
    </w:p>
    <w:p w:rsidR="00475BBF" w:rsidRPr="002268FE" w:rsidRDefault="00475BBF" w:rsidP="002268FE">
      <w:pPr>
        <w:widowControl w:val="0"/>
        <w:jc w:val="center"/>
        <w:rPr>
          <w:rFonts w:ascii="Arial" w:eastAsia="Calibri" w:hAnsi="Arial" w:cs="Arial"/>
          <w:b/>
          <w:lang w:val="es-CR"/>
        </w:rPr>
      </w:pPr>
      <w:r w:rsidRPr="002268FE">
        <w:rPr>
          <w:rFonts w:ascii="Arial" w:eastAsia="Calibri" w:hAnsi="Arial" w:cs="Arial"/>
          <w:b/>
          <w:lang w:val="es-CR"/>
        </w:rPr>
        <w:t>según provincia, 2014-2018.</w:t>
      </w:r>
    </w:p>
    <w:p w:rsidR="00475BBF" w:rsidRPr="00DA7916" w:rsidRDefault="00475BBF" w:rsidP="002268FE">
      <w:pPr>
        <w:jc w:val="center"/>
        <w:rPr>
          <w:rFonts w:ascii="Arial" w:eastAsia="Calibri" w:hAnsi="Arial" w:cs="Arial"/>
          <w:sz w:val="18"/>
          <w:szCs w:val="18"/>
          <w:lang w:val="es-CR"/>
        </w:rPr>
      </w:pPr>
      <w:r w:rsidRPr="00DA7916">
        <w:rPr>
          <w:rFonts w:ascii="Arial" w:eastAsia="Calibri" w:hAnsi="Arial" w:cs="Arial"/>
          <w:sz w:val="18"/>
          <w:szCs w:val="18"/>
          <w:lang w:val="es-CR"/>
        </w:rPr>
        <w:t>(</w:t>
      </w:r>
      <w:r w:rsidR="002268FE">
        <w:rPr>
          <w:rFonts w:ascii="Arial" w:eastAsia="Calibri" w:hAnsi="Arial" w:cs="Arial"/>
          <w:sz w:val="18"/>
          <w:szCs w:val="18"/>
          <w:lang w:val="es-CR"/>
        </w:rPr>
        <w:t>t</w:t>
      </w:r>
      <w:r w:rsidRPr="00DA7916">
        <w:rPr>
          <w:rFonts w:ascii="Arial" w:eastAsia="Calibri" w:hAnsi="Arial" w:cs="Arial"/>
          <w:sz w:val="18"/>
          <w:szCs w:val="18"/>
          <w:lang w:val="es-CR"/>
        </w:rPr>
        <w:t>asa por 100.000 habitantes)</w:t>
      </w:r>
    </w:p>
    <w:tbl>
      <w:tblPr>
        <w:tblW w:w="8369" w:type="dxa"/>
        <w:jc w:val="center"/>
        <w:tblLook w:val="04A0" w:firstRow="1" w:lastRow="0" w:firstColumn="1" w:lastColumn="0" w:noHBand="0" w:noVBand="1"/>
      </w:tblPr>
      <w:tblGrid>
        <w:gridCol w:w="1714"/>
        <w:gridCol w:w="637"/>
        <w:gridCol w:w="694"/>
        <w:gridCol w:w="637"/>
        <w:gridCol w:w="694"/>
        <w:gridCol w:w="637"/>
        <w:gridCol w:w="694"/>
        <w:gridCol w:w="637"/>
        <w:gridCol w:w="694"/>
        <w:gridCol w:w="637"/>
        <w:gridCol w:w="694"/>
      </w:tblGrid>
      <w:tr w:rsidR="00475BBF" w:rsidRPr="002268FE" w:rsidTr="002268FE">
        <w:trPr>
          <w:trHeight w:val="575"/>
          <w:jc w:val="center"/>
        </w:trPr>
        <w:tc>
          <w:tcPr>
            <w:tcW w:w="1714" w:type="dxa"/>
            <w:tcBorders>
              <w:top w:val="single" w:sz="4" w:space="0" w:color="auto"/>
              <w:left w:val="nil"/>
              <w:bottom w:val="nil"/>
              <w:right w:val="nil"/>
            </w:tcBorders>
            <w:shd w:val="clear" w:color="auto" w:fill="D5DCE4" w:themeFill="text2" w:themeFillTint="33"/>
            <w:noWrap/>
            <w:vAlign w:val="bottom"/>
            <w:hideMark/>
          </w:tcPr>
          <w:p w:rsidR="00475BBF" w:rsidRPr="002268FE" w:rsidRDefault="00475BBF" w:rsidP="00475BBF">
            <w:pP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P</w:t>
            </w:r>
            <w:r w:rsidR="002268FE" w:rsidRPr="002268FE">
              <w:rPr>
                <w:rFonts w:ascii="Arial" w:eastAsia="Times New Roman" w:hAnsi="Arial" w:cs="Arial"/>
                <w:b/>
                <w:bCs/>
                <w:color w:val="000000"/>
                <w:sz w:val="20"/>
                <w:szCs w:val="20"/>
              </w:rPr>
              <w:t>rovincia</w:t>
            </w:r>
            <w:r w:rsidRPr="002268FE">
              <w:rPr>
                <w:rFonts w:ascii="Arial" w:eastAsia="Times New Roman" w:hAnsi="Arial" w:cs="Arial"/>
                <w:b/>
                <w:bCs/>
                <w:color w:val="000000"/>
                <w:sz w:val="20"/>
                <w:szCs w:val="20"/>
              </w:rPr>
              <w:t xml:space="preserve"> </w:t>
            </w:r>
          </w:p>
        </w:tc>
        <w:tc>
          <w:tcPr>
            <w:tcW w:w="1331" w:type="dxa"/>
            <w:gridSpan w:val="2"/>
            <w:tcBorders>
              <w:top w:val="single" w:sz="4" w:space="0" w:color="auto"/>
              <w:left w:val="nil"/>
              <w:bottom w:val="nil"/>
              <w:right w:val="nil"/>
            </w:tcBorders>
            <w:shd w:val="clear" w:color="auto" w:fill="D5DCE4" w:themeFill="text2" w:themeFillTint="33"/>
            <w:noWrap/>
            <w:vAlign w:val="bottom"/>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2014</w:t>
            </w:r>
          </w:p>
        </w:tc>
        <w:tc>
          <w:tcPr>
            <w:tcW w:w="1331" w:type="dxa"/>
            <w:gridSpan w:val="2"/>
            <w:tcBorders>
              <w:top w:val="single" w:sz="4" w:space="0" w:color="auto"/>
              <w:left w:val="nil"/>
              <w:bottom w:val="nil"/>
              <w:right w:val="nil"/>
            </w:tcBorders>
            <w:shd w:val="clear" w:color="auto" w:fill="D5DCE4" w:themeFill="text2" w:themeFillTint="33"/>
            <w:noWrap/>
            <w:vAlign w:val="bottom"/>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2015</w:t>
            </w:r>
          </w:p>
        </w:tc>
        <w:tc>
          <w:tcPr>
            <w:tcW w:w="1331" w:type="dxa"/>
            <w:gridSpan w:val="2"/>
            <w:tcBorders>
              <w:top w:val="single" w:sz="4" w:space="0" w:color="auto"/>
              <w:left w:val="nil"/>
              <w:bottom w:val="nil"/>
              <w:right w:val="nil"/>
            </w:tcBorders>
            <w:shd w:val="clear" w:color="auto" w:fill="D5DCE4" w:themeFill="text2" w:themeFillTint="33"/>
            <w:noWrap/>
            <w:vAlign w:val="bottom"/>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2016</w:t>
            </w:r>
          </w:p>
        </w:tc>
        <w:tc>
          <w:tcPr>
            <w:tcW w:w="1331" w:type="dxa"/>
            <w:gridSpan w:val="2"/>
            <w:tcBorders>
              <w:top w:val="single" w:sz="4" w:space="0" w:color="auto"/>
              <w:left w:val="nil"/>
              <w:bottom w:val="nil"/>
              <w:right w:val="nil"/>
            </w:tcBorders>
            <w:shd w:val="clear" w:color="auto" w:fill="D5DCE4" w:themeFill="text2" w:themeFillTint="33"/>
            <w:noWrap/>
            <w:vAlign w:val="bottom"/>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2017</w:t>
            </w:r>
          </w:p>
        </w:tc>
        <w:tc>
          <w:tcPr>
            <w:tcW w:w="1331" w:type="dxa"/>
            <w:gridSpan w:val="2"/>
            <w:tcBorders>
              <w:top w:val="single" w:sz="4" w:space="0" w:color="auto"/>
              <w:left w:val="nil"/>
              <w:bottom w:val="nil"/>
              <w:right w:val="nil"/>
            </w:tcBorders>
            <w:shd w:val="clear" w:color="auto" w:fill="D5DCE4" w:themeFill="text2" w:themeFillTint="33"/>
            <w:noWrap/>
            <w:vAlign w:val="bottom"/>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2018</w:t>
            </w:r>
          </w:p>
        </w:tc>
      </w:tr>
      <w:tr w:rsidR="00475BBF" w:rsidRPr="002268FE" w:rsidTr="002268FE">
        <w:trPr>
          <w:trHeight w:val="424"/>
          <w:jc w:val="center"/>
        </w:trPr>
        <w:tc>
          <w:tcPr>
            <w:tcW w:w="1714" w:type="dxa"/>
            <w:tcBorders>
              <w:top w:val="nil"/>
              <w:left w:val="nil"/>
              <w:bottom w:val="single" w:sz="4" w:space="0" w:color="auto"/>
              <w:right w:val="nil"/>
            </w:tcBorders>
            <w:shd w:val="clear" w:color="auto" w:fill="D5DCE4" w:themeFill="text2" w:themeFillTint="33"/>
            <w:noWrap/>
            <w:vAlign w:val="bottom"/>
            <w:hideMark/>
          </w:tcPr>
          <w:p w:rsidR="00475BBF" w:rsidRPr="002268FE" w:rsidRDefault="00475BBF" w:rsidP="00475BBF">
            <w:pPr>
              <w:rPr>
                <w:rFonts w:ascii="Arial" w:eastAsia="Times New Roman" w:hAnsi="Arial" w:cs="Arial"/>
                <w:color w:val="000000"/>
                <w:sz w:val="20"/>
                <w:szCs w:val="20"/>
              </w:rPr>
            </w:pPr>
            <w:r w:rsidRPr="002268FE">
              <w:rPr>
                <w:rFonts w:ascii="Arial" w:eastAsia="Times New Roman" w:hAnsi="Arial" w:cs="Arial"/>
                <w:color w:val="000000"/>
                <w:sz w:val="20"/>
                <w:szCs w:val="20"/>
              </w:rPr>
              <w:t> </w:t>
            </w:r>
          </w:p>
        </w:tc>
        <w:tc>
          <w:tcPr>
            <w:tcW w:w="637"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Nº</w:t>
            </w:r>
          </w:p>
        </w:tc>
        <w:tc>
          <w:tcPr>
            <w:tcW w:w="694"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Tasa</w:t>
            </w:r>
          </w:p>
        </w:tc>
        <w:tc>
          <w:tcPr>
            <w:tcW w:w="637"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Nº</w:t>
            </w:r>
          </w:p>
        </w:tc>
        <w:tc>
          <w:tcPr>
            <w:tcW w:w="694"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Tasa</w:t>
            </w:r>
          </w:p>
        </w:tc>
        <w:tc>
          <w:tcPr>
            <w:tcW w:w="637"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Nº</w:t>
            </w:r>
          </w:p>
        </w:tc>
        <w:tc>
          <w:tcPr>
            <w:tcW w:w="694"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Tasa</w:t>
            </w:r>
          </w:p>
        </w:tc>
        <w:tc>
          <w:tcPr>
            <w:tcW w:w="637"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Nº</w:t>
            </w:r>
          </w:p>
        </w:tc>
        <w:tc>
          <w:tcPr>
            <w:tcW w:w="694"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Tasa</w:t>
            </w:r>
          </w:p>
        </w:tc>
        <w:tc>
          <w:tcPr>
            <w:tcW w:w="637"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Nº</w:t>
            </w:r>
          </w:p>
        </w:tc>
        <w:tc>
          <w:tcPr>
            <w:tcW w:w="694" w:type="dxa"/>
            <w:tcBorders>
              <w:top w:val="nil"/>
              <w:left w:val="nil"/>
              <w:bottom w:val="single" w:sz="4" w:space="0" w:color="auto"/>
              <w:right w:val="nil"/>
            </w:tcBorders>
            <w:shd w:val="clear" w:color="auto" w:fill="D5DCE4" w:themeFill="text2" w:themeFillTint="33"/>
            <w:noWrap/>
            <w:vAlign w:val="center"/>
            <w:hideMark/>
          </w:tcPr>
          <w:p w:rsidR="00475BBF" w:rsidRPr="002268FE" w:rsidRDefault="00475BBF" w:rsidP="00475BBF">
            <w:pPr>
              <w:jc w:val="center"/>
              <w:rPr>
                <w:rFonts w:ascii="Arial" w:eastAsia="Times New Roman" w:hAnsi="Arial" w:cs="Arial"/>
                <w:b/>
                <w:bCs/>
                <w:color w:val="000000"/>
                <w:sz w:val="20"/>
                <w:szCs w:val="20"/>
              </w:rPr>
            </w:pPr>
            <w:r w:rsidRPr="002268FE">
              <w:rPr>
                <w:rFonts w:ascii="Arial" w:eastAsia="Times New Roman" w:hAnsi="Arial" w:cs="Arial"/>
                <w:b/>
                <w:bCs/>
                <w:color w:val="000000"/>
                <w:sz w:val="20"/>
                <w:szCs w:val="20"/>
              </w:rPr>
              <w:t>Tasa</w:t>
            </w:r>
          </w:p>
        </w:tc>
      </w:tr>
      <w:tr w:rsidR="00475BBF" w:rsidRPr="002268FE" w:rsidTr="002268FE">
        <w:trPr>
          <w:trHeight w:val="299"/>
          <w:jc w:val="center"/>
        </w:trPr>
        <w:tc>
          <w:tcPr>
            <w:tcW w:w="1714" w:type="dxa"/>
            <w:tcBorders>
              <w:top w:val="single" w:sz="4" w:space="0" w:color="auto"/>
              <w:left w:val="nil"/>
              <w:bottom w:val="single" w:sz="4" w:space="0" w:color="auto"/>
              <w:right w:val="nil"/>
            </w:tcBorders>
            <w:shd w:val="clear" w:color="000000" w:fill="FFFFFF"/>
            <w:noWrap/>
            <w:vAlign w:val="bottom"/>
            <w:hideMark/>
          </w:tcPr>
          <w:p w:rsidR="00475BBF" w:rsidRPr="002268FE" w:rsidRDefault="00475BBF" w:rsidP="002268FE">
            <w:pPr>
              <w:rPr>
                <w:rFonts w:ascii="Arial" w:eastAsia="Times New Roman" w:hAnsi="Arial" w:cs="Arial"/>
                <w:b/>
                <w:color w:val="000000"/>
                <w:sz w:val="20"/>
                <w:szCs w:val="20"/>
              </w:rPr>
            </w:pPr>
            <w:r w:rsidRPr="002268FE">
              <w:rPr>
                <w:rFonts w:ascii="Arial" w:eastAsia="Times New Roman" w:hAnsi="Arial" w:cs="Arial"/>
                <w:b/>
                <w:color w:val="000000"/>
                <w:sz w:val="20"/>
                <w:szCs w:val="20"/>
              </w:rPr>
              <w:t xml:space="preserve">Total </w:t>
            </w:r>
          </w:p>
        </w:tc>
        <w:tc>
          <w:tcPr>
            <w:tcW w:w="637" w:type="dxa"/>
            <w:tcBorders>
              <w:top w:val="single" w:sz="4" w:space="0" w:color="auto"/>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473</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9,9</w:t>
            </w:r>
          </w:p>
        </w:tc>
        <w:tc>
          <w:tcPr>
            <w:tcW w:w="637"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426</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8,8</w:t>
            </w:r>
          </w:p>
        </w:tc>
        <w:tc>
          <w:tcPr>
            <w:tcW w:w="637"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370</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7,6</w:t>
            </w:r>
          </w:p>
        </w:tc>
        <w:tc>
          <w:tcPr>
            <w:tcW w:w="637"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354</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7,2</w:t>
            </w:r>
          </w:p>
        </w:tc>
        <w:tc>
          <w:tcPr>
            <w:tcW w:w="637"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381</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b/>
                <w:color w:val="000000"/>
                <w:sz w:val="20"/>
                <w:szCs w:val="20"/>
              </w:rPr>
            </w:pPr>
            <w:r w:rsidRPr="002268FE">
              <w:rPr>
                <w:rFonts w:ascii="Arial" w:eastAsia="Times New Roman" w:hAnsi="Arial" w:cs="Arial"/>
                <w:b/>
                <w:color w:val="000000"/>
                <w:sz w:val="20"/>
                <w:szCs w:val="20"/>
              </w:rPr>
              <w:t>7,6</w:t>
            </w:r>
          </w:p>
        </w:tc>
      </w:tr>
      <w:tr w:rsidR="00475BBF" w:rsidRPr="002268FE" w:rsidTr="002268FE">
        <w:trPr>
          <w:trHeight w:val="299"/>
          <w:jc w:val="center"/>
        </w:trPr>
        <w:tc>
          <w:tcPr>
            <w:tcW w:w="1714" w:type="dxa"/>
            <w:tcBorders>
              <w:top w:val="single" w:sz="4" w:space="0" w:color="auto"/>
              <w:left w:val="nil"/>
              <w:bottom w:val="nil"/>
              <w:right w:val="nil"/>
            </w:tcBorders>
            <w:shd w:val="clear" w:color="000000" w:fill="FFFFFF"/>
            <w:noWrap/>
            <w:vAlign w:val="bottom"/>
            <w:hideMark/>
          </w:tcPr>
          <w:p w:rsidR="00475BBF" w:rsidRPr="002268FE" w:rsidRDefault="00475BBF" w:rsidP="00475BBF">
            <w:pPr>
              <w:rPr>
                <w:rFonts w:ascii="Arial" w:eastAsia="Times New Roman" w:hAnsi="Arial" w:cs="Arial"/>
                <w:color w:val="000000"/>
                <w:sz w:val="20"/>
                <w:szCs w:val="20"/>
              </w:rPr>
            </w:pPr>
            <w:r w:rsidRPr="002268FE">
              <w:rPr>
                <w:rFonts w:ascii="Arial" w:eastAsia="Times New Roman" w:hAnsi="Arial" w:cs="Arial"/>
                <w:color w:val="000000"/>
                <w:sz w:val="20"/>
                <w:szCs w:val="20"/>
              </w:rPr>
              <w:t>San José</w:t>
            </w:r>
          </w:p>
        </w:tc>
        <w:tc>
          <w:tcPr>
            <w:tcW w:w="637"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144</w:t>
            </w:r>
          </w:p>
        </w:tc>
        <w:tc>
          <w:tcPr>
            <w:tcW w:w="694"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9,1</w:t>
            </w:r>
          </w:p>
        </w:tc>
        <w:tc>
          <w:tcPr>
            <w:tcW w:w="637"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139</w:t>
            </w:r>
          </w:p>
        </w:tc>
        <w:tc>
          <w:tcPr>
            <w:tcW w:w="694"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8,7</w:t>
            </w:r>
          </w:p>
        </w:tc>
        <w:tc>
          <w:tcPr>
            <w:tcW w:w="637"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125</w:t>
            </w:r>
          </w:p>
        </w:tc>
        <w:tc>
          <w:tcPr>
            <w:tcW w:w="694"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7,8</w:t>
            </w:r>
          </w:p>
        </w:tc>
        <w:tc>
          <w:tcPr>
            <w:tcW w:w="637"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100</w:t>
            </w:r>
          </w:p>
        </w:tc>
        <w:tc>
          <w:tcPr>
            <w:tcW w:w="694"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6,2</w:t>
            </w:r>
          </w:p>
        </w:tc>
        <w:tc>
          <w:tcPr>
            <w:tcW w:w="637"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133</w:t>
            </w:r>
          </w:p>
        </w:tc>
        <w:tc>
          <w:tcPr>
            <w:tcW w:w="694" w:type="dxa"/>
            <w:tcBorders>
              <w:top w:val="single" w:sz="4" w:space="0" w:color="auto"/>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8,1</w:t>
            </w:r>
          </w:p>
        </w:tc>
      </w:tr>
      <w:tr w:rsidR="00475BBF" w:rsidRPr="002268FE" w:rsidTr="002268FE">
        <w:trPr>
          <w:trHeight w:val="299"/>
          <w:jc w:val="center"/>
        </w:trPr>
        <w:tc>
          <w:tcPr>
            <w:tcW w:w="1714" w:type="dxa"/>
            <w:tcBorders>
              <w:top w:val="nil"/>
              <w:left w:val="nil"/>
              <w:bottom w:val="nil"/>
              <w:right w:val="nil"/>
            </w:tcBorders>
            <w:shd w:val="clear" w:color="000000" w:fill="FFFFFF"/>
            <w:noWrap/>
            <w:vAlign w:val="bottom"/>
            <w:hideMark/>
          </w:tcPr>
          <w:p w:rsidR="00475BBF" w:rsidRPr="002268FE" w:rsidRDefault="00475BBF" w:rsidP="00475BBF">
            <w:pPr>
              <w:rPr>
                <w:rFonts w:ascii="Arial" w:eastAsia="Times New Roman" w:hAnsi="Arial" w:cs="Arial"/>
                <w:color w:val="000000"/>
                <w:sz w:val="20"/>
                <w:szCs w:val="20"/>
              </w:rPr>
            </w:pPr>
            <w:r w:rsidRPr="002268FE">
              <w:rPr>
                <w:rFonts w:ascii="Arial" w:eastAsia="Times New Roman" w:hAnsi="Arial" w:cs="Arial"/>
                <w:color w:val="000000"/>
                <w:sz w:val="20"/>
                <w:szCs w:val="20"/>
              </w:rPr>
              <w:t>Alajuela</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60</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6,3</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54</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5,6</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50</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5,1</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46</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4,7</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58</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5,8</w:t>
            </w:r>
          </w:p>
        </w:tc>
      </w:tr>
      <w:tr w:rsidR="00475BBF" w:rsidRPr="002268FE" w:rsidTr="002268FE">
        <w:trPr>
          <w:trHeight w:val="299"/>
          <w:jc w:val="center"/>
        </w:trPr>
        <w:tc>
          <w:tcPr>
            <w:tcW w:w="1714" w:type="dxa"/>
            <w:tcBorders>
              <w:top w:val="nil"/>
              <w:left w:val="nil"/>
              <w:bottom w:val="nil"/>
              <w:right w:val="nil"/>
            </w:tcBorders>
            <w:shd w:val="clear" w:color="000000" w:fill="FFFFFF"/>
            <w:noWrap/>
            <w:vAlign w:val="bottom"/>
            <w:hideMark/>
          </w:tcPr>
          <w:p w:rsidR="00475BBF" w:rsidRPr="002268FE" w:rsidRDefault="00475BBF" w:rsidP="00475BBF">
            <w:pPr>
              <w:rPr>
                <w:rFonts w:ascii="Arial" w:eastAsia="Times New Roman" w:hAnsi="Arial" w:cs="Arial"/>
                <w:color w:val="000000"/>
                <w:sz w:val="20"/>
                <w:szCs w:val="20"/>
              </w:rPr>
            </w:pPr>
            <w:r w:rsidRPr="002268FE">
              <w:rPr>
                <w:rFonts w:ascii="Arial" w:eastAsia="Times New Roman" w:hAnsi="Arial" w:cs="Arial"/>
                <w:color w:val="000000"/>
                <w:sz w:val="20"/>
                <w:szCs w:val="20"/>
              </w:rPr>
              <w:t>Cartago</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34</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6,6</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32</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6,1</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26</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4,9</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12</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2,3</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16</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3,0</w:t>
            </w:r>
          </w:p>
        </w:tc>
      </w:tr>
      <w:tr w:rsidR="00475BBF" w:rsidRPr="002268FE" w:rsidTr="002268FE">
        <w:trPr>
          <w:trHeight w:val="299"/>
          <w:jc w:val="center"/>
        </w:trPr>
        <w:tc>
          <w:tcPr>
            <w:tcW w:w="1714" w:type="dxa"/>
            <w:tcBorders>
              <w:top w:val="nil"/>
              <w:left w:val="nil"/>
              <w:bottom w:val="nil"/>
              <w:right w:val="nil"/>
            </w:tcBorders>
            <w:shd w:val="clear" w:color="000000" w:fill="FFFFFF"/>
            <w:noWrap/>
            <w:vAlign w:val="bottom"/>
            <w:hideMark/>
          </w:tcPr>
          <w:p w:rsidR="00475BBF" w:rsidRPr="002268FE" w:rsidRDefault="00475BBF" w:rsidP="00475BBF">
            <w:pPr>
              <w:rPr>
                <w:rFonts w:ascii="Arial" w:eastAsia="Times New Roman" w:hAnsi="Arial" w:cs="Arial"/>
                <w:color w:val="000000"/>
                <w:sz w:val="20"/>
                <w:szCs w:val="20"/>
              </w:rPr>
            </w:pPr>
            <w:r w:rsidRPr="002268FE">
              <w:rPr>
                <w:rFonts w:ascii="Arial" w:eastAsia="Times New Roman" w:hAnsi="Arial" w:cs="Arial"/>
                <w:color w:val="000000"/>
                <w:sz w:val="20"/>
                <w:szCs w:val="20"/>
              </w:rPr>
              <w:t>Heredia</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34</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7,0</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25</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5,1</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22</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4,4</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39</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7,7</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32</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6,2</w:t>
            </w:r>
          </w:p>
        </w:tc>
      </w:tr>
      <w:tr w:rsidR="00475BBF" w:rsidRPr="002268FE" w:rsidTr="002268FE">
        <w:trPr>
          <w:trHeight w:val="299"/>
          <w:jc w:val="center"/>
        </w:trPr>
        <w:tc>
          <w:tcPr>
            <w:tcW w:w="1714" w:type="dxa"/>
            <w:tcBorders>
              <w:top w:val="nil"/>
              <w:left w:val="nil"/>
              <w:bottom w:val="nil"/>
              <w:right w:val="nil"/>
            </w:tcBorders>
            <w:shd w:val="clear" w:color="000000" w:fill="FFFFFF"/>
            <w:noWrap/>
            <w:vAlign w:val="bottom"/>
            <w:hideMark/>
          </w:tcPr>
          <w:p w:rsidR="00475BBF" w:rsidRPr="002268FE" w:rsidRDefault="00475BBF" w:rsidP="00475BBF">
            <w:pPr>
              <w:rPr>
                <w:rFonts w:ascii="Arial" w:eastAsia="Times New Roman" w:hAnsi="Arial" w:cs="Arial"/>
                <w:color w:val="000000"/>
                <w:sz w:val="20"/>
                <w:szCs w:val="20"/>
              </w:rPr>
            </w:pPr>
            <w:r w:rsidRPr="002268FE">
              <w:rPr>
                <w:rFonts w:ascii="Arial" w:eastAsia="Times New Roman" w:hAnsi="Arial" w:cs="Arial"/>
                <w:color w:val="000000"/>
                <w:sz w:val="20"/>
                <w:szCs w:val="20"/>
              </w:rPr>
              <w:t>Guanacaste</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48</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13,3</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47</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12,9</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48</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12,9</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55</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14,6</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44</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11,5</w:t>
            </w:r>
          </w:p>
        </w:tc>
      </w:tr>
      <w:tr w:rsidR="00475BBF" w:rsidRPr="002268FE" w:rsidTr="002268FE">
        <w:trPr>
          <w:trHeight w:val="299"/>
          <w:jc w:val="center"/>
        </w:trPr>
        <w:tc>
          <w:tcPr>
            <w:tcW w:w="1714" w:type="dxa"/>
            <w:tcBorders>
              <w:top w:val="nil"/>
              <w:left w:val="nil"/>
              <w:bottom w:val="nil"/>
              <w:right w:val="nil"/>
            </w:tcBorders>
            <w:shd w:val="clear" w:color="000000" w:fill="FFFFFF"/>
            <w:noWrap/>
            <w:vAlign w:val="bottom"/>
            <w:hideMark/>
          </w:tcPr>
          <w:p w:rsidR="00475BBF" w:rsidRPr="002268FE" w:rsidRDefault="00475BBF" w:rsidP="00475BBF">
            <w:pPr>
              <w:rPr>
                <w:rFonts w:ascii="Arial" w:eastAsia="Times New Roman" w:hAnsi="Arial" w:cs="Arial"/>
                <w:color w:val="000000"/>
                <w:sz w:val="20"/>
                <w:szCs w:val="20"/>
              </w:rPr>
            </w:pPr>
            <w:r w:rsidRPr="002268FE">
              <w:rPr>
                <w:rFonts w:ascii="Arial" w:eastAsia="Times New Roman" w:hAnsi="Arial" w:cs="Arial"/>
                <w:color w:val="000000"/>
                <w:sz w:val="20"/>
                <w:szCs w:val="20"/>
              </w:rPr>
              <w:t>Puntarenas</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55</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11,9</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46</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9,8</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42</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8,9</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38</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7,9</w:t>
            </w:r>
          </w:p>
        </w:tc>
        <w:tc>
          <w:tcPr>
            <w:tcW w:w="637"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43</w:t>
            </w:r>
          </w:p>
        </w:tc>
        <w:tc>
          <w:tcPr>
            <w:tcW w:w="694" w:type="dxa"/>
            <w:tcBorders>
              <w:top w:val="nil"/>
              <w:left w:val="nil"/>
              <w:bottom w:val="nil"/>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8,8</w:t>
            </w:r>
          </w:p>
        </w:tc>
      </w:tr>
      <w:tr w:rsidR="00475BBF" w:rsidRPr="002268FE" w:rsidTr="002268FE">
        <w:trPr>
          <w:trHeight w:val="299"/>
          <w:jc w:val="center"/>
        </w:trPr>
        <w:tc>
          <w:tcPr>
            <w:tcW w:w="1714" w:type="dxa"/>
            <w:tcBorders>
              <w:top w:val="nil"/>
              <w:left w:val="nil"/>
              <w:bottom w:val="single" w:sz="4" w:space="0" w:color="auto"/>
              <w:right w:val="nil"/>
            </w:tcBorders>
            <w:shd w:val="clear" w:color="000000" w:fill="FFFFFF"/>
            <w:noWrap/>
            <w:vAlign w:val="bottom"/>
            <w:hideMark/>
          </w:tcPr>
          <w:p w:rsidR="00475BBF" w:rsidRPr="002268FE" w:rsidRDefault="00475BBF" w:rsidP="00475BBF">
            <w:pPr>
              <w:rPr>
                <w:rFonts w:ascii="Arial" w:eastAsia="Times New Roman" w:hAnsi="Arial" w:cs="Arial"/>
                <w:color w:val="000000"/>
                <w:sz w:val="20"/>
                <w:szCs w:val="20"/>
              </w:rPr>
            </w:pPr>
            <w:r w:rsidRPr="002268FE">
              <w:rPr>
                <w:rFonts w:ascii="Arial" w:eastAsia="Times New Roman" w:hAnsi="Arial" w:cs="Arial"/>
                <w:color w:val="000000"/>
                <w:sz w:val="20"/>
                <w:szCs w:val="20"/>
              </w:rPr>
              <w:t>Limón</w:t>
            </w:r>
          </w:p>
        </w:tc>
        <w:tc>
          <w:tcPr>
            <w:tcW w:w="637"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98</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22,9</w:t>
            </w:r>
          </w:p>
        </w:tc>
        <w:tc>
          <w:tcPr>
            <w:tcW w:w="637"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83</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19,1</w:t>
            </w:r>
          </w:p>
        </w:tc>
        <w:tc>
          <w:tcPr>
            <w:tcW w:w="637"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57</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13,0</w:t>
            </w:r>
          </w:p>
        </w:tc>
        <w:tc>
          <w:tcPr>
            <w:tcW w:w="637"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64</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14,4</w:t>
            </w:r>
          </w:p>
        </w:tc>
        <w:tc>
          <w:tcPr>
            <w:tcW w:w="637"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55</w:t>
            </w:r>
          </w:p>
        </w:tc>
        <w:tc>
          <w:tcPr>
            <w:tcW w:w="694" w:type="dxa"/>
            <w:tcBorders>
              <w:top w:val="nil"/>
              <w:left w:val="nil"/>
              <w:bottom w:val="single" w:sz="4" w:space="0" w:color="auto"/>
              <w:right w:val="nil"/>
            </w:tcBorders>
            <w:shd w:val="clear" w:color="000000" w:fill="FFFFFF"/>
            <w:noWrap/>
            <w:vAlign w:val="bottom"/>
            <w:hideMark/>
          </w:tcPr>
          <w:p w:rsidR="00475BBF" w:rsidRPr="002268FE" w:rsidRDefault="00475BBF" w:rsidP="00475BBF">
            <w:pPr>
              <w:jc w:val="center"/>
              <w:rPr>
                <w:rFonts w:ascii="Arial" w:eastAsia="Times New Roman" w:hAnsi="Arial" w:cs="Arial"/>
                <w:color w:val="000000"/>
                <w:sz w:val="20"/>
                <w:szCs w:val="20"/>
              </w:rPr>
            </w:pPr>
            <w:r w:rsidRPr="002268FE">
              <w:rPr>
                <w:rFonts w:ascii="Arial" w:eastAsia="Times New Roman" w:hAnsi="Arial" w:cs="Arial"/>
                <w:color w:val="000000"/>
                <w:sz w:val="20"/>
                <w:szCs w:val="20"/>
              </w:rPr>
              <w:t>12,2</w:t>
            </w:r>
          </w:p>
        </w:tc>
      </w:tr>
    </w:tbl>
    <w:p w:rsidR="00475BBF" w:rsidRDefault="00475BBF" w:rsidP="002268FE">
      <w:pPr>
        <w:spacing w:line="360" w:lineRule="auto"/>
        <w:jc w:val="right"/>
        <w:rPr>
          <w:rFonts w:ascii="Arial" w:hAnsi="Arial" w:cs="Arial"/>
          <w:lang w:val="es-CR"/>
        </w:rPr>
      </w:pPr>
      <w:r w:rsidRPr="002268FE">
        <w:rPr>
          <w:rFonts w:ascii="Arial" w:hAnsi="Arial" w:cs="Arial"/>
          <w:b/>
          <w:sz w:val="18"/>
          <w:szCs w:val="18"/>
          <w:lang w:val="es-MX"/>
        </w:rPr>
        <w:t>Fuente:</w:t>
      </w:r>
      <w:r w:rsidRPr="002268FE">
        <w:rPr>
          <w:rFonts w:ascii="Arial" w:hAnsi="Arial" w:cs="Arial"/>
          <w:sz w:val="18"/>
          <w:szCs w:val="18"/>
          <w:lang w:val="es-MX"/>
        </w:rPr>
        <w:t xml:space="preserve"> Dirección de Vigilancia de la Salud. Ministerio de Salud</w:t>
      </w:r>
      <w:r w:rsidR="002268FE" w:rsidRPr="002268FE">
        <w:rPr>
          <w:rFonts w:ascii="Arial" w:hAnsi="Arial" w:cs="Arial"/>
          <w:sz w:val="18"/>
          <w:szCs w:val="18"/>
          <w:lang w:val="es-MX"/>
        </w:rPr>
        <w:t>, 2019</w:t>
      </w:r>
      <w:r w:rsidR="002268FE">
        <w:rPr>
          <w:rFonts w:ascii="Arial" w:hAnsi="Arial" w:cs="Arial"/>
          <w:sz w:val="20"/>
          <w:szCs w:val="20"/>
          <w:lang w:val="es-MX"/>
        </w:rPr>
        <w:t>.</w:t>
      </w:r>
    </w:p>
    <w:p w:rsidR="002268FE" w:rsidRDefault="002268FE" w:rsidP="00475BBF">
      <w:pPr>
        <w:widowControl w:val="0"/>
        <w:spacing w:line="276" w:lineRule="auto"/>
        <w:jc w:val="both"/>
        <w:rPr>
          <w:rFonts w:ascii="Arial" w:eastAsia="Times New Roman" w:hAnsi="Arial" w:cs="Arial"/>
          <w:lang w:val="es-ES" w:eastAsia="es-ES"/>
        </w:rPr>
      </w:pPr>
    </w:p>
    <w:p w:rsidR="00475BBF" w:rsidRPr="00703AD0" w:rsidRDefault="008F5260" w:rsidP="00475BBF">
      <w:pPr>
        <w:widowControl w:val="0"/>
        <w:spacing w:line="276" w:lineRule="auto"/>
        <w:jc w:val="both"/>
        <w:rPr>
          <w:rFonts w:ascii="Arial" w:eastAsia="Calibri" w:hAnsi="Arial" w:cs="Arial"/>
          <w:b/>
          <w:lang w:val="es-ES"/>
        </w:rPr>
      </w:pPr>
      <w:r>
        <w:rPr>
          <w:rFonts w:ascii="Arial" w:eastAsia="Times New Roman" w:hAnsi="Arial" w:cs="Arial"/>
          <w:lang w:val="es-ES" w:eastAsia="es-ES"/>
        </w:rPr>
        <w:t xml:space="preserve">En relación con la indcidencia de tuberculosis por cantón se observó que en el </w:t>
      </w:r>
      <w:r w:rsidR="00475BBF" w:rsidRPr="00703AD0">
        <w:rPr>
          <w:rFonts w:ascii="Arial" w:eastAsia="Times New Roman" w:hAnsi="Arial" w:cs="Arial"/>
          <w:lang w:val="es-ES" w:eastAsia="es-ES"/>
        </w:rPr>
        <w:t>2014</w:t>
      </w:r>
      <w:r>
        <w:rPr>
          <w:rFonts w:ascii="Arial" w:eastAsia="Times New Roman" w:hAnsi="Arial" w:cs="Arial"/>
          <w:lang w:val="es-ES" w:eastAsia="es-ES"/>
        </w:rPr>
        <w:t xml:space="preserve">, </w:t>
      </w:r>
      <w:r w:rsidR="00475BBF" w:rsidRPr="00703AD0">
        <w:rPr>
          <w:rFonts w:ascii="Arial" w:eastAsia="Times New Roman" w:hAnsi="Arial" w:cs="Arial"/>
          <w:lang w:val="es-ES" w:eastAsia="es-ES"/>
        </w:rPr>
        <w:t xml:space="preserve"> </w:t>
      </w:r>
      <w:r>
        <w:rPr>
          <w:rFonts w:ascii="Arial" w:eastAsia="Times New Roman" w:hAnsi="Arial" w:cs="Arial"/>
          <w:lang w:val="es-ES" w:eastAsia="es-ES"/>
        </w:rPr>
        <w:t xml:space="preserve">el cantón de </w:t>
      </w:r>
      <w:r w:rsidR="00475BBF">
        <w:rPr>
          <w:rFonts w:ascii="Arial" w:eastAsia="Times New Roman" w:hAnsi="Arial" w:cs="Arial"/>
          <w:lang w:val="es-ES" w:eastAsia="es-ES"/>
        </w:rPr>
        <w:t>Hojancha</w:t>
      </w:r>
      <w:r w:rsidR="00475BBF" w:rsidRPr="00703AD0">
        <w:rPr>
          <w:rFonts w:ascii="Arial" w:eastAsia="Times New Roman" w:hAnsi="Arial" w:cs="Arial"/>
          <w:lang w:val="es-ES" w:eastAsia="es-ES"/>
        </w:rPr>
        <w:t xml:space="preserve"> </w:t>
      </w:r>
      <w:r>
        <w:rPr>
          <w:rFonts w:ascii="Arial" w:eastAsia="Times New Roman" w:hAnsi="Arial" w:cs="Arial"/>
          <w:lang w:val="es-ES" w:eastAsia="es-ES"/>
        </w:rPr>
        <w:t xml:space="preserve">de la provincia de Guanacaste ocupó el primer lugar, </w:t>
      </w:r>
      <w:r w:rsidR="00475BBF" w:rsidRPr="00703AD0">
        <w:rPr>
          <w:rFonts w:ascii="Arial" w:eastAsia="Times New Roman" w:hAnsi="Arial" w:cs="Arial"/>
          <w:lang w:val="es-ES" w:eastAsia="es-ES"/>
        </w:rPr>
        <w:t>con una tasa de 6</w:t>
      </w:r>
      <w:r w:rsidR="00475BBF">
        <w:rPr>
          <w:rFonts w:ascii="Arial" w:eastAsia="Times New Roman" w:hAnsi="Arial" w:cs="Arial"/>
          <w:lang w:val="es-ES" w:eastAsia="es-ES"/>
        </w:rPr>
        <w:t>5,1</w:t>
      </w:r>
      <w:r w:rsidR="00475BBF" w:rsidRPr="00703AD0">
        <w:rPr>
          <w:rFonts w:ascii="Arial" w:eastAsia="Times New Roman" w:hAnsi="Arial" w:cs="Arial"/>
          <w:lang w:val="es-ES" w:eastAsia="es-ES"/>
        </w:rPr>
        <w:t xml:space="preserve"> casos por 100.000 habitantes</w:t>
      </w:r>
      <w:r w:rsidR="00086C28">
        <w:rPr>
          <w:rFonts w:ascii="Arial" w:eastAsia="Times New Roman" w:hAnsi="Arial" w:cs="Arial"/>
          <w:lang w:val="es-ES" w:eastAsia="es-ES"/>
        </w:rPr>
        <w:t xml:space="preserve">. En el </w:t>
      </w:r>
      <w:r w:rsidR="00475BBF">
        <w:rPr>
          <w:rFonts w:ascii="Arial" w:eastAsia="Times New Roman" w:hAnsi="Arial" w:cs="Arial"/>
          <w:lang w:val="es-ES" w:eastAsia="es-ES"/>
        </w:rPr>
        <w:t xml:space="preserve">2015 </w:t>
      </w:r>
      <w:r w:rsidR="00086C28">
        <w:rPr>
          <w:rFonts w:ascii="Arial" w:eastAsia="Times New Roman" w:hAnsi="Arial" w:cs="Arial"/>
          <w:lang w:val="es-ES" w:eastAsia="es-ES"/>
        </w:rPr>
        <w:t xml:space="preserve">este puesto lo ocupó el </w:t>
      </w:r>
      <w:r w:rsidR="00475BBF">
        <w:rPr>
          <w:rFonts w:ascii="Arial" w:eastAsia="Times New Roman" w:hAnsi="Arial" w:cs="Arial"/>
          <w:lang w:val="es-ES" w:eastAsia="es-ES"/>
        </w:rPr>
        <w:t>cantón</w:t>
      </w:r>
      <w:r w:rsidR="00475BBF" w:rsidRPr="00703AD0">
        <w:rPr>
          <w:rFonts w:ascii="Arial" w:eastAsia="Times New Roman" w:hAnsi="Arial" w:cs="Arial"/>
          <w:lang w:val="es-ES" w:eastAsia="es-ES"/>
        </w:rPr>
        <w:t xml:space="preserve"> de </w:t>
      </w:r>
      <w:r w:rsidR="00475BBF">
        <w:rPr>
          <w:rFonts w:ascii="Arial" w:eastAsia="Times New Roman" w:hAnsi="Arial" w:cs="Arial"/>
          <w:lang w:val="es-ES" w:eastAsia="es-ES"/>
        </w:rPr>
        <w:t xml:space="preserve">Limón </w:t>
      </w:r>
      <w:r w:rsidR="00086C28">
        <w:rPr>
          <w:rFonts w:ascii="Arial" w:eastAsia="Times New Roman" w:hAnsi="Arial" w:cs="Arial"/>
          <w:lang w:val="es-ES" w:eastAsia="es-ES"/>
        </w:rPr>
        <w:t xml:space="preserve">de la misma provincia </w:t>
      </w:r>
      <w:r w:rsidR="00475BBF" w:rsidRPr="00703AD0">
        <w:rPr>
          <w:rFonts w:ascii="Arial" w:eastAsia="Times New Roman" w:hAnsi="Arial" w:cs="Arial"/>
          <w:lang w:val="es-ES" w:eastAsia="es-ES"/>
        </w:rPr>
        <w:t xml:space="preserve">con una tasa de </w:t>
      </w:r>
      <w:r w:rsidR="00475BBF">
        <w:rPr>
          <w:rFonts w:ascii="Arial" w:eastAsia="Times New Roman" w:hAnsi="Arial" w:cs="Arial"/>
          <w:lang w:val="es-ES" w:eastAsia="es-ES"/>
        </w:rPr>
        <w:t>34,7</w:t>
      </w:r>
      <w:r w:rsidR="00475BBF" w:rsidRPr="00703AD0">
        <w:rPr>
          <w:rFonts w:ascii="Arial" w:eastAsia="Times New Roman" w:hAnsi="Arial" w:cs="Arial"/>
          <w:lang w:val="es-ES" w:eastAsia="es-ES"/>
        </w:rPr>
        <w:t xml:space="preserve"> por 100.000 habitantes. En el año 2016 </w:t>
      </w:r>
      <w:r w:rsidR="00086C28">
        <w:rPr>
          <w:rFonts w:ascii="Arial" w:eastAsia="Times New Roman" w:hAnsi="Arial" w:cs="Arial"/>
          <w:lang w:val="es-ES" w:eastAsia="es-ES"/>
        </w:rPr>
        <w:t xml:space="preserve">el cantón de </w:t>
      </w:r>
      <w:r w:rsidR="00475BBF">
        <w:rPr>
          <w:rFonts w:ascii="Arial" w:eastAsia="Times New Roman" w:hAnsi="Arial" w:cs="Arial"/>
          <w:lang w:val="es-ES" w:eastAsia="es-ES"/>
        </w:rPr>
        <w:t xml:space="preserve">Bagaces </w:t>
      </w:r>
      <w:r w:rsidR="00086C28">
        <w:rPr>
          <w:rFonts w:ascii="Arial" w:eastAsia="Times New Roman" w:hAnsi="Arial" w:cs="Arial"/>
          <w:lang w:val="es-ES" w:eastAsia="es-ES"/>
        </w:rPr>
        <w:t xml:space="preserve">de la provincia de Guanacaste tuvo la mayor incidencia de tuberculosis, </w:t>
      </w:r>
      <w:r w:rsidR="00475BBF">
        <w:rPr>
          <w:rFonts w:ascii="Arial" w:eastAsia="Times New Roman" w:hAnsi="Arial" w:cs="Arial"/>
          <w:lang w:val="es-ES" w:eastAsia="es-ES"/>
        </w:rPr>
        <w:t xml:space="preserve">con una </w:t>
      </w:r>
      <w:r w:rsidR="00086C28">
        <w:rPr>
          <w:rFonts w:ascii="Arial" w:eastAsia="Times New Roman" w:hAnsi="Arial" w:cs="Arial"/>
          <w:lang w:val="es-ES" w:eastAsia="es-ES"/>
        </w:rPr>
        <w:t xml:space="preserve">tasa </w:t>
      </w:r>
      <w:r w:rsidR="00475BBF">
        <w:rPr>
          <w:rFonts w:ascii="Arial" w:eastAsia="Times New Roman" w:hAnsi="Arial" w:cs="Arial"/>
          <w:lang w:val="es-ES" w:eastAsia="es-ES"/>
        </w:rPr>
        <w:t>de 39,7 por cien mil habitantes</w:t>
      </w:r>
      <w:r w:rsidR="00086C28">
        <w:rPr>
          <w:rFonts w:ascii="Arial" w:eastAsia="Times New Roman" w:hAnsi="Arial" w:cs="Arial"/>
          <w:lang w:val="es-ES" w:eastAsia="es-ES"/>
        </w:rPr>
        <w:t xml:space="preserve">. En </w:t>
      </w:r>
      <w:r w:rsidR="00475BBF" w:rsidRPr="00703AD0">
        <w:rPr>
          <w:rFonts w:ascii="Arial" w:eastAsia="Times New Roman" w:hAnsi="Arial" w:cs="Arial"/>
          <w:lang w:val="es-ES" w:eastAsia="es-ES"/>
        </w:rPr>
        <w:t xml:space="preserve">el 2017 </w:t>
      </w:r>
      <w:r w:rsidR="00086C28">
        <w:rPr>
          <w:rFonts w:ascii="Arial" w:eastAsia="Times New Roman" w:hAnsi="Arial" w:cs="Arial"/>
          <w:lang w:val="es-ES" w:eastAsia="es-ES"/>
        </w:rPr>
        <w:t xml:space="preserve">y en el 2018 la provincia de Guanacaste vuelve a ocupar el primer lugar, con las tasas más altas en los cantones de </w:t>
      </w:r>
      <w:r w:rsidR="00475BBF">
        <w:rPr>
          <w:rFonts w:ascii="Arial" w:eastAsia="Times New Roman" w:hAnsi="Arial" w:cs="Arial"/>
          <w:lang w:val="es-ES" w:eastAsia="es-ES"/>
        </w:rPr>
        <w:t>Carrillo</w:t>
      </w:r>
      <w:r w:rsidR="00475BBF" w:rsidRPr="00703AD0">
        <w:rPr>
          <w:rFonts w:ascii="Arial" w:eastAsia="Times New Roman" w:hAnsi="Arial" w:cs="Arial"/>
          <w:lang w:val="es-ES" w:eastAsia="es-ES"/>
        </w:rPr>
        <w:t xml:space="preserve"> </w:t>
      </w:r>
      <w:r w:rsidR="00086C28">
        <w:rPr>
          <w:rFonts w:ascii="Arial" w:eastAsia="Times New Roman" w:hAnsi="Arial" w:cs="Arial"/>
          <w:lang w:val="es-ES" w:eastAsia="es-ES"/>
        </w:rPr>
        <w:t>en el 2017(34,7/100.000 habitantes)</w:t>
      </w:r>
      <w:r w:rsidR="00475BBF" w:rsidRPr="00703AD0">
        <w:rPr>
          <w:rFonts w:ascii="Arial" w:eastAsia="Times New Roman" w:hAnsi="Arial" w:cs="Arial"/>
          <w:lang w:val="es-ES" w:eastAsia="es-ES"/>
        </w:rPr>
        <w:t xml:space="preserve"> </w:t>
      </w:r>
      <w:r w:rsidR="00086C28">
        <w:rPr>
          <w:rFonts w:ascii="Arial" w:eastAsia="Times New Roman" w:hAnsi="Arial" w:cs="Arial"/>
          <w:lang w:val="es-ES" w:eastAsia="es-ES"/>
        </w:rPr>
        <w:t xml:space="preserve">y </w:t>
      </w:r>
      <w:r w:rsidR="00475BBF" w:rsidRPr="00703AD0">
        <w:rPr>
          <w:rFonts w:ascii="Arial" w:eastAsia="Times New Roman" w:hAnsi="Arial" w:cs="Arial"/>
          <w:lang w:val="es-ES" w:eastAsia="es-ES"/>
        </w:rPr>
        <w:t xml:space="preserve">en el 2018 </w:t>
      </w:r>
      <w:r w:rsidR="00086C28">
        <w:rPr>
          <w:rFonts w:ascii="Arial" w:eastAsia="Times New Roman" w:hAnsi="Arial" w:cs="Arial"/>
          <w:lang w:val="es-ES" w:eastAsia="es-ES"/>
        </w:rPr>
        <w:t xml:space="preserve">el cantón de </w:t>
      </w:r>
      <w:r w:rsidR="00475BBF">
        <w:rPr>
          <w:rFonts w:ascii="Arial" w:eastAsia="Times New Roman" w:hAnsi="Arial" w:cs="Arial"/>
          <w:lang w:val="es-ES" w:eastAsia="es-ES"/>
        </w:rPr>
        <w:t>Liberia</w:t>
      </w:r>
      <w:r w:rsidR="00475BBF" w:rsidRPr="00703AD0">
        <w:rPr>
          <w:rFonts w:ascii="Arial" w:eastAsia="Times New Roman" w:hAnsi="Arial" w:cs="Arial"/>
          <w:lang w:val="es-ES" w:eastAsia="es-ES"/>
        </w:rPr>
        <w:t xml:space="preserve"> </w:t>
      </w:r>
      <w:r w:rsidR="00086C28">
        <w:rPr>
          <w:rFonts w:ascii="Arial" w:eastAsia="Times New Roman" w:hAnsi="Arial" w:cs="Arial"/>
          <w:lang w:val="es-ES" w:eastAsia="es-ES"/>
        </w:rPr>
        <w:t>(16,9/</w:t>
      </w:r>
      <w:r w:rsidR="00475BBF">
        <w:rPr>
          <w:rFonts w:ascii="Arial" w:eastAsia="Times New Roman" w:hAnsi="Arial" w:cs="Arial"/>
          <w:lang w:val="es-ES" w:eastAsia="es-ES"/>
        </w:rPr>
        <w:t>100.000 habitantes</w:t>
      </w:r>
      <w:r w:rsidR="00086C28">
        <w:rPr>
          <w:rFonts w:ascii="Arial" w:eastAsia="Times New Roman" w:hAnsi="Arial" w:cs="Arial"/>
          <w:lang w:val="es-ES" w:eastAsia="es-ES"/>
        </w:rPr>
        <w:t>)</w:t>
      </w:r>
      <w:r w:rsidR="00475BBF">
        <w:rPr>
          <w:rFonts w:ascii="Arial" w:eastAsia="Times New Roman" w:hAnsi="Arial" w:cs="Arial"/>
          <w:lang w:val="es-ES" w:eastAsia="es-ES"/>
        </w:rPr>
        <w:t>.</w:t>
      </w:r>
    </w:p>
    <w:p w:rsidR="00475BBF" w:rsidRPr="00703AD0" w:rsidRDefault="00475BBF" w:rsidP="00475BBF">
      <w:pPr>
        <w:spacing w:line="276" w:lineRule="auto"/>
        <w:rPr>
          <w:rFonts w:ascii="Arial" w:hAnsi="Arial" w:cs="Arial"/>
          <w:lang w:val="es-ES"/>
        </w:rPr>
      </w:pPr>
    </w:p>
    <w:p w:rsidR="00475BBF" w:rsidRPr="000747C7" w:rsidRDefault="00475BBF" w:rsidP="00475BBF">
      <w:pPr>
        <w:spacing w:line="276" w:lineRule="auto"/>
        <w:rPr>
          <w:rFonts w:ascii="Arial" w:hAnsi="Arial" w:cs="Arial"/>
          <w:lang w:val="es-ES"/>
        </w:rPr>
      </w:pPr>
      <w:r>
        <w:rPr>
          <w:rFonts w:ascii="Arial" w:hAnsi="Arial" w:cs="Arial"/>
          <w:lang w:val="es-ES"/>
        </w:rPr>
        <w:t>En el período, los casos de tuberculosis se registran en todos los grupos de edad, pero aumenta en los grupos de 50 y más años.</w:t>
      </w:r>
    </w:p>
    <w:p w:rsidR="00475BBF" w:rsidRPr="005A0691" w:rsidRDefault="00475BBF" w:rsidP="00475BBF">
      <w:pPr>
        <w:spacing w:line="360" w:lineRule="auto"/>
        <w:rPr>
          <w:rFonts w:ascii="Arial" w:hAnsi="Arial" w:cs="Arial"/>
          <w:sz w:val="20"/>
          <w:szCs w:val="20"/>
          <w:lang w:val="es-CR"/>
        </w:rPr>
      </w:pPr>
    </w:p>
    <w:p w:rsidR="00475BBF" w:rsidRDefault="00475BBF" w:rsidP="00475BBF">
      <w:pPr>
        <w:spacing w:line="276" w:lineRule="auto"/>
        <w:rPr>
          <w:rFonts w:ascii="Arial" w:hAnsi="Arial" w:cs="Arial"/>
          <w:lang w:val="es-CR"/>
        </w:rPr>
      </w:pPr>
      <w:r>
        <w:rPr>
          <w:rFonts w:ascii="Arial" w:hAnsi="Arial" w:cs="Arial"/>
          <w:lang w:val="es-CR"/>
        </w:rPr>
        <w:t xml:space="preserve">Para el período, el sexo con mayor incidencia de casos por tuberculosis </w:t>
      </w:r>
      <w:r w:rsidR="00086C28">
        <w:rPr>
          <w:rFonts w:ascii="Arial" w:hAnsi="Arial" w:cs="Arial"/>
          <w:lang w:val="es-CR"/>
        </w:rPr>
        <w:t>fue</w:t>
      </w:r>
      <w:r>
        <w:rPr>
          <w:rFonts w:ascii="Arial" w:hAnsi="Arial" w:cs="Arial"/>
          <w:lang w:val="es-CR"/>
        </w:rPr>
        <w:t xml:space="preserve"> el masculino excepto en el 2015.</w:t>
      </w:r>
    </w:p>
    <w:p w:rsidR="00475BBF" w:rsidRDefault="00475BBF" w:rsidP="00475BBF">
      <w:pPr>
        <w:spacing w:line="276" w:lineRule="auto"/>
        <w:rPr>
          <w:rFonts w:ascii="Arial" w:hAnsi="Arial" w:cs="Arial"/>
          <w:lang w:val="es-CR"/>
        </w:rPr>
      </w:pPr>
    </w:p>
    <w:p w:rsidR="00FD74E3" w:rsidRDefault="00FD74E3" w:rsidP="00475BBF">
      <w:pPr>
        <w:spacing w:line="276" w:lineRule="auto"/>
        <w:rPr>
          <w:rFonts w:ascii="Arial" w:hAnsi="Arial" w:cs="Arial"/>
          <w:lang w:val="es-CR"/>
        </w:rPr>
      </w:pPr>
    </w:p>
    <w:p w:rsidR="00FD74E3" w:rsidRDefault="00FD74E3" w:rsidP="00475BBF">
      <w:pPr>
        <w:spacing w:line="276" w:lineRule="auto"/>
        <w:rPr>
          <w:rFonts w:ascii="Arial" w:hAnsi="Arial" w:cs="Arial"/>
          <w:lang w:val="es-CR"/>
        </w:rPr>
      </w:pPr>
    </w:p>
    <w:p w:rsidR="00FD74E3" w:rsidRDefault="00FD74E3" w:rsidP="00475BBF">
      <w:pPr>
        <w:spacing w:line="276" w:lineRule="auto"/>
        <w:rPr>
          <w:rFonts w:ascii="Arial" w:hAnsi="Arial" w:cs="Arial"/>
          <w:lang w:val="es-CR"/>
        </w:rPr>
      </w:pPr>
    </w:p>
    <w:p w:rsidR="00475BBF" w:rsidRDefault="00086C28" w:rsidP="00475BBF">
      <w:pPr>
        <w:widowControl w:val="0"/>
        <w:spacing w:line="276" w:lineRule="auto"/>
        <w:jc w:val="both"/>
        <w:rPr>
          <w:rFonts w:ascii="Arial" w:eastAsia="Times New Roman" w:hAnsi="Arial" w:cs="Arial"/>
          <w:lang w:val="es-ES" w:eastAsia="es-ES"/>
        </w:rPr>
      </w:pPr>
      <w:r>
        <w:rPr>
          <w:rFonts w:ascii="Arial" w:eastAsia="Times New Roman" w:hAnsi="Arial" w:cs="Arial"/>
          <w:lang w:val="es-ES" w:eastAsia="es-ES"/>
        </w:rPr>
        <w:lastRenderedPageBreak/>
        <w:t xml:space="preserve">La mortalidad por tuberculosis mostró una tendencia a la disminución del 2014 al 2016. </w:t>
      </w:r>
      <w:r w:rsidR="00FD74E3">
        <w:rPr>
          <w:rFonts w:ascii="Arial" w:eastAsia="Times New Roman" w:hAnsi="Arial" w:cs="Arial"/>
          <w:lang w:val="es-ES" w:eastAsia="es-ES"/>
        </w:rPr>
        <w:t>Sin embargo, en el año 2017 aumenta levemente la mortalidad, para una tasa de 1,3</w:t>
      </w:r>
      <w:r w:rsidR="00FD74E3" w:rsidRPr="00F01AC2">
        <w:rPr>
          <w:rFonts w:ascii="Arial" w:eastAsia="Times New Roman" w:hAnsi="Arial" w:cs="Arial"/>
          <w:lang w:val="es-ES" w:eastAsia="es-ES"/>
        </w:rPr>
        <w:t xml:space="preserve"> </w:t>
      </w:r>
      <w:r w:rsidR="00FD74E3">
        <w:rPr>
          <w:rFonts w:ascii="Arial" w:eastAsia="Times New Roman" w:hAnsi="Arial" w:cs="Arial"/>
          <w:lang w:val="es-ES" w:eastAsia="es-ES"/>
        </w:rPr>
        <w:t>casos por cien mil habitantes</w:t>
      </w:r>
      <w:r w:rsidR="00FD74E3" w:rsidRPr="00F01AC2">
        <w:rPr>
          <w:rFonts w:ascii="Arial" w:eastAsia="Times New Roman" w:hAnsi="Arial" w:cs="Arial"/>
          <w:lang w:val="es-ES" w:eastAsia="es-ES"/>
        </w:rPr>
        <w:t xml:space="preserve">. </w:t>
      </w:r>
      <w:r>
        <w:rPr>
          <w:rFonts w:ascii="Arial" w:eastAsia="Times New Roman" w:hAnsi="Arial" w:cs="Arial"/>
          <w:lang w:val="es-ES" w:eastAsia="es-ES"/>
        </w:rPr>
        <w:t>Se</w:t>
      </w:r>
      <w:r w:rsidR="00475BBF">
        <w:rPr>
          <w:rFonts w:ascii="Arial" w:eastAsia="Times New Roman" w:hAnsi="Arial" w:cs="Arial"/>
          <w:lang w:val="es-ES" w:eastAsia="es-ES"/>
        </w:rPr>
        <w:t xml:space="preserve"> registraron 134 muertes por tuberculosis</w:t>
      </w:r>
      <w:r>
        <w:rPr>
          <w:rFonts w:ascii="Arial" w:eastAsia="Times New Roman" w:hAnsi="Arial" w:cs="Arial"/>
          <w:lang w:val="es-ES" w:eastAsia="es-ES"/>
        </w:rPr>
        <w:t xml:space="preserve"> en el período</w:t>
      </w:r>
      <w:r w:rsidR="00FD74E3">
        <w:rPr>
          <w:rFonts w:ascii="Arial" w:eastAsia="Times New Roman" w:hAnsi="Arial" w:cs="Arial"/>
          <w:lang w:val="es-ES" w:eastAsia="es-ES"/>
        </w:rPr>
        <w:t xml:space="preserve">. Gráfico </w:t>
      </w:r>
      <w:r w:rsidR="00BB0F6E">
        <w:rPr>
          <w:rFonts w:ascii="Arial" w:eastAsia="Times New Roman" w:hAnsi="Arial" w:cs="Arial"/>
          <w:lang w:val="es-ES" w:eastAsia="es-ES"/>
        </w:rPr>
        <w:t>31</w:t>
      </w:r>
      <w:r w:rsidR="00FD74E3">
        <w:rPr>
          <w:rFonts w:ascii="Arial" w:eastAsia="Times New Roman" w:hAnsi="Arial" w:cs="Arial"/>
          <w:lang w:val="es-ES" w:eastAsia="es-ES"/>
        </w:rPr>
        <w:t>.</w:t>
      </w:r>
    </w:p>
    <w:p w:rsidR="00475BBF" w:rsidRDefault="00475BBF" w:rsidP="00475BBF">
      <w:pPr>
        <w:widowControl w:val="0"/>
        <w:spacing w:line="360" w:lineRule="auto"/>
        <w:jc w:val="both"/>
        <w:rPr>
          <w:rFonts w:ascii="Arial" w:eastAsia="Times New Roman" w:hAnsi="Arial" w:cs="Arial"/>
          <w:lang w:val="es-ES" w:eastAsia="es-ES"/>
        </w:rPr>
      </w:pPr>
    </w:p>
    <w:p w:rsidR="00475BBF" w:rsidRPr="00FD74E3" w:rsidRDefault="00475BBF" w:rsidP="00FD74E3">
      <w:pPr>
        <w:widowControl w:val="0"/>
        <w:jc w:val="center"/>
        <w:rPr>
          <w:rFonts w:ascii="Arial" w:eastAsia="Times New Roman" w:hAnsi="Arial" w:cs="Arial"/>
          <w:b/>
          <w:lang w:val="es-ES" w:eastAsia="es-ES"/>
        </w:rPr>
      </w:pPr>
      <w:r w:rsidRPr="00FD74E3">
        <w:rPr>
          <w:rFonts w:ascii="Arial" w:eastAsia="Times New Roman" w:hAnsi="Arial" w:cs="Arial"/>
          <w:b/>
          <w:lang w:val="es-ES" w:eastAsia="es-ES"/>
        </w:rPr>
        <w:t xml:space="preserve">Gráfico </w:t>
      </w:r>
      <w:r w:rsidR="00BB0F6E">
        <w:rPr>
          <w:rFonts w:ascii="Arial" w:eastAsia="Times New Roman" w:hAnsi="Arial" w:cs="Arial"/>
          <w:b/>
          <w:lang w:val="es-ES" w:eastAsia="es-ES"/>
        </w:rPr>
        <w:t>31</w:t>
      </w:r>
    </w:p>
    <w:p w:rsidR="00475BBF" w:rsidRPr="00FD74E3" w:rsidRDefault="00475BBF" w:rsidP="00FD74E3">
      <w:pPr>
        <w:widowControl w:val="0"/>
        <w:jc w:val="center"/>
        <w:rPr>
          <w:rFonts w:ascii="Arial" w:eastAsia="Calibri" w:hAnsi="Arial" w:cs="Arial"/>
          <w:b/>
          <w:lang w:val="es-CR"/>
        </w:rPr>
      </w:pPr>
      <w:r w:rsidRPr="00FD74E3">
        <w:rPr>
          <w:rFonts w:ascii="Arial" w:eastAsia="Calibri" w:hAnsi="Arial" w:cs="Arial"/>
          <w:b/>
          <w:lang w:val="es-CR"/>
        </w:rPr>
        <w:t>Costa Rica: Mortalidad por tuberculosis, 2014-2017.</w:t>
      </w:r>
    </w:p>
    <w:p w:rsidR="00475BBF" w:rsidRPr="00DA7916" w:rsidRDefault="00475BBF" w:rsidP="00FD74E3">
      <w:pPr>
        <w:jc w:val="center"/>
        <w:rPr>
          <w:rFonts w:ascii="Arial" w:eastAsia="Calibri" w:hAnsi="Arial" w:cs="Arial"/>
          <w:sz w:val="18"/>
          <w:szCs w:val="18"/>
          <w:lang w:val="es-CR"/>
        </w:rPr>
      </w:pPr>
      <w:r w:rsidRPr="00DA7916">
        <w:rPr>
          <w:rFonts w:ascii="Arial" w:eastAsia="Calibri" w:hAnsi="Arial" w:cs="Arial"/>
          <w:sz w:val="18"/>
          <w:szCs w:val="18"/>
          <w:lang w:val="es-CR"/>
        </w:rPr>
        <w:t>(</w:t>
      </w:r>
      <w:r w:rsidR="00FD74E3">
        <w:rPr>
          <w:rFonts w:ascii="Arial" w:eastAsia="Calibri" w:hAnsi="Arial" w:cs="Arial"/>
          <w:sz w:val="18"/>
          <w:szCs w:val="18"/>
          <w:lang w:val="es-CR"/>
        </w:rPr>
        <w:t>t</w:t>
      </w:r>
      <w:r w:rsidRPr="00DA7916">
        <w:rPr>
          <w:rFonts w:ascii="Arial" w:eastAsia="Calibri" w:hAnsi="Arial" w:cs="Arial"/>
          <w:sz w:val="18"/>
          <w:szCs w:val="18"/>
          <w:lang w:val="es-CR"/>
        </w:rPr>
        <w:t>asa por 100.000 habitantes)</w:t>
      </w:r>
    </w:p>
    <w:p w:rsidR="00475BBF" w:rsidRPr="00F01AC2" w:rsidRDefault="00475BBF" w:rsidP="00475BBF">
      <w:pPr>
        <w:widowControl w:val="0"/>
        <w:jc w:val="center"/>
        <w:rPr>
          <w:rFonts w:ascii="Arial" w:eastAsia="Calibri" w:hAnsi="Arial" w:cs="Arial"/>
          <w:lang w:val="es-CR"/>
        </w:rPr>
      </w:pPr>
    </w:p>
    <w:p w:rsidR="00475BBF" w:rsidRDefault="00475BBF" w:rsidP="00475BBF">
      <w:pPr>
        <w:spacing w:line="360" w:lineRule="auto"/>
        <w:jc w:val="center"/>
        <w:rPr>
          <w:rFonts w:ascii="Arial" w:hAnsi="Arial" w:cs="Arial"/>
          <w:lang w:val="es-CR"/>
        </w:rPr>
      </w:pPr>
      <w:r>
        <w:rPr>
          <w:noProof/>
          <w:lang w:val="es-CR" w:eastAsia="es-CR"/>
        </w:rPr>
        <w:drawing>
          <wp:inline distT="0" distB="0" distL="0" distR="0" wp14:anchorId="35D6A10A" wp14:editId="05ECBA74">
            <wp:extent cx="5391150" cy="2373923"/>
            <wp:effectExtent l="0" t="0" r="0" b="7620"/>
            <wp:docPr id="34" name="Gráfico 34">
              <a:extLst xmlns:a="http://schemas.openxmlformats.org/drawingml/2006/main">
                <a:ext uri="{FF2B5EF4-FFF2-40B4-BE49-F238E27FC236}">
                  <a16:creationId xmlns:a16="http://schemas.microsoft.com/office/drawing/2014/main" id="{5F7E1046-6454-458E-A282-7448F053DD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475BBF" w:rsidRPr="002C21BC" w:rsidRDefault="00475BBF" w:rsidP="00FD74E3">
      <w:pPr>
        <w:widowControl w:val="0"/>
        <w:spacing w:line="360" w:lineRule="auto"/>
        <w:jc w:val="right"/>
        <w:rPr>
          <w:rFonts w:ascii="Arial" w:eastAsia="Calibri" w:hAnsi="Arial" w:cs="Arial"/>
          <w:sz w:val="20"/>
          <w:szCs w:val="20"/>
          <w:lang w:val="es-CR"/>
        </w:rPr>
      </w:pPr>
      <w:r w:rsidRPr="00FD74E3">
        <w:rPr>
          <w:rFonts w:ascii="Arial" w:eastAsia="Calibri" w:hAnsi="Arial" w:cs="Arial"/>
          <w:b/>
          <w:sz w:val="20"/>
          <w:szCs w:val="20"/>
          <w:lang w:val="es-CR"/>
        </w:rPr>
        <w:t xml:space="preserve">Fuente: </w:t>
      </w:r>
      <w:r w:rsidR="00FD74E3">
        <w:rPr>
          <w:rFonts w:ascii="Arial" w:eastAsia="Calibri" w:hAnsi="Arial" w:cs="Arial"/>
          <w:b/>
          <w:sz w:val="20"/>
          <w:szCs w:val="20"/>
          <w:lang w:val="es-CR"/>
        </w:rPr>
        <w:t>I</w:t>
      </w:r>
      <w:r w:rsidR="00FD74E3">
        <w:rPr>
          <w:rFonts w:ascii="Arial" w:eastAsia="Calibri" w:hAnsi="Arial" w:cs="Arial"/>
          <w:sz w:val="20"/>
          <w:szCs w:val="20"/>
          <w:lang w:val="es-CR"/>
        </w:rPr>
        <w:t xml:space="preserve">NEC, </w:t>
      </w:r>
      <w:r>
        <w:rPr>
          <w:rFonts w:ascii="Arial" w:eastAsia="Calibri" w:hAnsi="Arial" w:cs="Arial"/>
          <w:sz w:val="20"/>
          <w:szCs w:val="20"/>
          <w:lang w:val="es-CR"/>
        </w:rPr>
        <w:t>Ministerio de Salud</w:t>
      </w:r>
      <w:r w:rsidR="00FD74E3">
        <w:rPr>
          <w:rFonts w:ascii="Arial" w:eastAsia="Calibri" w:hAnsi="Arial" w:cs="Arial"/>
          <w:sz w:val="20"/>
          <w:szCs w:val="20"/>
          <w:lang w:val="es-CR"/>
        </w:rPr>
        <w:t>, 2019.</w:t>
      </w:r>
    </w:p>
    <w:p w:rsidR="00475BBF" w:rsidRDefault="00475BBF" w:rsidP="00FD74E3">
      <w:pPr>
        <w:widowControl w:val="0"/>
        <w:spacing w:line="360" w:lineRule="auto"/>
        <w:jc w:val="both"/>
        <w:rPr>
          <w:rFonts w:ascii="Arial" w:eastAsia="Calibri" w:hAnsi="Arial" w:cs="Arial"/>
          <w:lang w:val="es-CR"/>
        </w:rPr>
      </w:pPr>
    </w:p>
    <w:p w:rsidR="00475BBF" w:rsidRDefault="00475BBF" w:rsidP="00475BBF">
      <w:pPr>
        <w:pStyle w:val="Textoindependiente3"/>
        <w:spacing w:after="0" w:line="276" w:lineRule="auto"/>
        <w:jc w:val="both"/>
        <w:rPr>
          <w:rFonts w:ascii="Arial" w:hAnsi="Arial" w:cs="Arial"/>
          <w:sz w:val="24"/>
          <w:szCs w:val="24"/>
        </w:rPr>
      </w:pPr>
      <w:r>
        <w:rPr>
          <w:rFonts w:ascii="Arial" w:hAnsi="Arial" w:cs="Arial"/>
          <w:sz w:val="24"/>
          <w:szCs w:val="24"/>
        </w:rPr>
        <w:t>Las provincias que presentaron las tasas de mortalidad más altas que la nacional</w:t>
      </w:r>
      <w:r w:rsidR="00FD74E3">
        <w:rPr>
          <w:rFonts w:ascii="Arial" w:hAnsi="Arial" w:cs="Arial"/>
          <w:sz w:val="24"/>
          <w:szCs w:val="24"/>
        </w:rPr>
        <w:t xml:space="preserve"> 2014-2017</w:t>
      </w:r>
      <w:r>
        <w:rPr>
          <w:rFonts w:ascii="Arial" w:hAnsi="Arial" w:cs="Arial"/>
          <w:sz w:val="24"/>
          <w:szCs w:val="24"/>
        </w:rPr>
        <w:t xml:space="preserve"> fueron</w:t>
      </w:r>
      <w:r w:rsidR="00FD74E3">
        <w:rPr>
          <w:rFonts w:ascii="Arial" w:hAnsi="Arial" w:cs="Arial"/>
          <w:sz w:val="24"/>
          <w:szCs w:val="24"/>
        </w:rPr>
        <w:t>:</w:t>
      </w:r>
      <w:r>
        <w:rPr>
          <w:rFonts w:ascii="Arial" w:hAnsi="Arial" w:cs="Arial"/>
          <w:sz w:val="24"/>
          <w:szCs w:val="24"/>
        </w:rPr>
        <w:t xml:space="preserve"> Guanacaste, Puntarenas y Limón. La mortalidad </w:t>
      </w:r>
      <w:r w:rsidR="00FD74E3">
        <w:rPr>
          <w:rFonts w:ascii="Arial" w:hAnsi="Arial" w:cs="Arial"/>
          <w:sz w:val="24"/>
          <w:szCs w:val="24"/>
        </w:rPr>
        <w:t xml:space="preserve">más alta de los años </w:t>
      </w:r>
      <w:r>
        <w:rPr>
          <w:rFonts w:ascii="Arial" w:hAnsi="Arial" w:cs="Arial"/>
          <w:sz w:val="24"/>
          <w:szCs w:val="24"/>
        </w:rPr>
        <w:t xml:space="preserve">2014 y 2015, se registró en </w:t>
      </w:r>
      <w:r w:rsidR="00FD74E3">
        <w:rPr>
          <w:rFonts w:ascii="Arial" w:hAnsi="Arial" w:cs="Arial"/>
          <w:sz w:val="24"/>
          <w:szCs w:val="24"/>
        </w:rPr>
        <w:t xml:space="preserve">la provincia de </w:t>
      </w:r>
      <w:r>
        <w:rPr>
          <w:rFonts w:ascii="Arial" w:hAnsi="Arial" w:cs="Arial"/>
          <w:sz w:val="24"/>
          <w:szCs w:val="24"/>
        </w:rPr>
        <w:t>Puntarenas, con una tasa de mortalidad de 2,2 y 1,3 casos por cien mil habitantes</w:t>
      </w:r>
      <w:r w:rsidR="00FD74E3">
        <w:rPr>
          <w:rFonts w:ascii="Arial" w:hAnsi="Arial" w:cs="Arial"/>
          <w:sz w:val="24"/>
          <w:szCs w:val="24"/>
        </w:rPr>
        <w:t>, respectivamente</w:t>
      </w:r>
      <w:r>
        <w:rPr>
          <w:rFonts w:ascii="Arial" w:hAnsi="Arial" w:cs="Arial"/>
          <w:sz w:val="24"/>
          <w:szCs w:val="24"/>
        </w:rPr>
        <w:t>. En el período 2016-2017 las provincias de Guanacaste y Limón presentaron la</w:t>
      </w:r>
      <w:r w:rsidR="00FD74E3">
        <w:rPr>
          <w:rFonts w:ascii="Arial" w:hAnsi="Arial" w:cs="Arial"/>
          <w:sz w:val="24"/>
          <w:szCs w:val="24"/>
        </w:rPr>
        <w:t>s</w:t>
      </w:r>
      <w:r>
        <w:rPr>
          <w:rFonts w:ascii="Arial" w:hAnsi="Arial" w:cs="Arial"/>
          <w:sz w:val="24"/>
          <w:szCs w:val="24"/>
        </w:rPr>
        <w:t xml:space="preserve"> </w:t>
      </w:r>
      <w:r w:rsidR="00FD74E3">
        <w:rPr>
          <w:rFonts w:ascii="Arial" w:hAnsi="Arial" w:cs="Arial"/>
          <w:sz w:val="24"/>
          <w:szCs w:val="24"/>
        </w:rPr>
        <w:t>tasas de mortalidad más altas,</w:t>
      </w:r>
      <w:r>
        <w:rPr>
          <w:rFonts w:ascii="Arial" w:hAnsi="Arial" w:cs="Arial"/>
          <w:sz w:val="24"/>
          <w:szCs w:val="24"/>
        </w:rPr>
        <w:t xml:space="preserve"> de 1,1 y 0,9 muertes por 100 mil habitantes respectivamente.</w:t>
      </w:r>
      <w:r w:rsidR="00FD74E3">
        <w:rPr>
          <w:rFonts w:ascii="Arial" w:hAnsi="Arial" w:cs="Arial"/>
          <w:sz w:val="24"/>
          <w:szCs w:val="24"/>
        </w:rPr>
        <w:t xml:space="preserve"> Cuadro 3</w:t>
      </w:r>
      <w:r w:rsidR="00BB0F6E">
        <w:rPr>
          <w:rFonts w:ascii="Arial" w:hAnsi="Arial" w:cs="Arial"/>
          <w:sz w:val="24"/>
          <w:szCs w:val="24"/>
        </w:rPr>
        <w:t>4</w:t>
      </w:r>
      <w:r w:rsidR="00FD74E3">
        <w:rPr>
          <w:rFonts w:ascii="Arial" w:hAnsi="Arial" w:cs="Arial"/>
          <w:sz w:val="24"/>
          <w:szCs w:val="24"/>
        </w:rPr>
        <w:t>.</w:t>
      </w:r>
    </w:p>
    <w:p w:rsidR="00475BBF" w:rsidRDefault="00475BBF" w:rsidP="00475BBF">
      <w:pPr>
        <w:pStyle w:val="Textoindependiente3"/>
        <w:spacing w:after="0" w:line="360" w:lineRule="auto"/>
        <w:jc w:val="both"/>
        <w:rPr>
          <w:rFonts w:ascii="Arial" w:hAnsi="Arial" w:cs="Arial"/>
          <w:sz w:val="24"/>
          <w:szCs w:val="24"/>
        </w:rPr>
      </w:pPr>
    </w:p>
    <w:p w:rsidR="007641A6" w:rsidRDefault="007641A6">
      <w:pPr>
        <w:spacing w:after="160" w:line="259" w:lineRule="auto"/>
        <w:rPr>
          <w:rFonts w:ascii="Arial" w:eastAsia="Calibri" w:hAnsi="Arial" w:cs="Arial"/>
          <w:lang w:val="es-CR"/>
        </w:rPr>
      </w:pPr>
      <w:r>
        <w:rPr>
          <w:rFonts w:ascii="Arial" w:hAnsi="Arial" w:cs="Arial"/>
        </w:rPr>
        <w:br w:type="page"/>
      </w:r>
    </w:p>
    <w:p w:rsidR="00475BBF" w:rsidRPr="007641A6" w:rsidRDefault="00FD74E3" w:rsidP="007641A6">
      <w:pPr>
        <w:pStyle w:val="Textoindependiente3"/>
        <w:spacing w:after="0" w:line="240" w:lineRule="auto"/>
        <w:jc w:val="center"/>
        <w:rPr>
          <w:rFonts w:ascii="Arial" w:hAnsi="Arial" w:cs="Arial"/>
          <w:b/>
          <w:sz w:val="24"/>
          <w:szCs w:val="24"/>
        </w:rPr>
      </w:pPr>
      <w:r w:rsidRPr="007641A6">
        <w:rPr>
          <w:rFonts w:ascii="Arial" w:hAnsi="Arial" w:cs="Arial"/>
          <w:b/>
          <w:sz w:val="24"/>
          <w:szCs w:val="24"/>
        </w:rPr>
        <w:lastRenderedPageBreak/>
        <w:t>Cuadro 3</w:t>
      </w:r>
      <w:r w:rsidR="00BB0F6E">
        <w:rPr>
          <w:rFonts w:ascii="Arial" w:hAnsi="Arial" w:cs="Arial"/>
          <w:b/>
          <w:sz w:val="24"/>
          <w:szCs w:val="24"/>
        </w:rPr>
        <w:t>4</w:t>
      </w:r>
    </w:p>
    <w:p w:rsidR="007641A6" w:rsidRDefault="00475BBF" w:rsidP="007641A6">
      <w:pPr>
        <w:widowControl w:val="0"/>
        <w:jc w:val="center"/>
        <w:rPr>
          <w:rFonts w:ascii="Arial" w:eastAsia="Calibri" w:hAnsi="Arial" w:cs="Arial"/>
          <w:b/>
          <w:lang w:val="es-CR"/>
        </w:rPr>
      </w:pPr>
      <w:r w:rsidRPr="007641A6">
        <w:rPr>
          <w:rFonts w:ascii="Arial" w:eastAsia="Calibri" w:hAnsi="Arial" w:cs="Arial"/>
          <w:b/>
          <w:lang w:val="es-CR"/>
        </w:rPr>
        <w:t xml:space="preserve">Costa Rica: Mortalidad por tuberculosis, </w:t>
      </w:r>
    </w:p>
    <w:p w:rsidR="00475BBF" w:rsidRPr="007641A6" w:rsidRDefault="00475BBF" w:rsidP="007641A6">
      <w:pPr>
        <w:widowControl w:val="0"/>
        <w:jc w:val="center"/>
        <w:rPr>
          <w:rFonts w:ascii="Arial" w:eastAsia="Calibri" w:hAnsi="Arial" w:cs="Arial"/>
          <w:b/>
          <w:lang w:val="es-CR"/>
        </w:rPr>
      </w:pPr>
      <w:r w:rsidRPr="007641A6">
        <w:rPr>
          <w:rFonts w:ascii="Arial" w:eastAsia="Calibri" w:hAnsi="Arial" w:cs="Arial"/>
          <w:b/>
          <w:lang w:val="es-CR"/>
        </w:rPr>
        <w:t>según provincia, 2014-2017.</w:t>
      </w:r>
    </w:p>
    <w:p w:rsidR="00475BBF" w:rsidRPr="0016454D" w:rsidRDefault="00475BBF" w:rsidP="00475BBF">
      <w:pPr>
        <w:spacing w:line="360" w:lineRule="auto"/>
        <w:jc w:val="center"/>
        <w:rPr>
          <w:rFonts w:ascii="Arial" w:eastAsia="Calibri" w:hAnsi="Arial" w:cs="Arial"/>
          <w:sz w:val="18"/>
          <w:szCs w:val="18"/>
          <w:lang w:val="es-CR"/>
        </w:rPr>
      </w:pPr>
      <w:r>
        <w:rPr>
          <w:rFonts w:ascii="Arial" w:eastAsia="Calibri" w:hAnsi="Arial" w:cs="Arial"/>
          <w:sz w:val="18"/>
          <w:szCs w:val="18"/>
          <w:lang w:val="es-CR"/>
        </w:rPr>
        <w:t>(</w:t>
      </w:r>
      <w:r w:rsidR="007641A6">
        <w:rPr>
          <w:rFonts w:ascii="Arial" w:eastAsia="Calibri" w:hAnsi="Arial" w:cs="Arial"/>
          <w:sz w:val="18"/>
          <w:szCs w:val="18"/>
          <w:lang w:val="es-CR"/>
        </w:rPr>
        <w:t>t</w:t>
      </w:r>
      <w:r>
        <w:rPr>
          <w:rFonts w:ascii="Arial" w:eastAsia="Calibri" w:hAnsi="Arial" w:cs="Arial"/>
          <w:sz w:val="18"/>
          <w:szCs w:val="18"/>
          <w:lang w:val="es-CR"/>
        </w:rPr>
        <w:t>asa por 100.000 habitantes)</w:t>
      </w:r>
    </w:p>
    <w:p w:rsidR="00475BBF" w:rsidRPr="00160C37" w:rsidRDefault="00475BBF" w:rsidP="00475BBF">
      <w:pPr>
        <w:pStyle w:val="Textoindependiente3"/>
        <w:spacing w:after="0" w:line="360" w:lineRule="auto"/>
        <w:jc w:val="both"/>
        <w:rPr>
          <w:rFonts w:ascii="Arial" w:hAnsi="Arial" w:cs="Arial"/>
          <w:sz w:val="24"/>
          <w:szCs w:val="24"/>
        </w:rPr>
      </w:pPr>
    </w:p>
    <w:tbl>
      <w:tblPr>
        <w:tblW w:w="7231" w:type="dxa"/>
        <w:jc w:val="center"/>
        <w:tblLook w:val="04A0" w:firstRow="1" w:lastRow="0" w:firstColumn="1" w:lastColumn="0" w:noHBand="0" w:noVBand="1"/>
      </w:tblPr>
      <w:tblGrid>
        <w:gridCol w:w="1939"/>
        <w:gridCol w:w="514"/>
        <w:gridCol w:w="809"/>
        <w:gridCol w:w="514"/>
        <w:gridCol w:w="809"/>
        <w:gridCol w:w="514"/>
        <w:gridCol w:w="809"/>
        <w:gridCol w:w="514"/>
        <w:gridCol w:w="809"/>
      </w:tblGrid>
      <w:tr w:rsidR="00475BBF" w:rsidRPr="00250461" w:rsidTr="007641A6">
        <w:trPr>
          <w:trHeight w:val="351"/>
          <w:jc w:val="center"/>
        </w:trPr>
        <w:tc>
          <w:tcPr>
            <w:tcW w:w="1939" w:type="dxa"/>
            <w:tcBorders>
              <w:top w:val="single" w:sz="4" w:space="0" w:color="auto"/>
              <w:left w:val="nil"/>
              <w:bottom w:val="nil"/>
              <w:right w:val="nil"/>
            </w:tcBorders>
            <w:shd w:val="clear" w:color="auto" w:fill="D5DCE4" w:themeFill="text2" w:themeFillTint="33"/>
            <w:noWrap/>
            <w:vAlign w:val="bottom"/>
            <w:hideMark/>
          </w:tcPr>
          <w:p w:rsidR="00475BBF" w:rsidRPr="00250461" w:rsidRDefault="00475BBF" w:rsidP="00475BBF">
            <w:pPr>
              <w:rPr>
                <w:rFonts w:ascii="Calibri" w:eastAsia="Times New Roman" w:hAnsi="Calibri" w:cs="Calibri"/>
                <w:color w:val="000000"/>
                <w:lang w:val="es-CR"/>
              </w:rPr>
            </w:pPr>
            <w:r w:rsidRPr="00250461">
              <w:rPr>
                <w:rFonts w:ascii="Calibri" w:eastAsia="Times New Roman" w:hAnsi="Calibri" w:cs="Calibri"/>
                <w:color w:val="000000"/>
                <w:lang w:val="es-CR"/>
              </w:rPr>
              <w:t> </w:t>
            </w:r>
          </w:p>
        </w:tc>
        <w:tc>
          <w:tcPr>
            <w:tcW w:w="1323"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b/>
                <w:bCs/>
                <w:color w:val="000000"/>
              </w:rPr>
            </w:pPr>
            <w:r w:rsidRPr="00250461">
              <w:rPr>
                <w:rFonts w:ascii="Arial" w:eastAsia="Times New Roman" w:hAnsi="Arial" w:cs="Arial"/>
                <w:b/>
                <w:bCs/>
                <w:color w:val="000000"/>
              </w:rPr>
              <w:t>2014</w:t>
            </w:r>
          </w:p>
        </w:tc>
        <w:tc>
          <w:tcPr>
            <w:tcW w:w="1323"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b/>
                <w:bCs/>
                <w:color w:val="000000"/>
              </w:rPr>
            </w:pPr>
            <w:r w:rsidRPr="00250461">
              <w:rPr>
                <w:rFonts w:ascii="Arial" w:eastAsia="Times New Roman" w:hAnsi="Arial" w:cs="Arial"/>
                <w:b/>
                <w:bCs/>
                <w:color w:val="000000"/>
              </w:rPr>
              <w:t>2015</w:t>
            </w:r>
          </w:p>
        </w:tc>
        <w:tc>
          <w:tcPr>
            <w:tcW w:w="1323"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b/>
                <w:bCs/>
                <w:color w:val="000000"/>
              </w:rPr>
            </w:pPr>
            <w:r w:rsidRPr="00250461">
              <w:rPr>
                <w:rFonts w:ascii="Arial" w:eastAsia="Times New Roman" w:hAnsi="Arial" w:cs="Arial"/>
                <w:b/>
                <w:bCs/>
                <w:color w:val="000000"/>
              </w:rPr>
              <w:t>2016</w:t>
            </w:r>
          </w:p>
        </w:tc>
        <w:tc>
          <w:tcPr>
            <w:tcW w:w="1323" w:type="dxa"/>
            <w:gridSpan w:val="2"/>
            <w:tcBorders>
              <w:top w:val="single" w:sz="4" w:space="0" w:color="auto"/>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b/>
                <w:bCs/>
                <w:color w:val="000000"/>
              </w:rPr>
            </w:pPr>
            <w:r w:rsidRPr="00250461">
              <w:rPr>
                <w:rFonts w:ascii="Arial" w:eastAsia="Times New Roman" w:hAnsi="Arial" w:cs="Arial"/>
                <w:b/>
                <w:bCs/>
                <w:color w:val="000000"/>
              </w:rPr>
              <w:t>2017</w:t>
            </w:r>
          </w:p>
        </w:tc>
      </w:tr>
      <w:tr w:rsidR="00475BBF" w:rsidRPr="00250461" w:rsidTr="007641A6">
        <w:trPr>
          <w:trHeight w:val="415"/>
          <w:jc w:val="center"/>
        </w:trPr>
        <w:tc>
          <w:tcPr>
            <w:tcW w:w="1939" w:type="dxa"/>
            <w:tcBorders>
              <w:top w:val="nil"/>
              <w:left w:val="nil"/>
              <w:bottom w:val="single" w:sz="4" w:space="0" w:color="auto"/>
              <w:right w:val="nil"/>
            </w:tcBorders>
            <w:shd w:val="clear" w:color="auto" w:fill="D5DCE4" w:themeFill="text2" w:themeFillTint="33"/>
            <w:noWrap/>
            <w:vAlign w:val="bottom"/>
            <w:hideMark/>
          </w:tcPr>
          <w:p w:rsidR="00475BBF" w:rsidRPr="00250461" w:rsidRDefault="00475BBF" w:rsidP="00475BBF">
            <w:pPr>
              <w:rPr>
                <w:rFonts w:ascii="Arial" w:eastAsia="Times New Roman" w:hAnsi="Arial" w:cs="Arial"/>
                <w:b/>
                <w:bCs/>
                <w:color w:val="000000"/>
              </w:rPr>
            </w:pPr>
            <w:r w:rsidRPr="00250461">
              <w:rPr>
                <w:rFonts w:ascii="Arial" w:eastAsia="Times New Roman" w:hAnsi="Arial" w:cs="Arial"/>
                <w:b/>
                <w:bCs/>
                <w:color w:val="000000"/>
              </w:rPr>
              <w:t>P</w:t>
            </w:r>
            <w:r w:rsidR="007641A6" w:rsidRPr="00250461">
              <w:rPr>
                <w:rFonts w:ascii="Arial" w:eastAsia="Times New Roman" w:hAnsi="Arial" w:cs="Arial"/>
                <w:b/>
                <w:bCs/>
                <w:color w:val="000000"/>
              </w:rPr>
              <w:t>rovincia</w:t>
            </w:r>
            <w:r w:rsidRPr="00250461">
              <w:rPr>
                <w:rFonts w:ascii="Arial" w:eastAsia="Times New Roman" w:hAnsi="Arial" w:cs="Arial"/>
                <w:b/>
                <w:bCs/>
                <w:color w:val="000000"/>
              </w:rPr>
              <w:t xml:space="preserve"> </w:t>
            </w:r>
          </w:p>
        </w:tc>
        <w:tc>
          <w:tcPr>
            <w:tcW w:w="514" w:type="dxa"/>
            <w:tcBorders>
              <w:top w:val="nil"/>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b/>
                <w:bCs/>
                <w:color w:val="000000"/>
              </w:rPr>
            </w:pPr>
            <w:r w:rsidRPr="00250461">
              <w:rPr>
                <w:rFonts w:ascii="Arial" w:eastAsia="Times New Roman" w:hAnsi="Arial" w:cs="Arial"/>
                <w:b/>
                <w:bCs/>
                <w:color w:val="000000"/>
              </w:rPr>
              <w:t>Nº</w:t>
            </w:r>
          </w:p>
        </w:tc>
        <w:tc>
          <w:tcPr>
            <w:tcW w:w="808" w:type="dxa"/>
            <w:tcBorders>
              <w:top w:val="nil"/>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color w:val="000000"/>
              </w:rPr>
            </w:pPr>
            <w:r w:rsidRPr="00250461">
              <w:rPr>
                <w:rFonts w:ascii="Arial" w:eastAsia="Times New Roman" w:hAnsi="Arial" w:cs="Arial"/>
                <w:color w:val="000000"/>
              </w:rPr>
              <w:t>Tasa</w:t>
            </w:r>
          </w:p>
        </w:tc>
        <w:tc>
          <w:tcPr>
            <w:tcW w:w="514" w:type="dxa"/>
            <w:tcBorders>
              <w:top w:val="nil"/>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b/>
                <w:bCs/>
                <w:color w:val="000000"/>
              </w:rPr>
            </w:pPr>
            <w:r w:rsidRPr="00250461">
              <w:rPr>
                <w:rFonts w:ascii="Arial" w:eastAsia="Times New Roman" w:hAnsi="Arial" w:cs="Arial"/>
                <w:b/>
                <w:bCs/>
                <w:color w:val="000000"/>
              </w:rPr>
              <w:t>Nº</w:t>
            </w:r>
          </w:p>
        </w:tc>
        <w:tc>
          <w:tcPr>
            <w:tcW w:w="808" w:type="dxa"/>
            <w:tcBorders>
              <w:top w:val="nil"/>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color w:val="000000"/>
              </w:rPr>
            </w:pPr>
            <w:r w:rsidRPr="00250461">
              <w:rPr>
                <w:rFonts w:ascii="Arial" w:eastAsia="Times New Roman" w:hAnsi="Arial" w:cs="Arial"/>
                <w:color w:val="000000"/>
              </w:rPr>
              <w:t>Tasa</w:t>
            </w:r>
          </w:p>
        </w:tc>
        <w:tc>
          <w:tcPr>
            <w:tcW w:w="514" w:type="dxa"/>
            <w:tcBorders>
              <w:top w:val="nil"/>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b/>
                <w:bCs/>
                <w:color w:val="000000"/>
              </w:rPr>
            </w:pPr>
            <w:r w:rsidRPr="00250461">
              <w:rPr>
                <w:rFonts w:ascii="Arial" w:eastAsia="Times New Roman" w:hAnsi="Arial" w:cs="Arial"/>
                <w:b/>
                <w:bCs/>
                <w:color w:val="000000"/>
              </w:rPr>
              <w:t>Nº</w:t>
            </w:r>
          </w:p>
        </w:tc>
        <w:tc>
          <w:tcPr>
            <w:tcW w:w="808" w:type="dxa"/>
            <w:tcBorders>
              <w:top w:val="nil"/>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color w:val="000000"/>
              </w:rPr>
            </w:pPr>
            <w:r w:rsidRPr="00250461">
              <w:rPr>
                <w:rFonts w:ascii="Arial" w:eastAsia="Times New Roman" w:hAnsi="Arial" w:cs="Arial"/>
                <w:color w:val="000000"/>
              </w:rPr>
              <w:t>Tasa</w:t>
            </w:r>
          </w:p>
        </w:tc>
        <w:tc>
          <w:tcPr>
            <w:tcW w:w="514" w:type="dxa"/>
            <w:tcBorders>
              <w:top w:val="nil"/>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b/>
                <w:bCs/>
                <w:color w:val="000000"/>
              </w:rPr>
            </w:pPr>
            <w:r w:rsidRPr="00250461">
              <w:rPr>
                <w:rFonts w:ascii="Arial" w:eastAsia="Times New Roman" w:hAnsi="Arial" w:cs="Arial"/>
                <w:b/>
                <w:bCs/>
                <w:color w:val="000000"/>
              </w:rPr>
              <w:t>Nº</w:t>
            </w:r>
          </w:p>
        </w:tc>
        <w:tc>
          <w:tcPr>
            <w:tcW w:w="808" w:type="dxa"/>
            <w:tcBorders>
              <w:top w:val="nil"/>
              <w:left w:val="nil"/>
              <w:bottom w:val="single" w:sz="4" w:space="0" w:color="auto"/>
              <w:right w:val="nil"/>
            </w:tcBorders>
            <w:shd w:val="clear" w:color="auto" w:fill="D5DCE4" w:themeFill="text2" w:themeFillTint="33"/>
            <w:noWrap/>
            <w:vAlign w:val="bottom"/>
            <w:hideMark/>
          </w:tcPr>
          <w:p w:rsidR="00475BBF" w:rsidRPr="00250461" w:rsidRDefault="00475BBF" w:rsidP="00475BBF">
            <w:pPr>
              <w:jc w:val="center"/>
              <w:rPr>
                <w:rFonts w:ascii="Arial" w:eastAsia="Times New Roman" w:hAnsi="Arial" w:cs="Arial"/>
                <w:color w:val="000000"/>
              </w:rPr>
            </w:pPr>
            <w:r w:rsidRPr="00250461">
              <w:rPr>
                <w:rFonts w:ascii="Arial" w:eastAsia="Times New Roman" w:hAnsi="Arial" w:cs="Arial"/>
                <w:color w:val="000000"/>
              </w:rPr>
              <w:t>Tasa</w:t>
            </w:r>
          </w:p>
        </w:tc>
      </w:tr>
      <w:tr w:rsidR="00475BBF" w:rsidRPr="00250461" w:rsidTr="007641A6">
        <w:trPr>
          <w:trHeight w:val="304"/>
          <w:jc w:val="center"/>
        </w:trPr>
        <w:tc>
          <w:tcPr>
            <w:tcW w:w="1939" w:type="dxa"/>
            <w:tcBorders>
              <w:top w:val="single" w:sz="4" w:space="0" w:color="auto"/>
              <w:left w:val="nil"/>
              <w:bottom w:val="single" w:sz="4" w:space="0" w:color="auto"/>
              <w:right w:val="nil"/>
            </w:tcBorders>
            <w:shd w:val="clear" w:color="000000" w:fill="FFFFFF"/>
            <w:noWrap/>
            <w:vAlign w:val="bottom"/>
            <w:hideMark/>
          </w:tcPr>
          <w:p w:rsidR="00475BBF" w:rsidRPr="007641A6" w:rsidRDefault="00475BBF" w:rsidP="007641A6">
            <w:pPr>
              <w:rPr>
                <w:rFonts w:ascii="Arial" w:eastAsia="Times New Roman" w:hAnsi="Arial" w:cs="Arial"/>
                <w:b/>
                <w:color w:val="000000"/>
              </w:rPr>
            </w:pPr>
            <w:r w:rsidRPr="007641A6">
              <w:rPr>
                <w:rFonts w:ascii="Arial" w:eastAsia="Times New Roman" w:hAnsi="Arial" w:cs="Arial"/>
                <w:b/>
                <w:color w:val="000000"/>
              </w:rPr>
              <w:t xml:space="preserve">Total </w:t>
            </w:r>
          </w:p>
        </w:tc>
        <w:tc>
          <w:tcPr>
            <w:tcW w:w="514" w:type="dxa"/>
            <w:tcBorders>
              <w:top w:val="single" w:sz="4" w:space="0" w:color="auto"/>
              <w:left w:val="nil"/>
              <w:bottom w:val="single" w:sz="4" w:space="0" w:color="auto"/>
              <w:right w:val="nil"/>
            </w:tcBorders>
            <w:shd w:val="clear" w:color="000000" w:fill="FFFFFF"/>
            <w:noWrap/>
            <w:vAlign w:val="bottom"/>
            <w:hideMark/>
          </w:tcPr>
          <w:p w:rsidR="00475BBF" w:rsidRPr="007641A6" w:rsidRDefault="00475BBF" w:rsidP="00475BBF">
            <w:pPr>
              <w:rPr>
                <w:rFonts w:ascii="Arial" w:eastAsia="Times New Roman" w:hAnsi="Arial" w:cs="Arial"/>
                <w:b/>
                <w:color w:val="000000"/>
                <w:sz w:val="20"/>
                <w:szCs w:val="20"/>
              </w:rPr>
            </w:pPr>
            <w:r w:rsidRPr="007641A6">
              <w:rPr>
                <w:rFonts w:ascii="Arial" w:eastAsia="Times New Roman" w:hAnsi="Arial" w:cs="Arial"/>
                <w:b/>
                <w:color w:val="000000"/>
                <w:sz w:val="20"/>
                <w:szCs w:val="20"/>
              </w:rPr>
              <w:t>42</w:t>
            </w:r>
          </w:p>
        </w:tc>
        <w:tc>
          <w:tcPr>
            <w:tcW w:w="808" w:type="dxa"/>
            <w:tcBorders>
              <w:top w:val="nil"/>
              <w:left w:val="nil"/>
              <w:bottom w:val="single" w:sz="4" w:space="0" w:color="auto"/>
              <w:right w:val="nil"/>
            </w:tcBorders>
            <w:shd w:val="clear" w:color="000000" w:fill="FFFFFF"/>
            <w:noWrap/>
            <w:vAlign w:val="bottom"/>
            <w:hideMark/>
          </w:tcPr>
          <w:p w:rsidR="00475BBF" w:rsidRPr="007641A6" w:rsidRDefault="00475BBF" w:rsidP="00475BBF">
            <w:pPr>
              <w:rPr>
                <w:rFonts w:ascii="Arial" w:eastAsia="Times New Roman" w:hAnsi="Arial" w:cs="Arial"/>
                <w:b/>
                <w:color w:val="000000"/>
                <w:sz w:val="20"/>
                <w:szCs w:val="20"/>
              </w:rPr>
            </w:pPr>
            <w:r w:rsidRPr="007641A6">
              <w:rPr>
                <w:rFonts w:ascii="Arial" w:eastAsia="Times New Roman" w:hAnsi="Arial" w:cs="Arial"/>
                <w:b/>
                <w:color w:val="000000"/>
                <w:sz w:val="20"/>
                <w:szCs w:val="20"/>
              </w:rPr>
              <w:t>0,9</w:t>
            </w:r>
          </w:p>
        </w:tc>
        <w:tc>
          <w:tcPr>
            <w:tcW w:w="514" w:type="dxa"/>
            <w:tcBorders>
              <w:top w:val="nil"/>
              <w:left w:val="nil"/>
              <w:bottom w:val="single" w:sz="4" w:space="0" w:color="auto"/>
              <w:right w:val="nil"/>
            </w:tcBorders>
            <w:shd w:val="clear" w:color="000000" w:fill="FFFFFF"/>
            <w:noWrap/>
            <w:vAlign w:val="bottom"/>
            <w:hideMark/>
          </w:tcPr>
          <w:p w:rsidR="00475BBF" w:rsidRPr="007641A6" w:rsidRDefault="00475BBF" w:rsidP="00475BBF">
            <w:pPr>
              <w:rPr>
                <w:rFonts w:ascii="Arial" w:eastAsia="Times New Roman" w:hAnsi="Arial" w:cs="Arial"/>
                <w:b/>
                <w:color w:val="000000"/>
                <w:sz w:val="20"/>
                <w:szCs w:val="20"/>
              </w:rPr>
            </w:pPr>
            <w:r w:rsidRPr="007641A6">
              <w:rPr>
                <w:rFonts w:ascii="Arial" w:eastAsia="Times New Roman" w:hAnsi="Arial" w:cs="Arial"/>
                <w:b/>
                <w:color w:val="000000"/>
                <w:sz w:val="20"/>
                <w:szCs w:val="20"/>
              </w:rPr>
              <w:t>32</w:t>
            </w:r>
          </w:p>
        </w:tc>
        <w:tc>
          <w:tcPr>
            <w:tcW w:w="808" w:type="dxa"/>
            <w:tcBorders>
              <w:top w:val="nil"/>
              <w:left w:val="nil"/>
              <w:bottom w:val="single" w:sz="4" w:space="0" w:color="auto"/>
              <w:right w:val="nil"/>
            </w:tcBorders>
            <w:shd w:val="clear" w:color="000000" w:fill="FFFFFF"/>
            <w:noWrap/>
            <w:vAlign w:val="bottom"/>
            <w:hideMark/>
          </w:tcPr>
          <w:p w:rsidR="00475BBF" w:rsidRPr="007641A6" w:rsidRDefault="00475BBF" w:rsidP="00475BBF">
            <w:pPr>
              <w:rPr>
                <w:rFonts w:ascii="Arial" w:eastAsia="Times New Roman" w:hAnsi="Arial" w:cs="Arial"/>
                <w:b/>
                <w:color w:val="000000"/>
                <w:sz w:val="20"/>
                <w:szCs w:val="20"/>
              </w:rPr>
            </w:pPr>
            <w:r w:rsidRPr="007641A6">
              <w:rPr>
                <w:rFonts w:ascii="Arial" w:eastAsia="Times New Roman" w:hAnsi="Arial" w:cs="Arial"/>
                <w:b/>
                <w:color w:val="000000"/>
                <w:sz w:val="20"/>
                <w:szCs w:val="20"/>
              </w:rPr>
              <w:t>0,7</w:t>
            </w:r>
          </w:p>
        </w:tc>
        <w:tc>
          <w:tcPr>
            <w:tcW w:w="514" w:type="dxa"/>
            <w:tcBorders>
              <w:top w:val="nil"/>
              <w:left w:val="nil"/>
              <w:bottom w:val="single" w:sz="4" w:space="0" w:color="auto"/>
              <w:right w:val="nil"/>
            </w:tcBorders>
            <w:shd w:val="clear" w:color="000000" w:fill="FFFFFF"/>
            <w:noWrap/>
            <w:vAlign w:val="bottom"/>
            <w:hideMark/>
          </w:tcPr>
          <w:p w:rsidR="00475BBF" w:rsidRPr="007641A6" w:rsidRDefault="00475BBF" w:rsidP="00475BBF">
            <w:pPr>
              <w:rPr>
                <w:rFonts w:ascii="Arial" w:eastAsia="Times New Roman" w:hAnsi="Arial" w:cs="Arial"/>
                <w:b/>
                <w:color w:val="000000"/>
                <w:sz w:val="20"/>
                <w:szCs w:val="20"/>
              </w:rPr>
            </w:pPr>
            <w:r w:rsidRPr="007641A6">
              <w:rPr>
                <w:rFonts w:ascii="Arial" w:eastAsia="Times New Roman" w:hAnsi="Arial" w:cs="Arial"/>
                <w:b/>
                <w:color w:val="000000"/>
                <w:sz w:val="20"/>
                <w:szCs w:val="20"/>
              </w:rPr>
              <w:t>28</w:t>
            </w:r>
          </w:p>
        </w:tc>
        <w:tc>
          <w:tcPr>
            <w:tcW w:w="808" w:type="dxa"/>
            <w:tcBorders>
              <w:top w:val="nil"/>
              <w:left w:val="nil"/>
              <w:bottom w:val="single" w:sz="4" w:space="0" w:color="auto"/>
              <w:right w:val="nil"/>
            </w:tcBorders>
            <w:shd w:val="clear" w:color="000000" w:fill="FFFFFF"/>
            <w:noWrap/>
            <w:vAlign w:val="bottom"/>
            <w:hideMark/>
          </w:tcPr>
          <w:p w:rsidR="00475BBF" w:rsidRPr="007641A6" w:rsidRDefault="00475BBF" w:rsidP="00475BBF">
            <w:pPr>
              <w:rPr>
                <w:rFonts w:ascii="Arial" w:eastAsia="Times New Roman" w:hAnsi="Arial" w:cs="Arial"/>
                <w:b/>
                <w:color w:val="000000"/>
                <w:sz w:val="20"/>
                <w:szCs w:val="20"/>
              </w:rPr>
            </w:pPr>
            <w:r w:rsidRPr="007641A6">
              <w:rPr>
                <w:rFonts w:ascii="Arial" w:eastAsia="Times New Roman" w:hAnsi="Arial" w:cs="Arial"/>
                <w:b/>
                <w:color w:val="000000"/>
                <w:sz w:val="20"/>
                <w:szCs w:val="20"/>
              </w:rPr>
              <w:t>0,6</w:t>
            </w:r>
          </w:p>
        </w:tc>
        <w:tc>
          <w:tcPr>
            <w:tcW w:w="514" w:type="dxa"/>
            <w:tcBorders>
              <w:top w:val="nil"/>
              <w:left w:val="nil"/>
              <w:bottom w:val="single" w:sz="4" w:space="0" w:color="auto"/>
              <w:right w:val="nil"/>
            </w:tcBorders>
            <w:shd w:val="clear" w:color="000000" w:fill="FFFFFF"/>
            <w:noWrap/>
            <w:vAlign w:val="bottom"/>
            <w:hideMark/>
          </w:tcPr>
          <w:p w:rsidR="00475BBF" w:rsidRPr="007641A6" w:rsidRDefault="00475BBF" w:rsidP="00475BBF">
            <w:pPr>
              <w:rPr>
                <w:rFonts w:ascii="Arial" w:eastAsia="Times New Roman" w:hAnsi="Arial" w:cs="Arial"/>
                <w:b/>
                <w:color w:val="000000"/>
                <w:sz w:val="20"/>
                <w:szCs w:val="20"/>
              </w:rPr>
            </w:pPr>
            <w:r w:rsidRPr="007641A6">
              <w:rPr>
                <w:rFonts w:ascii="Arial" w:eastAsia="Times New Roman" w:hAnsi="Arial" w:cs="Arial"/>
                <w:b/>
                <w:color w:val="000000"/>
                <w:sz w:val="20"/>
                <w:szCs w:val="20"/>
              </w:rPr>
              <w:t>32</w:t>
            </w:r>
          </w:p>
        </w:tc>
        <w:tc>
          <w:tcPr>
            <w:tcW w:w="808" w:type="dxa"/>
            <w:tcBorders>
              <w:top w:val="nil"/>
              <w:left w:val="nil"/>
              <w:bottom w:val="single" w:sz="4" w:space="0" w:color="auto"/>
              <w:right w:val="nil"/>
            </w:tcBorders>
            <w:shd w:val="clear" w:color="000000" w:fill="FFFFFF"/>
            <w:noWrap/>
            <w:vAlign w:val="bottom"/>
            <w:hideMark/>
          </w:tcPr>
          <w:p w:rsidR="00475BBF" w:rsidRPr="007641A6" w:rsidRDefault="00475BBF" w:rsidP="00475BBF">
            <w:pPr>
              <w:rPr>
                <w:rFonts w:ascii="Arial" w:eastAsia="Times New Roman" w:hAnsi="Arial" w:cs="Arial"/>
                <w:b/>
                <w:color w:val="000000"/>
                <w:sz w:val="20"/>
                <w:szCs w:val="20"/>
              </w:rPr>
            </w:pPr>
            <w:r w:rsidRPr="007641A6">
              <w:rPr>
                <w:rFonts w:ascii="Arial" w:eastAsia="Times New Roman" w:hAnsi="Arial" w:cs="Arial"/>
                <w:b/>
                <w:color w:val="000000"/>
                <w:sz w:val="20"/>
                <w:szCs w:val="20"/>
              </w:rPr>
              <w:t>0,6</w:t>
            </w:r>
          </w:p>
        </w:tc>
      </w:tr>
      <w:tr w:rsidR="00475BBF" w:rsidRPr="00250461" w:rsidTr="007641A6">
        <w:trPr>
          <w:trHeight w:val="304"/>
          <w:jc w:val="center"/>
        </w:trPr>
        <w:tc>
          <w:tcPr>
            <w:tcW w:w="1939" w:type="dxa"/>
            <w:tcBorders>
              <w:top w:val="single" w:sz="4" w:space="0" w:color="auto"/>
              <w:left w:val="nil"/>
              <w:bottom w:val="nil"/>
              <w:right w:val="nil"/>
            </w:tcBorders>
            <w:shd w:val="clear" w:color="000000" w:fill="FFFFFF"/>
            <w:noWrap/>
            <w:vAlign w:val="bottom"/>
            <w:hideMark/>
          </w:tcPr>
          <w:p w:rsidR="00475BBF" w:rsidRPr="00BF6A26" w:rsidRDefault="00475BBF" w:rsidP="00475BBF">
            <w:pPr>
              <w:rPr>
                <w:rFonts w:ascii="Arial" w:eastAsia="Times New Roman" w:hAnsi="Arial" w:cs="Arial"/>
                <w:color w:val="000000"/>
              </w:rPr>
            </w:pPr>
            <w:r w:rsidRPr="00BF6A26">
              <w:rPr>
                <w:rFonts w:ascii="Arial" w:eastAsia="Times New Roman" w:hAnsi="Arial" w:cs="Arial"/>
                <w:color w:val="000000"/>
              </w:rPr>
              <w:t>San José</w:t>
            </w:r>
          </w:p>
        </w:tc>
        <w:tc>
          <w:tcPr>
            <w:tcW w:w="514" w:type="dxa"/>
            <w:tcBorders>
              <w:top w:val="single" w:sz="4" w:space="0" w:color="auto"/>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15</w:t>
            </w:r>
          </w:p>
        </w:tc>
        <w:tc>
          <w:tcPr>
            <w:tcW w:w="808" w:type="dxa"/>
            <w:tcBorders>
              <w:top w:val="single" w:sz="4" w:space="0" w:color="auto"/>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1,0</w:t>
            </w:r>
          </w:p>
        </w:tc>
        <w:tc>
          <w:tcPr>
            <w:tcW w:w="514" w:type="dxa"/>
            <w:tcBorders>
              <w:top w:val="single" w:sz="4" w:space="0" w:color="auto"/>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14</w:t>
            </w:r>
          </w:p>
        </w:tc>
        <w:tc>
          <w:tcPr>
            <w:tcW w:w="808" w:type="dxa"/>
            <w:tcBorders>
              <w:top w:val="single" w:sz="4" w:space="0" w:color="auto"/>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0,9</w:t>
            </w:r>
          </w:p>
        </w:tc>
        <w:tc>
          <w:tcPr>
            <w:tcW w:w="514" w:type="dxa"/>
            <w:tcBorders>
              <w:top w:val="single" w:sz="4" w:space="0" w:color="auto"/>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10</w:t>
            </w:r>
          </w:p>
        </w:tc>
        <w:tc>
          <w:tcPr>
            <w:tcW w:w="808" w:type="dxa"/>
            <w:tcBorders>
              <w:top w:val="single" w:sz="4" w:space="0" w:color="auto"/>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0,6</w:t>
            </w:r>
          </w:p>
        </w:tc>
        <w:tc>
          <w:tcPr>
            <w:tcW w:w="514" w:type="dxa"/>
            <w:tcBorders>
              <w:top w:val="single" w:sz="4" w:space="0" w:color="auto"/>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12</w:t>
            </w:r>
          </w:p>
        </w:tc>
        <w:tc>
          <w:tcPr>
            <w:tcW w:w="808" w:type="dxa"/>
            <w:tcBorders>
              <w:top w:val="single" w:sz="4" w:space="0" w:color="auto"/>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0,7</w:t>
            </w:r>
          </w:p>
        </w:tc>
      </w:tr>
      <w:tr w:rsidR="00475BBF" w:rsidRPr="00250461" w:rsidTr="007641A6">
        <w:trPr>
          <w:trHeight w:val="304"/>
          <w:jc w:val="center"/>
        </w:trPr>
        <w:tc>
          <w:tcPr>
            <w:tcW w:w="1939" w:type="dxa"/>
            <w:tcBorders>
              <w:top w:val="nil"/>
              <w:left w:val="nil"/>
              <w:bottom w:val="nil"/>
              <w:right w:val="nil"/>
            </w:tcBorders>
            <w:shd w:val="clear" w:color="000000" w:fill="FFFFFF"/>
            <w:noWrap/>
            <w:vAlign w:val="bottom"/>
            <w:hideMark/>
          </w:tcPr>
          <w:p w:rsidR="00475BBF" w:rsidRPr="00BF6A26" w:rsidRDefault="00475BBF" w:rsidP="00475BBF">
            <w:pPr>
              <w:rPr>
                <w:rFonts w:ascii="Arial" w:eastAsia="Times New Roman" w:hAnsi="Arial" w:cs="Arial"/>
                <w:color w:val="000000"/>
              </w:rPr>
            </w:pPr>
            <w:r w:rsidRPr="00BF6A26">
              <w:rPr>
                <w:rFonts w:ascii="Arial" w:eastAsia="Times New Roman" w:hAnsi="Arial" w:cs="Arial"/>
                <w:color w:val="000000"/>
              </w:rPr>
              <w:t>Alajuela</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5</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0,5</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3</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0,3</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6</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0,6</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7</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0,7</w:t>
            </w:r>
          </w:p>
        </w:tc>
      </w:tr>
      <w:tr w:rsidR="00475BBF" w:rsidRPr="00250461" w:rsidTr="007641A6">
        <w:trPr>
          <w:trHeight w:val="304"/>
          <w:jc w:val="center"/>
        </w:trPr>
        <w:tc>
          <w:tcPr>
            <w:tcW w:w="1939" w:type="dxa"/>
            <w:tcBorders>
              <w:top w:val="nil"/>
              <w:left w:val="nil"/>
              <w:bottom w:val="nil"/>
              <w:right w:val="nil"/>
            </w:tcBorders>
            <w:shd w:val="clear" w:color="000000" w:fill="FFFFFF"/>
            <w:noWrap/>
            <w:vAlign w:val="bottom"/>
            <w:hideMark/>
          </w:tcPr>
          <w:p w:rsidR="00475BBF" w:rsidRPr="00BF6A26" w:rsidRDefault="00475BBF" w:rsidP="00475BBF">
            <w:pPr>
              <w:rPr>
                <w:rFonts w:ascii="Arial" w:eastAsia="Times New Roman" w:hAnsi="Arial" w:cs="Arial"/>
                <w:color w:val="000000"/>
              </w:rPr>
            </w:pPr>
            <w:r w:rsidRPr="00BF6A26">
              <w:rPr>
                <w:rFonts w:ascii="Arial" w:eastAsia="Times New Roman" w:hAnsi="Arial" w:cs="Arial"/>
                <w:color w:val="000000"/>
              </w:rPr>
              <w:t>Cartago</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3</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0,6</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0,2</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0,2</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0,2</w:t>
            </w:r>
          </w:p>
        </w:tc>
      </w:tr>
      <w:tr w:rsidR="00475BBF" w:rsidRPr="00250461" w:rsidTr="007641A6">
        <w:trPr>
          <w:trHeight w:val="304"/>
          <w:jc w:val="center"/>
        </w:trPr>
        <w:tc>
          <w:tcPr>
            <w:tcW w:w="1939" w:type="dxa"/>
            <w:tcBorders>
              <w:top w:val="nil"/>
              <w:left w:val="nil"/>
              <w:bottom w:val="nil"/>
              <w:right w:val="nil"/>
            </w:tcBorders>
            <w:shd w:val="clear" w:color="000000" w:fill="FFFFFF"/>
            <w:noWrap/>
            <w:vAlign w:val="bottom"/>
            <w:hideMark/>
          </w:tcPr>
          <w:p w:rsidR="00475BBF" w:rsidRPr="00BF6A26" w:rsidRDefault="00475BBF" w:rsidP="00475BBF">
            <w:pPr>
              <w:rPr>
                <w:rFonts w:ascii="Arial" w:eastAsia="Times New Roman" w:hAnsi="Arial" w:cs="Arial"/>
                <w:color w:val="000000"/>
              </w:rPr>
            </w:pPr>
            <w:r w:rsidRPr="00BF6A26">
              <w:rPr>
                <w:rFonts w:ascii="Arial" w:eastAsia="Times New Roman" w:hAnsi="Arial" w:cs="Arial"/>
                <w:color w:val="000000"/>
              </w:rPr>
              <w:t>Heredia</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0,2</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0,2</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0,0</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0,2</w:t>
            </w:r>
          </w:p>
        </w:tc>
      </w:tr>
      <w:tr w:rsidR="00475BBF" w:rsidRPr="00250461" w:rsidTr="007641A6">
        <w:trPr>
          <w:trHeight w:val="304"/>
          <w:jc w:val="center"/>
        </w:trPr>
        <w:tc>
          <w:tcPr>
            <w:tcW w:w="1939" w:type="dxa"/>
            <w:tcBorders>
              <w:top w:val="nil"/>
              <w:left w:val="nil"/>
              <w:bottom w:val="nil"/>
              <w:right w:val="nil"/>
            </w:tcBorders>
            <w:shd w:val="clear" w:color="000000" w:fill="FFFFFF"/>
            <w:noWrap/>
            <w:vAlign w:val="bottom"/>
            <w:hideMark/>
          </w:tcPr>
          <w:p w:rsidR="00475BBF" w:rsidRPr="00BF6A26" w:rsidRDefault="00475BBF" w:rsidP="00475BBF">
            <w:pPr>
              <w:rPr>
                <w:rFonts w:ascii="Arial" w:eastAsia="Times New Roman" w:hAnsi="Arial" w:cs="Arial"/>
                <w:color w:val="000000"/>
              </w:rPr>
            </w:pPr>
            <w:r w:rsidRPr="00BF6A26">
              <w:rPr>
                <w:rFonts w:ascii="Arial" w:eastAsia="Times New Roman" w:hAnsi="Arial" w:cs="Arial"/>
                <w:color w:val="000000"/>
              </w:rPr>
              <w:t>Guan</w:t>
            </w:r>
            <w:r>
              <w:rPr>
                <w:rFonts w:ascii="Arial" w:eastAsia="Times New Roman" w:hAnsi="Arial" w:cs="Arial"/>
                <w:color w:val="000000"/>
              </w:rPr>
              <w:t>a</w:t>
            </w:r>
            <w:r w:rsidRPr="00BF6A26">
              <w:rPr>
                <w:rFonts w:ascii="Arial" w:eastAsia="Times New Roman" w:hAnsi="Arial" w:cs="Arial"/>
                <w:color w:val="000000"/>
              </w:rPr>
              <w:t>caste</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4</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1,1</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2</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0,5</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4</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1,1</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3</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0,8</w:t>
            </w:r>
          </w:p>
        </w:tc>
      </w:tr>
      <w:tr w:rsidR="00475BBF" w:rsidRPr="00250461" w:rsidTr="007641A6">
        <w:trPr>
          <w:trHeight w:val="304"/>
          <w:jc w:val="center"/>
        </w:trPr>
        <w:tc>
          <w:tcPr>
            <w:tcW w:w="1939" w:type="dxa"/>
            <w:tcBorders>
              <w:top w:val="nil"/>
              <w:left w:val="nil"/>
              <w:bottom w:val="nil"/>
              <w:right w:val="nil"/>
            </w:tcBorders>
            <w:shd w:val="clear" w:color="000000" w:fill="FFFFFF"/>
            <w:noWrap/>
            <w:vAlign w:val="bottom"/>
            <w:hideMark/>
          </w:tcPr>
          <w:p w:rsidR="00475BBF" w:rsidRPr="00BF6A26" w:rsidRDefault="00475BBF" w:rsidP="00475BBF">
            <w:pPr>
              <w:rPr>
                <w:rFonts w:ascii="Arial" w:eastAsia="Times New Roman" w:hAnsi="Arial" w:cs="Arial"/>
                <w:color w:val="000000"/>
              </w:rPr>
            </w:pPr>
            <w:r w:rsidRPr="00BF6A26">
              <w:rPr>
                <w:rFonts w:ascii="Arial" w:eastAsia="Times New Roman" w:hAnsi="Arial" w:cs="Arial"/>
                <w:color w:val="000000"/>
              </w:rPr>
              <w:t>Puntarenas</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10</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2,2</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6</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1,3</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4</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0,8</w:t>
            </w:r>
          </w:p>
        </w:tc>
        <w:tc>
          <w:tcPr>
            <w:tcW w:w="514"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4</w:t>
            </w:r>
          </w:p>
        </w:tc>
        <w:tc>
          <w:tcPr>
            <w:tcW w:w="808" w:type="dxa"/>
            <w:tcBorders>
              <w:top w:val="nil"/>
              <w:left w:val="nil"/>
              <w:bottom w:val="nil"/>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0,8</w:t>
            </w:r>
          </w:p>
        </w:tc>
      </w:tr>
      <w:tr w:rsidR="00475BBF" w:rsidRPr="00250461" w:rsidTr="007641A6">
        <w:trPr>
          <w:trHeight w:val="304"/>
          <w:jc w:val="center"/>
        </w:trPr>
        <w:tc>
          <w:tcPr>
            <w:tcW w:w="1939" w:type="dxa"/>
            <w:tcBorders>
              <w:top w:val="nil"/>
              <w:left w:val="nil"/>
              <w:bottom w:val="single" w:sz="4" w:space="0" w:color="auto"/>
              <w:right w:val="nil"/>
            </w:tcBorders>
            <w:shd w:val="clear" w:color="000000" w:fill="FFFFFF"/>
            <w:noWrap/>
            <w:vAlign w:val="bottom"/>
            <w:hideMark/>
          </w:tcPr>
          <w:p w:rsidR="00475BBF" w:rsidRPr="00BF6A26" w:rsidRDefault="00475BBF" w:rsidP="00475BBF">
            <w:pPr>
              <w:rPr>
                <w:rFonts w:ascii="Arial" w:eastAsia="Times New Roman" w:hAnsi="Arial" w:cs="Arial"/>
                <w:color w:val="000000"/>
              </w:rPr>
            </w:pPr>
            <w:r w:rsidRPr="00BF6A26">
              <w:rPr>
                <w:rFonts w:ascii="Arial" w:eastAsia="Times New Roman" w:hAnsi="Arial" w:cs="Arial"/>
                <w:color w:val="000000"/>
              </w:rPr>
              <w:t>Limón</w:t>
            </w:r>
          </w:p>
        </w:tc>
        <w:tc>
          <w:tcPr>
            <w:tcW w:w="514" w:type="dxa"/>
            <w:tcBorders>
              <w:top w:val="nil"/>
              <w:left w:val="nil"/>
              <w:bottom w:val="single" w:sz="4" w:space="0" w:color="auto"/>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4</w:t>
            </w:r>
          </w:p>
        </w:tc>
        <w:tc>
          <w:tcPr>
            <w:tcW w:w="808" w:type="dxa"/>
            <w:tcBorders>
              <w:top w:val="nil"/>
              <w:left w:val="nil"/>
              <w:bottom w:val="single" w:sz="4" w:space="0" w:color="auto"/>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0,9</w:t>
            </w:r>
          </w:p>
        </w:tc>
        <w:tc>
          <w:tcPr>
            <w:tcW w:w="514" w:type="dxa"/>
            <w:tcBorders>
              <w:top w:val="nil"/>
              <w:left w:val="nil"/>
              <w:bottom w:val="single" w:sz="4" w:space="0" w:color="auto"/>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5</w:t>
            </w:r>
          </w:p>
        </w:tc>
        <w:tc>
          <w:tcPr>
            <w:tcW w:w="808" w:type="dxa"/>
            <w:tcBorders>
              <w:top w:val="nil"/>
              <w:left w:val="nil"/>
              <w:bottom w:val="single" w:sz="4" w:space="0" w:color="auto"/>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1,2</w:t>
            </w:r>
          </w:p>
        </w:tc>
        <w:tc>
          <w:tcPr>
            <w:tcW w:w="514" w:type="dxa"/>
            <w:tcBorders>
              <w:top w:val="nil"/>
              <w:left w:val="nil"/>
              <w:bottom w:val="single" w:sz="4" w:space="0" w:color="auto"/>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3</w:t>
            </w:r>
          </w:p>
        </w:tc>
        <w:tc>
          <w:tcPr>
            <w:tcW w:w="808" w:type="dxa"/>
            <w:tcBorders>
              <w:top w:val="nil"/>
              <w:left w:val="nil"/>
              <w:bottom w:val="single" w:sz="4" w:space="0" w:color="auto"/>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0,7</w:t>
            </w:r>
          </w:p>
        </w:tc>
        <w:tc>
          <w:tcPr>
            <w:tcW w:w="514" w:type="dxa"/>
            <w:tcBorders>
              <w:top w:val="nil"/>
              <w:left w:val="nil"/>
              <w:bottom w:val="single" w:sz="4" w:space="0" w:color="auto"/>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4</w:t>
            </w:r>
          </w:p>
        </w:tc>
        <w:tc>
          <w:tcPr>
            <w:tcW w:w="808" w:type="dxa"/>
            <w:tcBorders>
              <w:top w:val="nil"/>
              <w:left w:val="nil"/>
              <w:bottom w:val="single" w:sz="4" w:space="0" w:color="auto"/>
              <w:right w:val="nil"/>
            </w:tcBorders>
            <w:shd w:val="clear" w:color="000000" w:fill="FFFFFF"/>
            <w:noWrap/>
            <w:vAlign w:val="bottom"/>
            <w:hideMark/>
          </w:tcPr>
          <w:p w:rsidR="00475BBF" w:rsidRPr="00250461" w:rsidRDefault="00475BBF" w:rsidP="00475BBF">
            <w:pPr>
              <w:rPr>
                <w:rFonts w:ascii="Arial" w:eastAsia="Times New Roman" w:hAnsi="Arial" w:cs="Arial"/>
                <w:color w:val="000000"/>
                <w:sz w:val="20"/>
                <w:szCs w:val="20"/>
              </w:rPr>
            </w:pPr>
            <w:r w:rsidRPr="00250461">
              <w:rPr>
                <w:rFonts w:ascii="Arial" w:eastAsia="Times New Roman" w:hAnsi="Arial" w:cs="Arial"/>
                <w:color w:val="000000"/>
                <w:sz w:val="20"/>
                <w:szCs w:val="20"/>
              </w:rPr>
              <w:t>0,9</w:t>
            </w:r>
          </w:p>
        </w:tc>
      </w:tr>
    </w:tbl>
    <w:p w:rsidR="00475BBF" w:rsidRPr="002C21BC" w:rsidRDefault="00475BBF" w:rsidP="007641A6">
      <w:pPr>
        <w:widowControl w:val="0"/>
        <w:spacing w:line="360" w:lineRule="auto"/>
        <w:jc w:val="center"/>
        <w:rPr>
          <w:rFonts w:ascii="Arial" w:eastAsia="Calibri" w:hAnsi="Arial" w:cs="Arial"/>
          <w:sz w:val="20"/>
          <w:szCs w:val="20"/>
          <w:lang w:val="es-CR"/>
        </w:rPr>
      </w:pPr>
      <w:r w:rsidRPr="007641A6">
        <w:rPr>
          <w:rFonts w:ascii="Arial" w:eastAsia="Calibri" w:hAnsi="Arial" w:cs="Arial"/>
          <w:b/>
          <w:sz w:val="20"/>
          <w:szCs w:val="20"/>
          <w:lang w:val="es-CR"/>
        </w:rPr>
        <w:t>Fuente:</w:t>
      </w:r>
      <w:r>
        <w:rPr>
          <w:rFonts w:ascii="Arial" w:eastAsia="Calibri" w:hAnsi="Arial" w:cs="Arial"/>
          <w:sz w:val="20"/>
          <w:szCs w:val="20"/>
          <w:lang w:val="es-CR"/>
        </w:rPr>
        <w:t xml:space="preserve"> INEC</w:t>
      </w:r>
      <w:r w:rsidRPr="002C21BC">
        <w:rPr>
          <w:rFonts w:ascii="Arial" w:eastAsia="Calibri" w:hAnsi="Arial" w:cs="Arial"/>
          <w:sz w:val="20"/>
          <w:szCs w:val="20"/>
          <w:lang w:val="es-CR"/>
        </w:rPr>
        <w:t xml:space="preserve">, </w:t>
      </w:r>
      <w:r>
        <w:rPr>
          <w:rFonts w:ascii="Arial" w:eastAsia="Calibri" w:hAnsi="Arial" w:cs="Arial"/>
          <w:sz w:val="20"/>
          <w:szCs w:val="20"/>
          <w:lang w:val="es-CR"/>
        </w:rPr>
        <w:t>Ministerio de Salud</w:t>
      </w:r>
      <w:r w:rsidR="007641A6">
        <w:rPr>
          <w:rFonts w:ascii="Arial" w:eastAsia="Calibri" w:hAnsi="Arial" w:cs="Arial"/>
          <w:sz w:val="20"/>
          <w:szCs w:val="20"/>
          <w:lang w:val="es-CR"/>
        </w:rPr>
        <w:t>, 2019.</w:t>
      </w:r>
    </w:p>
    <w:p w:rsidR="00475BBF" w:rsidRDefault="00475BBF" w:rsidP="00475BBF">
      <w:pPr>
        <w:spacing w:line="360" w:lineRule="auto"/>
        <w:jc w:val="center"/>
        <w:rPr>
          <w:rFonts w:ascii="Arial" w:hAnsi="Arial" w:cs="Arial"/>
          <w:lang w:val="es-CR"/>
        </w:rPr>
      </w:pPr>
    </w:p>
    <w:p w:rsidR="00475BBF" w:rsidRDefault="00475BBF" w:rsidP="00475BBF">
      <w:pPr>
        <w:spacing w:line="276" w:lineRule="auto"/>
        <w:rPr>
          <w:rFonts w:ascii="Arial" w:hAnsi="Arial" w:cs="Arial"/>
          <w:lang w:val="es-CR"/>
        </w:rPr>
      </w:pPr>
      <w:r>
        <w:rPr>
          <w:rFonts w:ascii="Arial" w:hAnsi="Arial" w:cs="Arial"/>
          <w:lang w:val="es-CR"/>
        </w:rPr>
        <w:t xml:space="preserve">Los cantones con mayores tasas de mortalidad en el período </w:t>
      </w:r>
      <w:r w:rsidR="007641A6">
        <w:rPr>
          <w:rFonts w:ascii="Arial" w:hAnsi="Arial" w:cs="Arial"/>
          <w:lang w:val="es-CR"/>
        </w:rPr>
        <w:t xml:space="preserve">fueron </w:t>
      </w:r>
      <w:r w:rsidRPr="00FE7CE5">
        <w:rPr>
          <w:lang w:val="es-CR"/>
        </w:rPr>
        <w:t xml:space="preserve"> </w:t>
      </w:r>
      <w:r w:rsidRPr="00FE7CE5">
        <w:rPr>
          <w:rFonts w:ascii="Arial" w:hAnsi="Arial" w:cs="Arial"/>
          <w:lang w:val="es-CR"/>
        </w:rPr>
        <w:t>San Mateo,</w:t>
      </w:r>
      <w:r>
        <w:rPr>
          <w:rFonts w:ascii="Arial" w:hAnsi="Arial" w:cs="Arial"/>
          <w:lang w:val="es-CR"/>
        </w:rPr>
        <w:t xml:space="preserve"> Golfito, y La Cruz, con tasas que superan la nacional.</w:t>
      </w:r>
    </w:p>
    <w:p w:rsidR="00475BBF" w:rsidRPr="0016454D" w:rsidRDefault="00475BBF" w:rsidP="00475BBF">
      <w:pPr>
        <w:spacing w:line="276" w:lineRule="auto"/>
        <w:rPr>
          <w:rFonts w:ascii="Arial" w:hAnsi="Arial" w:cs="Arial"/>
          <w:lang w:val="es-CR"/>
        </w:rPr>
      </w:pPr>
    </w:p>
    <w:p w:rsidR="00475BBF" w:rsidRPr="007641A6" w:rsidRDefault="00475BBF" w:rsidP="007641A6">
      <w:pPr>
        <w:widowControl w:val="0"/>
        <w:jc w:val="center"/>
        <w:rPr>
          <w:rFonts w:ascii="Arial" w:eastAsia="Calibri" w:hAnsi="Arial" w:cs="Arial"/>
          <w:b/>
          <w:lang w:val="es-CR"/>
        </w:rPr>
      </w:pPr>
      <w:r w:rsidRPr="007641A6">
        <w:rPr>
          <w:rFonts w:ascii="Arial" w:eastAsia="Calibri" w:hAnsi="Arial" w:cs="Arial"/>
          <w:b/>
          <w:lang w:val="es-CR"/>
        </w:rPr>
        <w:t xml:space="preserve">Gráfico </w:t>
      </w:r>
      <w:r w:rsidR="009E51D7">
        <w:rPr>
          <w:rFonts w:ascii="Arial" w:eastAsia="Calibri" w:hAnsi="Arial" w:cs="Arial"/>
          <w:b/>
          <w:lang w:val="es-CR"/>
        </w:rPr>
        <w:t>32</w:t>
      </w:r>
    </w:p>
    <w:p w:rsidR="007641A6" w:rsidRDefault="00475BBF" w:rsidP="007641A6">
      <w:pPr>
        <w:widowControl w:val="0"/>
        <w:jc w:val="center"/>
        <w:rPr>
          <w:rFonts w:ascii="Arial" w:eastAsia="Calibri" w:hAnsi="Arial" w:cs="Arial"/>
          <w:b/>
          <w:lang w:val="es-CR"/>
        </w:rPr>
      </w:pPr>
      <w:r w:rsidRPr="007641A6">
        <w:rPr>
          <w:rFonts w:ascii="Arial" w:eastAsia="Calibri" w:hAnsi="Arial" w:cs="Arial"/>
          <w:b/>
          <w:lang w:val="es-CR"/>
        </w:rPr>
        <w:t xml:space="preserve">Costa Rica: Mortalidad por tuberculosis, </w:t>
      </w:r>
    </w:p>
    <w:p w:rsidR="00475BBF" w:rsidRPr="007641A6" w:rsidRDefault="00475BBF" w:rsidP="007641A6">
      <w:pPr>
        <w:widowControl w:val="0"/>
        <w:jc w:val="center"/>
        <w:rPr>
          <w:rFonts w:ascii="Arial" w:eastAsia="Calibri" w:hAnsi="Arial" w:cs="Arial"/>
          <w:b/>
          <w:lang w:val="es-CR"/>
        </w:rPr>
      </w:pPr>
      <w:r w:rsidRPr="007641A6">
        <w:rPr>
          <w:rFonts w:ascii="Arial" w:eastAsia="Calibri" w:hAnsi="Arial" w:cs="Arial"/>
          <w:b/>
          <w:lang w:val="es-CR"/>
        </w:rPr>
        <w:t>según cantón, 2014-2017.</w:t>
      </w:r>
    </w:p>
    <w:p w:rsidR="00475BBF" w:rsidRPr="002D60F4" w:rsidRDefault="00475BBF" w:rsidP="00475BBF">
      <w:pPr>
        <w:spacing w:line="360" w:lineRule="auto"/>
        <w:jc w:val="center"/>
        <w:rPr>
          <w:rFonts w:ascii="Arial" w:eastAsia="Calibri" w:hAnsi="Arial" w:cs="Arial"/>
          <w:sz w:val="18"/>
          <w:szCs w:val="18"/>
          <w:lang w:val="es-CR"/>
        </w:rPr>
      </w:pPr>
      <w:r>
        <w:rPr>
          <w:rFonts w:ascii="Arial" w:eastAsia="Calibri" w:hAnsi="Arial" w:cs="Arial"/>
          <w:sz w:val="18"/>
          <w:szCs w:val="18"/>
          <w:lang w:val="es-CR"/>
        </w:rPr>
        <w:t>(</w:t>
      </w:r>
      <w:r w:rsidR="007641A6">
        <w:rPr>
          <w:rFonts w:ascii="Arial" w:eastAsia="Calibri" w:hAnsi="Arial" w:cs="Arial"/>
          <w:sz w:val="18"/>
          <w:szCs w:val="18"/>
          <w:lang w:val="es-CR"/>
        </w:rPr>
        <w:t>t</w:t>
      </w:r>
      <w:r>
        <w:rPr>
          <w:rFonts w:ascii="Arial" w:eastAsia="Calibri" w:hAnsi="Arial" w:cs="Arial"/>
          <w:sz w:val="18"/>
          <w:szCs w:val="18"/>
          <w:lang w:val="es-CR"/>
        </w:rPr>
        <w:t>asa por 100.000 habitantes)</w:t>
      </w:r>
    </w:p>
    <w:p w:rsidR="00475BBF" w:rsidRDefault="00475BBF" w:rsidP="00475BBF">
      <w:pPr>
        <w:spacing w:line="360" w:lineRule="auto"/>
        <w:jc w:val="center"/>
        <w:rPr>
          <w:rFonts w:ascii="Arial" w:hAnsi="Arial" w:cs="Arial"/>
          <w:lang w:val="es-CR"/>
        </w:rPr>
      </w:pPr>
      <w:r>
        <w:rPr>
          <w:noProof/>
          <w:lang w:val="es-CR" w:eastAsia="es-CR"/>
        </w:rPr>
        <w:drawing>
          <wp:inline distT="0" distB="0" distL="0" distR="0" wp14:anchorId="65B9A1FF" wp14:editId="1D8893C6">
            <wp:extent cx="4817660" cy="2743200"/>
            <wp:effectExtent l="0" t="0" r="2540" b="0"/>
            <wp:docPr id="35" name="Gráfico 35">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475BBF" w:rsidRPr="002D60F4" w:rsidRDefault="00475BBF" w:rsidP="00475BBF">
      <w:pPr>
        <w:widowControl w:val="0"/>
        <w:spacing w:line="360" w:lineRule="auto"/>
        <w:jc w:val="center"/>
        <w:rPr>
          <w:rFonts w:ascii="Arial" w:eastAsia="Calibri" w:hAnsi="Arial" w:cs="Arial"/>
          <w:sz w:val="20"/>
          <w:szCs w:val="20"/>
          <w:lang w:val="es-CR"/>
        </w:rPr>
      </w:pPr>
      <w:r w:rsidRPr="007641A6">
        <w:rPr>
          <w:rFonts w:ascii="Arial" w:eastAsia="Calibri" w:hAnsi="Arial" w:cs="Arial"/>
          <w:b/>
          <w:sz w:val="20"/>
          <w:szCs w:val="20"/>
          <w:lang w:val="es-CR"/>
        </w:rPr>
        <w:t>Fuente:</w:t>
      </w:r>
      <w:r>
        <w:rPr>
          <w:rFonts w:ascii="Arial" w:eastAsia="Calibri" w:hAnsi="Arial" w:cs="Arial"/>
          <w:sz w:val="20"/>
          <w:szCs w:val="20"/>
          <w:lang w:val="es-CR"/>
        </w:rPr>
        <w:t xml:space="preserve"> INEC</w:t>
      </w:r>
      <w:r w:rsidR="007641A6">
        <w:rPr>
          <w:rFonts w:ascii="Arial" w:eastAsia="Calibri" w:hAnsi="Arial" w:cs="Arial"/>
          <w:sz w:val="20"/>
          <w:szCs w:val="20"/>
          <w:lang w:val="es-CR"/>
        </w:rPr>
        <w:t>,</w:t>
      </w:r>
      <w:r w:rsidRPr="002C21BC">
        <w:rPr>
          <w:rFonts w:ascii="Arial" w:eastAsia="Calibri" w:hAnsi="Arial" w:cs="Arial"/>
          <w:sz w:val="20"/>
          <w:szCs w:val="20"/>
          <w:lang w:val="es-CR"/>
        </w:rPr>
        <w:t xml:space="preserve"> </w:t>
      </w:r>
      <w:r>
        <w:rPr>
          <w:rFonts w:ascii="Arial" w:eastAsia="Calibri" w:hAnsi="Arial" w:cs="Arial"/>
          <w:sz w:val="20"/>
          <w:szCs w:val="20"/>
          <w:lang w:val="es-CR"/>
        </w:rPr>
        <w:t>Ministerio de Salud</w:t>
      </w:r>
      <w:r w:rsidR="007641A6">
        <w:rPr>
          <w:rFonts w:ascii="Arial" w:eastAsia="Calibri" w:hAnsi="Arial" w:cs="Arial"/>
          <w:sz w:val="20"/>
          <w:szCs w:val="20"/>
          <w:lang w:val="es-CR"/>
        </w:rPr>
        <w:t>, 2019.</w:t>
      </w:r>
    </w:p>
    <w:p w:rsidR="00475BBF" w:rsidRDefault="00475BBF" w:rsidP="00475BBF">
      <w:pPr>
        <w:spacing w:line="360" w:lineRule="auto"/>
        <w:rPr>
          <w:rFonts w:ascii="Arial" w:hAnsi="Arial" w:cs="Arial"/>
          <w:lang w:val="es-CR"/>
        </w:rPr>
      </w:pPr>
    </w:p>
    <w:p w:rsidR="00475BBF" w:rsidRPr="006D48B5" w:rsidRDefault="00475BBF" w:rsidP="006D48B5">
      <w:pPr>
        <w:pStyle w:val="Ttulo3"/>
        <w:spacing w:after="240"/>
        <w:rPr>
          <w:rFonts w:ascii="Arial" w:hAnsi="Arial" w:cs="Arial"/>
          <w:b/>
          <w:noProof/>
          <w:color w:val="auto"/>
          <w:lang w:eastAsia="es-CR"/>
        </w:rPr>
      </w:pPr>
      <w:bookmarkStart w:id="63" w:name="_Toc7439680"/>
      <w:r w:rsidRPr="006D48B5">
        <w:rPr>
          <w:rFonts w:ascii="Arial" w:hAnsi="Arial" w:cs="Arial"/>
          <w:b/>
          <w:color w:val="auto"/>
        </w:rPr>
        <w:lastRenderedPageBreak/>
        <w:t>N</w:t>
      </w:r>
      <w:r w:rsidR="007641A6" w:rsidRPr="006D48B5">
        <w:rPr>
          <w:rFonts w:ascii="Arial" w:hAnsi="Arial" w:cs="Arial"/>
          <w:b/>
          <w:color w:val="auto"/>
        </w:rPr>
        <w:t>eumonía</w:t>
      </w:r>
      <w:bookmarkEnd w:id="63"/>
    </w:p>
    <w:p w:rsidR="00475BBF" w:rsidRDefault="00475BBF" w:rsidP="00475BBF">
      <w:pPr>
        <w:spacing w:line="276" w:lineRule="auto"/>
        <w:jc w:val="both"/>
        <w:rPr>
          <w:rFonts w:ascii="Arial" w:hAnsi="Arial" w:cs="Arial"/>
          <w:lang w:val="es-CR"/>
        </w:rPr>
      </w:pPr>
      <w:r w:rsidRPr="00C836A4">
        <w:rPr>
          <w:rFonts w:ascii="Arial" w:hAnsi="Arial" w:cs="Arial"/>
          <w:lang w:val="es-CR"/>
        </w:rPr>
        <w:t xml:space="preserve">La neumonía es una infección </w:t>
      </w:r>
      <w:r>
        <w:rPr>
          <w:rFonts w:ascii="Arial" w:hAnsi="Arial" w:cs="Arial"/>
          <w:lang w:val="es-CR"/>
        </w:rPr>
        <w:t>respiratoria que afecta a los pulmones, puede ser causada por</w:t>
      </w:r>
      <w:r w:rsidR="00B65B68">
        <w:rPr>
          <w:rFonts w:ascii="Arial" w:hAnsi="Arial" w:cs="Arial"/>
          <w:lang w:val="es-CR"/>
        </w:rPr>
        <w:t xml:space="preserve"> bacterias, virus u hongos</w:t>
      </w:r>
      <w:r w:rsidRPr="00C836A4">
        <w:rPr>
          <w:rFonts w:ascii="Arial" w:hAnsi="Arial" w:cs="Arial"/>
          <w:lang w:val="es-CR"/>
        </w:rPr>
        <w:t xml:space="preserve"> </w:t>
      </w:r>
      <w:r>
        <w:rPr>
          <w:rFonts w:ascii="Arial" w:hAnsi="Arial" w:cs="Arial"/>
          <w:lang w:val="es-CR"/>
        </w:rPr>
        <w:t xml:space="preserve">y se </w:t>
      </w:r>
      <w:r w:rsidRPr="00C836A4">
        <w:rPr>
          <w:rFonts w:ascii="Arial" w:hAnsi="Arial" w:cs="Arial"/>
          <w:lang w:val="es-CR"/>
        </w:rPr>
        <w:t xml:space="preserve">puede desarrollar al inhalar líquidos o químicos. </w:t>
      </w:r>
      <w:r w:rsidRPr="00EA4CE5">
        <w:rPr>
          <w:rFonts w:ascii="Arial" w:hAnsi="Arial" w:cs="Arial"/>
          <w:lang w:val="es-CR"/>
        </w:rPr>
        <w:t>Se transmite generalmente por contacto directo con personas infectadas.</w:t>
      </w:r>
    </w:p>
    <w:p w:rsidR="00B65B68" w:rsidRDefault="00B65B68" w:rsidP="00475BBF">
      <w:pPr>
        <w:spacing w:line="276" w:lineRule="auto"/>
        <w:jc w:val="both"/>
        <w:rPr>
          <w:rFonts w:ascii="Arial" w:hAnsi="Arial" w:cs="Arial"/>
          <w:lang w:val="es-CR"/>
        </w:rPr>
      </w:pPr>
    </w:p>
    <w:p w:rsidR="00475BBF" w:rsidRPr="00D67092" w:rsidRDefault="00475BBF" w:rsidP="00B65B68">
      <w:pPr>
        <w:spacing w:after="240" w:line="276" w:lineRule="auto"/>
        <w:jc w:val="both"/>
        <w:rPr>
          <w:rFonts w:ascii="Arial" w:hAnsi="Arial" w:cs="Arial"/>
          <w:lang w:val="es-CR"/>
        </w:rPr>
      </w:pPr>
      <w:r>
        <w:rPr>
          <w:rFonts w:ascii="Arial" w:hAnsi="Arial" w:cs="Arial"/>
          <w:lang w:val="es-CR"/>
        </w:rPr>
        <w:t>E</w:t>
      </w:r>
      <w:r w:rsidRPr="001E2A5E">
        <w:rPr>
          <w:rFonts w:ascii="Arial" w:hAnsi="Arial" w:cs="Arial"/>
          <w:lang w:val="es-CR"/>
        </w:rPr>
        <w:t>n adultos</w:t>
      </w:r>
      <w:r w:rsidR="00B65B68">
        <w:rPr>
          <w:rFonts w:ascii="Arial" w:hAnsi="Arial" w:cs="Arial"/>
          <w:lang w:val="es-CR"/>
        </w:rPr>
        <w:t>,</w:t>
      </w:r>
      <w:r w:rsidRPr="001E2A5E">
        <w:rPr>
          <w:rFonts w:ascii="Arial" w:hAnsi="Arial" w:cs="Arial"/>
          <w:lang w:val="es-CR"/>
        </w:rPr>
        <w:t xml:space="preserve"> es causa frecuente de morbilidad y mortalidad, especialmente en adultos mayores y en </w:t>
      </w:r>
      <w:r>
        <w:rPr>
          <w:rFonts w:ascii="Arial" w:hAnsi="Arial" w:cs="Arial"/>
          <w:lang w:val="es-CR"/>
        </w:rPr>
        <w:t xml:space="preserve">personas </w:t>
      </w:r>
      <w:r w:rsidRPr="001E2A5E">
        <w:rPr>
          <w:rFonts w:ascii="Arial" w:hAnsi="Arial" w:cs="Arial"/>
          <w:lang w:val="es-CR"/>
        </w:rPr>
        <w:t xml:space="preserve">con </w:t>
      </w:r>
      <w:r w:rsidR="00B65B68">
        <w:rPr>
          <w:rFonts w:ascii="Arial" w:hAnsi="Arial" w:cs="Arial"/>
          <w:lang w:val="es-CR"/>
        </w:rPr>
        <w:t>enfermedades asociadas</w:t>
      </w:r>
      <w:r w:rsidRPr="001E2A5E">
        <w:rPr>
          <w:rFonts w:ascii="Arial" w:hAnsi="Arial" w:cs="Arial"/>
          <w:lang w:val="es-CR"/>
        </w:rPr>
        <w:t>.</w:t>
      </w:r>
      <w:r w:rsidRPr="0083515B">
        <w:rPr>
          <w:lang w:val="es-CR"/>
        </w:rPr>
        <w:t xml:space="preserve"> </w:t>
      </w:r>
      <w:r w:rsidRPr="00D67092">
        <w:rPr>
          <w:rFonts w:ascii="Arial" w:hAnsi="Arial" w:cs="Arial"/>
          <w:lang w:val="es-CR"/>
        </w:rPr>
        <w:t>La neumonía también tiene incidencia en la población infantil menor de cinco años</w:t>
      </w:r>
      <w:r w:rsidR="00B65B68">
        <w:rPr>
          <w:rFonts w:ascii="Arial" w:hAnsi="Arial" w:cs="Arial"/>
          <w:lang w:val="es-CR"/>
        </w:rPr>
        <w:t xml:space="preserve"> y en algunos casos es prevenible por</w:t>
      </w:r>
      <w:r w:rsidRPr="00D67092">
        <w:rPr>
          <w:rFonts w:ascii="Arial" w:hAnsi="Arial" w:cs="Arial"/>
          <w:lang w:val="es-CR"/>
        </w:rPr>
        <w:t xml:space="preserve"> vacunación</w:t>
      </w:r>
      <w:r w:rsidR="00B65B68">
        <w:rPr>
          <w:rFonts w:ascii="Arial" w:hAnsi="Arial" w:cs="Arial"/>
          <w:lang w:val="es-CR"/>
        </w:rPr>
        <w:t>.</w:t>
      </w:r>
    </w:p>
    <w:p w:rsidR="00475BBF" w:rsidRDefault="00B65B68" w:rsidP="009C24FE">
      <w:pPr>
        <w:spacing w:after="240" w:line="276" w:lineRule="auto"/>
        <w:jc w:val="both"/>
        <w:rPr>
          <w:rFonts w:ascii="Arial" w:hAnsi="Arial" w:cs="Arial"/>
          <w:lang w:val="es-CR"/>
        </w:rPr>
      </w:pPr>
      <w:r>
        <w:rPr>
          <w:rFonts w:ascii="Arial" w:hAnsi="Arial" w:cs="Arial"/>
          <w:lang w:val="es-CR"/>
        </w:rPr>
        <w:t>L</w:t>
      </w:r>
      <w:r w:rsidR="00475BBF">
        <w:rPr>
          <w:rFonts w:ascii="Arial" w:hAnsi="Arial" w:cs="Arial"/>
          <w:lang w:val="es-CR"/>
        </w:rPr>
        <w:t xml:space="preserve">os casos de neumonía </w:t>
      </w:r>
      <w:r>
        <w:rPr>
          <w:rFonts w:ascii="Arial" w:hAnsi="Arial" w:cs="Arial"/>
          <w:lang w:val="es-CR"/>
        </w:rPr>
        <w:t xml:space="preserve">son más frecuentes </w:t>
      </w:r>
      <w:r w:rsidR="00475BBF">
        <w:rPr>
          <w:rFonts w:ascii="Arial" w:hAnsi="Arial" w:cs="Arial"/>
          <w:lang w:val="es-CR"/>
        </w:rPr>
        <w:t>en</w:t>
      </w:r>
      <w:r w:rsidR="00475BBF" w:rsidRPr="00321F71">
        <w:rPr>
          <w:rFonts w:ascii="Arial" w:hAnsi="Arial" w:cs="Arial"/>
          <w:lang w:val="es-CR"/>
        </w:rPr>
        <w:t xml:space="preserve"> los meses</w:t>
      </w:r>
      <w:r w:rsidR="00475BBF">
        <w:rPr>
          <w:rFonts w:ascii="Arial" w:hAnsi="Arial" w:cs="Arial"/>
          <w:lang w:val="es-CR"/>
        </w:rPr>
        <w:t xml:space="preserve"> de invierno</w:t>
      </w:r>
      <w:r w:rsidR="00475BBF" w:rsidRPr="00321F71">
        <w:rPr>
          <w:rFonts w:ascii="Arial" w:hAnsi="Arial" w:cs="Arial"/>
          <w:lang w:val="es-CR"/>
        </w:rPr>
        <w:t xml:space="preserve"> y es más </w:t>
      </w:r>
      <w:r>
        <w:rPr>
          <w:rFonts w:ascii="Arial" w:hAnsi="Arial" w:cs="Arial"/>
          <w:lang w:val="es-CR"/>
        </w:rPr>
        <w:t xml:space="preserve">común </w:t>
      </w:r>
      <w:r w:rsidR="00475BBF" w:rsidRPr="00321F71">
        <w:rPr>
          <w:rFonts w:ascii="Arial" w:hAnsi="Arial" w:cs="Arial"/>
          <w:lang w:val="es-CR"/>
        </w:rPr>
        <w:t>en hombres que en</w:t>
      </w:r>
      <w:r w:rsidR="00475BBF">
        <w:rPr>
          <w:rFonts w:ascii="Arial" w:hAnsi="Arial" w:cs="Arial"/>
          <w:lang w:val="es-CR"/>
        </w:rPr>
        <w:t xml:space="preserve"> </w:t>
      </w:r>
      <w:r w:rsidR="00475BBF" w:rsidRPr="00321F71">
        <w:rPr>
          <w:rFonts w:ascii="Arial" w:hAnsi="Arial" w:cs="Arial"/>
          <w:lang w:val="es-CR"/>
        </w:rPr>
        <w:t>mujeres</w:t>
      </w:r>
      <w:r w:rsidR="00475BBF">
        <w:rPr>
          <w:rFonts w:ascii="Arial" w:hAnsi="Arial" w:cs="Arial"/>
          <w:lang w:val="es-CR"/>
        </w:rPr>
        <w:t>.</w:t>
      </w:r>
      <w:r w:rsidR="00475BBF" w:rsidRPr="00AA4FAB">
        <w:rPr>
          <w:lang w:val="es-CR"/>
        </w:rPr>
        <w:t xml:space="preserve"> </w:t>
      </w:r>
      <w:r w:rsidRPr="00B65B68">
        <w:rPr>
          <w:rFonts w:ascii="Arial" w:hAnsi="Arial" w:cs="Arial"/>
          <w:lang w:val="es-CR"/>
        </w:rPr>
        <w:t>Otras con</w:t>
      </w:r>
      <w:r>
        <w:rPr>
          <w:rFonts w:ascii="Arial" w:hAnsi="Arial" w:cs="Arial"/>
          <w:lang w:val="es-CR"/>
        </w:rPr>
        <w:t xml:space="preserve">diciones </w:t>
      </w:r>
      <w:r w:rsidR="00475BBF" w:rsidRPr="00AA4FAB">
        <w:rPr>
          <w:rFonts w:ascii="Arial" w:hAnsi="Arial" w:cs="Arial"/>
          <w:lang w:val="es-CR"/>
        </w:rPr>
        <w:t xml:space="preserve">asociadas a </w:t>
      </w:r>
      <w:r>
        <w:rPr>
          <w:rFonts w:ascii="Arial" w:hAnsi="Arial" w:cs="Arial"/>
          <w:lang w:val="es-CR"/>
        </w:rPr>
        <w:t xml:space="preserve">un </w:t>
      </w:r>
      <w:r w:rsidR="00475BBF" w:rsidRPr="00AA4FAB">
        <w:rPr>
          <w:rFonts w:ascii="Arial" w:hAnsi="Arial" w:cs="Arial"/>
          <w:lang w:val="es-CR"/>
        </w:rPr>
        <w:t xml:space="preserve">mayor riesgo de </w:t>
      </w:r>
      <w:r w:rsidR="00475BBF">
        <w:rPr>
          <w:rFonts w:ascii="Arial" w:hAnsi="Arial" w:cs="Arial"/>
          <w:lang w:val="es-CR"/>
        </w:rPr>
        <w:t xml:space="preserve">neumonía </w:t>
      </w:r>
      <w:r w:rsidR="009C24FE">
        <w:rPr>
          <w:rFonts w:ascii="Arial" w:hAnsi="Arial" w:cs="Arial"/>
          <w:lang w:val="es-CR"/>
        </w:rPr>
        <w:t xml:space="preserve">son: </w:t>
      </w:r>
      <w:r w:rsidR="00475BBF" w:rsidRPr="00AA4FAB">
        <w:rPr>
          <w:rFonts w:ascii="Arial" w:hAnsi="Arial" w:cs="Arial"/>
          <w:lang w:val="es-CR"/>
        </w:rPr>
        <w:t xml:space="preserve">la edad, las enfermedades cardíacas </w:t>
      </w:r>
      <w:r w:rsidR="009C24FE">
        <w:rPr>
          <w:rFonts w:ascii="Arial" w:hAnsi="Arial" w:cs="Arial"/>
          <w:lang w:val="es-CR"/>
        </w:rPr>
        <w:t>o</w:t>
      </w:r>
      <w:r w:rsidR="00475BBF" w:rsidRPr="00AA4FAB">
        <w:rPr>
          <w:rFonts w:ascii="Arial" w:hAnsi="Arial" w:cs="Arial"/>
          <w:lang w:val="es-CR"/>
        </w:rPr>
        <w:t xml:space="preserve"> respiratorias crónicas, enfermedad renal, enfermedad hepática, diabetes mellitus, </w:t>
      </w:r>
      <w:r w:rsidR="009C24FE">
        <w:rPr>
          <w:rFonts w:ascii="Arial" w:hAnsi="Arial" w:cs="Arial"/>
          <w:lang w:val="es-CR"/>
        </w:rPr>
        <w:t>cáncer</w:t>
      </w:r>
      <w:r w:rsidR="00475BBF" w:rsidRPr="00AA4FAB">
        <w:rPr>
          <w:rFonts w:ascii="Arial" w:hAnsi="Arial" w:cs="Arial"/>
          <w:lang w:val="es-CR"/>
        </w:rPr>
        <w:t>, el tabaquismo, la infección por HIV, el consumo de medica</w:t>
      </w:r>
      <w:r w:rsidR="009C24FE">
        <w:rPr>
          <w:rFonts w:ascii="Arial" w:hAnsi="Arial" w:cs="Arial"/>
          <w:lang w:val="es-CR"/>
        </w:rPr>
        <w:t xml:space="preserve">mentos </w:t>
      </w:r>
      <w:r w:rsidR="00475BBF" w:rsidRPr="00AA4FAB">
        <w:rPr>
          <w:rFonts w:ascii="Arial" w:hAnsi="Arial" w:cs="Arial"/>
          <w:lang w:val="es-CR"/>
        </w:rPr>
        <w:t>como los corticoides inhalados o los inhibidores de la bomba de protones y condiciones como el mieloma múltiple, la hipogammaglobulinemia</w:t>
      </w:r>
      <w:r w:rsidR="00475BBF">
        <w:rPr>
          <w:rFonts w:ascii="Arial" w:hAnsi="Arial" w:cs="Arial"/>
          <w:lang w:val="es-CR"/>
        </w:rPr>
        <w:t>,</w:t>
      </w:r>
      <w:r w:rsidR="00475BBF" w:rsidRPr="00F25A9C">
        <w:rPr>
          <w:lang w:val="es-CR"/>
        </w:rPr>
        <w:t xml:space="preserve"> </w:t>
      </w:r>
      <w:r w:rsidR="00475BBF" w:rsidRPr="00F25A9C">
        <w:rPr>
          <w:rFonts w:ascii="Arial" w:hAnsi="Arial" w:cs="Arial"/>
          <w:lang w:val="es-CR"/>
        </w:rPr>
        <w:t>d</w:t>
      </w:r>
      <w:r w:rsidR="00475BBF">
        <w:rPr>
          <w:rFonts w:ascii="Arial" w:hAnsi="Arial" w:cs="Arial"/>
          <w:lang w:val="es-CR"/>
        </w:rPr>
        <w:t>isminución</w:t>
      </w:r>
      <w:r w:rsidR="00475BBF" w:rsidRPr="00F25A9C">
        <w:rPr>
          <w:rFonts w:ascii="Arial" w:hAnsi="Arial" w:cs="Arial"/>
          <w:lang w:val="es-CR"/>
        </w:rPr>
        <w:t xml:space="preserve"> de la albúmina sérica </w:t>
      </w:r>
      <w:r w:rsidR="00475BBF" w:rsidRPr="00AA4FAB">
        <w:rPr>
          <w:rFonts w:ascii="Arial" w:hAnsi="Arial" w:cs="Arial"/>
          <w:lang w:val="es-CR"/>
        </w:rPr>
        <w:t xml:space="preserve">y la </w:t>
      </w:r>
      <w:r w:rsidR="009C24FE">
        <w:rPr>
          <w:rFonts w:ascii="Arial" w:hAnsi="Arial" w:cs="Arial"/>
          <w:lang w:val="es-CR"/>
        </w:rPr>
        <w:t>extirpación del bazo.</w:t>
      </w:r>
    </w:p>
    <w:p w:rsidR="00475BBF" w:rsidRDefault="00475BBF" w:rsidP="00475BBF">
      <w:pPr>
        <w:spacing w:line="276" w:lineRule="auto"/>
        <w:jc w:val="both"/>
        <w:rPr>
          <w:rFonts w:ascii="Arial" w:hAnsi="Arial" w:cs="Arial"/>
          <w:lang w:val="es-CR"/>
        </w:rPr>
      </w:pPr>
      <w:r>
        <w:rPr>
          <w:rFonts w:ascii="Arial" w:hAnsi="Arial" w:cs="Arial"/>
          <w:lang w:val="es-CR"/>
        </w:rPr>
        <w:t>En el país, para el período 2014-2018, se notificaron 15</w:t>
      </w:r>
      <w:r w:rsidR="009C24FE">
        <w:rPr>
          <w:rFonts w:ascii="Arial" w:hAnsi="Arial" w:cs="Arial"/>
          <w:lang w:val="es-CR"/>
        </w:rPr>
        <w:t>.</w:t>
      </w:r>
      <w:r>
        <w:rPr>
          <w:rFonts w:ascii="Arial" w:hAnsi="Arial" w:cs="Arial"/>
          <w:lang w:val="es-CR"/>
        </w:rPr>
        <w:t xml:space="preserve">656 casos de neumonía, </w:t>
      </w:r>
      <w:r w:rsidR="009C24FE">
        <w:rPr>
          <w:rFonts w:ascii="Arial" w:hAnsi="Arial" w:cs="Arial"/>
          <w:lang w:val="es-CR"/>
        </w:rPr>
        <w:t>con</w:t>
      </w:r>
      <w:r>
        <w:rPr>
          <w:rFonts w:ascii="Arial" w:hAnsi="Arial" w:cs="Arial"/>
          <w:lang w:val="es-CR"/>
        </w:rPr>
        <w:t xml:space="preserve"> una incidencia promedio de 63,6 casos por 100</w:t>
      </w:r>
      <w:r w:rsidR="009E51D7">
        <w:rPr>
          <w:rFonts w:ascii="Arial" w:hAnsi="Arial" w:cs="Arial"/>
          <w:lang w:val="es-CR"/>
        </w:rPr>
        <w:t>.</w:t>
      </w:r>
      <w:r>
        <w:rPr>
          <w:rFonts w:ascii="Arial" w:hAnsi="Arial" w:cs="Arial"/>
          <w:lang w:val="es-CR"/>
        </w:rPr>
        <w:t xml:space="preserve">000 habitantes. </w:t>
      </w:r>
      <w:r w:rsidR="009C24FE">
        <w:rPr>
          <w:rFonts w:ascii="Arial" w:hAnsi="Arial" w:cs="Arial"/>
          <w:lang w:val="es-CR"/>
        </w:rPr>
        <w:t>E</w:t>
      </w:r>
      <w:r>
        <w:rPr>
          <w:rFonts w:ascii="Arial" w:hAnsi="Arial" w:cs="Arial"/>
          <w:lang w:val="es-CR"/>
        </w:rPr>
        <w:t xml:space="preserve">n los últimos tres años ha </w:t>
      </w:r>
      <w:r w:rsidR="009C24FE">
        <w:rPr>
          <w:rFonts w:ascii="Arial" w:hAnsi="Arial" w:cs="Arial"/>
          <w:lang w:val="es-CR"/>
        </w:rPr>
        <w:t xml:space="preserve">habido una tendencia al </w:t>
      </w:r>
      <w:r>
        <w:rPr>
          <w:rFonts w:ascii="Arial" w:hAnsi="Arial" w:cs="Arial"/>
          <w:lang w:val="es-CR"/>
        </w:rPr>
        <w:t>aumento, pasando de una tasa de 55,9 casos en el año 2016, a 97,5 casos por 100</w:t>
      </w:r>
      <w:r w:rsidR="009C24FE">
        <w:rPr>
          <w:rFonts w:ascii="Arial" w:hAnsi="Arial" w:cs="Arial"/>
          <w:lang w:val="es-CR"/>
        </w:rPr>
        <w:t>.</w:t>
      </w:r>
      <w:r>
        <w:rPr>
          <w:rFonts w:ascii="Arial" w:hAnsi="Arial" w:cs="Arial"/>
          <w:lang w:val="es-CR"/>
        </w:rPr>
        <w:t>000 habitantes en el año 2018.</w:t>
      </w:r>
      <w:r w:rsidR="00565D43">
        <w:rPr>
          <w:rFonts w:ascii="Arial" w:hAnsi="Arial" w:cs="Arial"/>
          <w:lang w:val="es-CR"/>
        </w:rPr>
        <w:t xml:space="preserve"> Gráfico </w:t>
      </w:r>
      <w:r w:rsidR="009E51D7">
        <w:rPr>
          <w:rFonts w:ascii="Arial" w:hAnsi="Arial" w:cs="Arial"/>
          <w:lang w:val="es-CR"/>
        </w:rPr>
        <w:t>33</w:t>
      </w:r>
      <w:r w:rsidR="00565D43">
        <w:rPr>
          <w:rFonts w:ascii="Arial" w:hAnsi="Arial" w:cs="Arial"/>
          <w:lang w:val="es-CR"/>
        </w:rPr>
        <w:t>.</w:t>
      </w:r>
    </w:p>
    <w:p w:rsidR="00475BBF" w:rsidRDefault="00475BBF" w:rsidP="00475BBF">
      <w:pPr>
        <w:spacing w:line="276" w:lineRule="auto"/>
        <w:jc w:val="both"/>
        <w:rPr>
          <w:rFonts w:ascii="Arial" w:hAnsi="Arial" w:cs="Arial"/>
          <w:lang w:val="es-CR"/>
        </w:rPr>
      </w:pPr>
    </w:p>
    <w:p w:rsidR="00475BBF" w:rsidRPr="009C24FE" w:rsidRDefault="009C24FE" w:rsidP="009C24FE">
      <w:pPr>
        <w:jc w:val="center"/>
        <w:rPr>
          <w:rFonts w:ascii="Arial" w:hAnsi="Arial" w:cs="Arial"/>
          <w:b/>
          <w:lang w:val="es-CR"/>
        </w:rPr>
      </w:pPr>
      <w:r w:rsidRPr="009C24FE">
        <w:rPr>
          <w:rFonts w:ascii="Arial" w:hAnsi="Arial" w:cs="Arial"/>
          <w:b/>
          <w:lang w:val="es-CR"/>
        </w:rPr>
        <w:t xml:space="preserve">Gráfico </w:t>
      </w:r>
      <w:r w:rsidR="009E51D7">
        <w:rPr>
          <w:rFonts w:ascii="Arial" w:hAnsi="Arial" w:cs="Arial"/>
          <w:b/>
          <w:lang w:val="es-CR"/>
        </w:rPr>
        <w:t>33</w:t>
      </w:r>
    </w:p>
    <w:p w:rsidR="00475BBF" w:rsidRPr="009C24FE" w:rsidRDefault="00475BBF" w:rsidP="009C24FE">
      <w:pPr>
        <w:widowControl w:val="0"/>
        <w:jc w:val="center"/>
        <w:rPr>
          <w:rFonts w:ascii="Arial" w:eastAsia="Calibri" w:hAnsi="Arial" w:cs="Arial"/>
          <w:b/>
          <w:lang w:val="es-CR"/>
        </w:rPr>
      </w:pPr>
      <w:r w:rsidRPr="009C24FE">
        <w:rPr>
          <w:rFonts w:ascii="Arial" w:eastAsia="Calibri" w:hAnsi="Arial" w:cs="Arial"/>
          <w:b/>
          <w:lang w:val="es-CR"/>
        </w:rPr>
        <w:t xml:space="preserve">Costa Rica: </w:t>
      </w:r>
      <w:r w:rsidR="009C24FE">
        <w:rPr>
          <w:rFonts w:ascii="Arial" w:eastAsia="Calibri" w:hAnsi="Arial" w:cs="Arial"/>
          <w:b/>
          <w:lang w:val="es-CR"/>
        </w:rPr>
        <w:t>Tasa de i</w:t>
      </w:r>
      <w:r w:rsidRPr="009C24FE">
        <w:rPr>
          <w:rFonts w:ascii="Arial" w:eastAsia="Calibri" w:hAnsi="Arial" w:cs="Arial"/>
          <w:b/>
          <w:lang w:val="es-CR"/>
        </w:rPr>
        <w:t>ncidencia de neumonía, 2014-2018.</w:t>
      </w:r>
    </w:p>
    <w:p w:rsidR="00475BBF" w:rsidRPr="00DA7916" w:rsidRDefault="00475BBF" w:rsidP="00475BBF">
      <w:pPr>
        <w:spacing w:line="360" w:lineRule="auto"/>
        <w:jc w:val="center"/>
        <w:rPr>
          <w:rFonts w:ascii="Arial" w:eastAsia="Calibri" w:hAnsi="Arial" w:cs="Arial"/>
          <w:sz w:val="18"/>
          <w:szCs w:val="18"/>
          <w:lang w:val="es-CR"/>
        </w:rPr>
      </w:pPr>
      <w:r w:rsidRPr="00DA7916">
        <w:rPr>
          <w:rFonts w:ascii="Arial" w:eastAsia="Calibri" w:hAnsi="Arial" w:cs="Arial"/>
          <w:sz w:val="18"/>
          <w:szCs w:val="18"/>
          <w:lang w:val="es-CR"/>
        </w:rPr>
        <w:t>(</w:t>
      </w:r>
      <w:r w:rsidR="009C24FE">
        <w:rPr>
          <w:rFonts w:ascii="Arial" w:eastAsia="Calibri" w:hAnsi="Arial" w:cs="Arial"/>
          <w:sz w:val="18"/>
          <w:szCs w:val="18"/>
          <w:lang w:val="es-CR"/>
        </w:rPr>
        <w:t>t</w:t>
      </w:r>
      <w:r w:rsidRPr="00DA7916">
        <w:rPr>
          <w:rFonts w:ascii="Arial" w:eastAsia="Calibri" w:hAnsi="Arial" w:cs="Arial"/>
          <w:sz w:val="18"/>
          <w:szCs w:val="18"/>
          <w:lang w:val="es-CR"/>
        </w:rPr>
        <w:t>asa por 100.000 habitantes)</w:t>
      </w:r>
    </w:p>
    <w:p w:rsidR="00475BBF" w:rsidRDefault="00475BBF" w:rsidP="00475BBF">
      <w:pPr>
        <w:spacing w:line="360" w:lineRule="auto"/>
        <w:jc w:val="center"/>
        <w:rPr>
          <w:rFonts w:ascii="Arial" w:hAnsi="Arial" w:cs="Arial"/>
          <w:lang w:val="es-CR"/>
        </w:rPr>
      </w:pPr>
      <w:r>
        <w:rPr>
          <w:noProof/>
          <w:lang w:val="es-CR" w:eastAsia="es-CR"/>
        </w:rPr>
        <w:drawing>
          <wp:inline distT="0" distB="0" distL="0" distR="0" wp14:anchorId="1B99C822" wp14:editId="759F727A">
            <wp:extent cx="5303520" cy="2245057"/>
            <wp:effectExtent l="0" t="0" r="0" b="3175"/>
            <wp:docPr id="109" name="Gráfico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475BBF" w:rsidRPr="002D60F4" w:rsidRDefault="00475BBF" w:rsidP="00475BBF">
      <w:pPr>
        <w:widowControl w:val="0"/>
        <w:spacing w:line="360" w:lineRule="auto"/>
        <w:jc w:val="center"/>
        <w:rPr>
          <w:rFonts w:ascii="Arial" w:eastAsia="Calibri" w:hAnsi="Arial" w:cs="Arial"/>
          <w:sz w:val="20"/>
          <w:szCs w:val="20"/>
          <w:lang w:val="es-CR"/>
        </w:rPr>
      </w:pPr>
      <w:r w:rsidRPr="009C24FE">
        <w:rPr>
          <w:rFonts w:ascii="Arial" w:eastAsia="Calibri" w:hAnsi="Arial" w:cs="Arial"/>
          <w:b/>
          <w:sz w:val="20"/>
          <w:szCs w:val="20"/>
          <w:lang w:val="es-CR"/>
        </w:rPr>
        <w:t>Fuente:</w:t>
      </w:r>
      <w:r>
        <w:rPr>
          <w:rFonts w:ascii="Arial" w:eastAsia="Calibri" w:hAnsi="Arial" w:cs="Arial"/>
          <w:sz w:val="20"/>
          <w:szCs w:val="20"/>
          <w:lang w:val="es-CR"/>
        </w:rPr>
        <w:t xml:space="preserve"> </w:t>
      </w:r>
      <w:r w:rsidRPr="002C21BC">
        <w:rPr>
          <w:rFonts w:ascii="Arial" w:eastAsia="Calibri" w:hAnsi="Arial" w:cs="Arial"/>
          <w:sz w:val="20"/>
          <w:szCs w:val="20"/>
          <w:lang w:val="es-CR"/>
        </w:rPr>
        <w:t xml:space="preserve">Dirección Vigilancia de la Salud, </w:t>
      </w:r>
      <w:r>
        <w:rPr>
          <w:rFonts w:ascii="Arial" w:eastAsia="Calibri" w:hAnsi="Arial" w:cs="Arial"/>
          <w:sz w:val="20"/>
          <w:szCs w:val="20"/>
          <w:lang w:val="es-CR"/>
        </w:rPr>
        <w:t>Ministerio de Salud</w:t>
      </w:r>
      <w:r w:rsidR="009C24FE">
        <w:rPr>
          <w:rFonts w:ascii="Arial" w:eastAsia="Calibri" w:hAnsi="Arial" w:cs="Arial"/>
          <w:sz w:val="20"/>
          <w:szCs w:val="20"/>
          <w:lang w:val="es-CR"/>
        </w:rPr>
        <w:t>, 2019.</w:t>
      </w:r>
    </w:p>
    <w:p w:rsidR="00475BBF" w:rsidRDefault="00475BBF" w:rsidP="00475BBF">
      <w:pPr>
        <w:spacing w:line="360" w:lineRule="auto"/>
        <w:rPr>
          <w:rFonts w:ascii="Arial" w:hAnsi="Arial" w:cs="Arial"/>
          <w:lang w:val="es-CR"/>
        </w:rPr>
      </w:pPr>
    </w:p>
    <w:p w:rsidR="00475BBF" w:rsidRDefault="00475BBF" w:rsidP="00EC5F4A">
      <w:pPr>
        <w:spacing w:line="276" w:lineRule="auto"/>
        <w:jc w:val="both"/>
        <w:rPr>
          <w:lang w:val="es-CR"/>
        </w:rPr>
      </w:pPr>
      <w:r>
        <w:rPr>
          <w:rFonts w:ascii="Arial" w:hAnsi="Arial" w:cs="Arial"/>
          <w:lang w:val="es-CR"/>
        </w:rPr>
        <w:lastRenderedPageBreak/>
        <w:t>Las provincias de Guanacaste, San José, y</w:t>
      </w:r>
      <w:r w:rsidRPr="00614A10">
        <w:rPr>
          <w:rFonts w:ascii="Arial" w:hAnsi="Arial" w:cs="Arial"/>
          <w:lang w:val="es-CR"/>
        </w:rPr>
        <w:t xml:space="preserve"> Alajuela aportaron el </w:t>
      </w:r>
      <w:r>
        <w:rPr>
          <w:rFonts w:ascii="Arial" w:hAnsi="Arial" w:cs="Arial"/>
          <w:lang w:val="es-CR"/>
        </w:rPr>
        <w:t>69,9</w:t>
      </w:r>
      <w:r w:rsidRPr="00614A10">
        <w:rPr>
          <w:rFonts w:ascii="Arial" w:hAnsi="Arial" w:cs="Arial"/>
          <w:lang w:val="es-CR"/>
        </w:rPr>
        <w:t xml:space="preserve">% de los </w:t>
      </w:r>
      <w:r>
        <w:rPr>
          <w:rFonts w:ascii="Arial" w:hAnsi="Arial" w:cs="Arial"/>
          <w:lang w:val="es-CR"/>
        </w:rPr>
        <w:t>casos de neumonía para el quinquenio</w:t>
      </w:r>
      <w:r w:rsidRPr="00614A10">
        <w:rPr>
          <w:rFonts w:ascii="Arial" w:hAnsi="Arial" w:cs="Arial"/>
          <w:lang w:val="es-CR"/>
        </w:rPr>
        <w:t xml:space="preserve">, </w:t>
      </w:r>
      <w:r>
        <w:rPr>
          <w:rFonts w:ascii="Arial" w:hAnsi="Arial" w:cs="Arial"/>
          <w:lang w:val="es-CR"/>
        </w:rPr>
        <w:t>registrando</w:t>
      </w:r>
      <w:r w:rsidRPr="00614A10">
        <w:rPr>
          <w:rFonts w:ascii="Arial" w:hAnsi="Arial" w:cs="Arial"/>
          <w:lang w:val="es-CR"/>
        </w:rPr>
        <w:t xml:space="preserve"> tasas de </w:t>
      </w:r>
      <w:r>
        <w:rPr>
          <w:rFonts w:ascii="Arial" w:hAnsi="Arial" w:cs="Arial"/>
          <w:lang w:val="es-CR"/>
        </w:rPr>
        <w:t xml:space="preserve">97,80 y 54,80 </w:t>
      </w:r>
      <w:r w:rsidRPr="00614A10">
        <w:rPr>
          <w:rFonts w:ascii="Arial" w:hAnsi="Arial" w:cs="Arial"/>
          <w:lang w:val="es-CR"/>
        </w:rPr>
        <w:t xml:space="preserve">por cien mil habitantes </w:t>
      </w:r>
      <w:r>
        <w:rPr>
          <w:rFonts w:ascii="Arial" w:hAnsi="Arial" w:cs="Arial"/>
          <w:lang w:val="es-CR"/>
        </w:rPr>
        <w:t>respectivamente.</w:t>
      </w:r>
      <w:r w:rsidRPr="00614A10">
        <w:rPr>
          <w:rFonts w:ascii="Arial" w:hAnsi="Arial" w:cs="Arial"/>
          <w:lang w:val="es-CR"/>
        </w:rPr>
        <w:t xml:space="preserve"> </w:t>
      </w:r>
      <w:r w:rsidRPr="0036319F">
        <w:rPr>
          <w:rFonts w:ascii="Arial" w:eastAsia="Times New Roman" w:hAnsi="Arial" w:cs="Arial"/>
          <w:lang w:val="es-ES" w:eastAsia="es-ES"/>
        </w:rPr>
        <w:t xml:space="preserve">Los cantones con las tasas </w:t>
      </w:r>
      <w:r>
        <w:rPr>
          <w:rFonts w:ascii="Arial" w:eastAsia="Times New Roman" w:hAnsi="Arial" w:cs="Arial"/>
          <w:lang w:val="es-ES" w:eastAsia="es-ES"/>
        </w:rPr>
        <w:t xml:space="preserve">más altas </w:t>
      </w:r>
      <w:r w:rsidRPr="0036319F">
        <w:rPr>
          <w:rFonts w:ascii="Arial" w:eastAsia="Times New Roman" w:hAnsi="Arial" w:cs="Arial"/>
          <w:lang w:val="es-ES" w:eastAsia="es-ES"/>
        </w:rPr>
        <w:t>p</w:t>
      </w:r>
      <w:r>
        <w:rPr>
          <w:rFonts w:ascii="Arial" w:eastAsia="Times New Roman" w:hAnsi="Arial" w:cs="Arial"/>
          <w:lang w:val="es-ES" w:eastAsia="es-ES"/>
        </w:rPr>
        <w:t xml:space="preserve">or cien mil habitantes en el quinquenio, </w:t>
      </w:r>
      <w:r w:rsidR="00EC5F4A">
        <w:rPr>
          <w:rFonts w:ascii="Arial" w:eastAsia="Times New Roman" w:hAnsi="Arial" w:cs="Arial"/>
          <w:lang w:val="es-ES" w:eastAsia="es-ES"/>
        </w:rPr>
        <w:t xml:space="preserve">fueron </w:t>
      </w:r>
      <w:r>
        <w:rPr>
          <w:rFonts w:ascii="Arial" w:eastAsia="Times New Roman" w:hAnsi="Arial" w:cs="Arial"/>
          <w:lang w:val="es-ES" w:eastAsia="es-ES"/>
        </w:rPr>
        <w:t>Coronado</w:t>
      </w:r>
      <w:r w:rsidR="00EC5F4A">
        <w:rPr>
          <w:rFonts w:ascii="Arial" w:eastAsia="Times New Roman" w:hAnsi="Arial" w:cs="Arial"/>
          <w:lang w:val="es-ES" w:eastAsia="es-ES"/>
        </w:rPr>
        <w:t xml:space="preserve"> y Tarrazú, de la provincia de San José y </w:t>
      </w:r>
      <w:r>
        <w:rPr>
          <w:rFonts w:ascii="Arial" w:eastAsia="Times New Roman" w:hAnsi="Arial" w:cs="Arial"/>
          <w:lang w:val="es-ES" w:eastAsia="es-ES"/>
        </w:rPr>
        <w:t xml:space="preserve">Liberia </w:t>
      </w:r>
      <w:r w:rsidR="00EC5F4A">
        <w:rPr>
          <w:rFonts w:ascii="Arial" w:eastAsia="Times New Roman" w:hAnsi="Arial" w:cs="Arial"/>
          <w:lang w:val="es-ES" w:eastAsia="es-ES"/>
        </w:rPr>
        <w:t>de la provincia de Guanacaste.</w:t>
      </w:r>
      <w:r>
        <w:rPr>
          <w:rFonts w:ascii="Arial" w:eastAsia="Times New Roman" w:hAnsi="Arial" w:cs="Arial"/>
          <w:lang w:val="es-ES" w:eastAsia="es-ES"/>
        </w:rPr>
        <w:t xml:space="preserve"> </w:t>
      </w:r>
    </w:p>
    <w:p w:rsidR="00475BBF" w:rsidRDefault="00475BBF" w:rsidP="00475BBF">
      <w:pPr>
        <w:widowControl w:val="0"/>
        <w:spacing w:line="276" w:lineRule="auto"/>
        <w:jc w:val="both"/>
        <w:rPr>
          <w:rFonts w:ascii="Arial" w:eastAsia="Times New Roman" w:hAnsi="Arial" w:cs="Arial"/>
          <w:lang w:val="es-ES" w:eastAsia="es-ES"/>
        </w:rPr>
      </w:pPr>
    </w:p>
    <w:p w:rsidR="00475BBF" w:rsidRPr="00703AD0" w:rsidRDefault="00475BBF" w:rsidP="00EC5F4A">
      <w:pPr>
        <w:spacing w:line="276" w:lineRule="auto"/>
        <w:jc w:val="both"/>
        <w:rPr>
          <w:rFonts w:ascii="Arial" w:hAnsi="Arial" w:cs="Arial"/>
          <w:lang w:val="es-ES"/>
        </w:rPr>
      </w:pPr>
      <w:r>
        <w:rPr>
          <w:rFonts w:ascii="Arial" w:hAnsi="Arial" w:cs="Arial"/>
          <w:lang w:val="es-ES"/>
        </w:rPr>
        <w:t xml:space="preserve">Los casos </w:t>
      </w:r>
      <w:r w:rsidR="00EC5F4A">
        <w:rPr>
          <w:rFonts w:ascii="Arial" w:hAnsi="Arial" w:cs="Arial"/>
          <w:lang w:val="es-ES"/>
        </w:rPr>
        <w:t>de</w:t>
      </w:r>
      <w:r>
        <w:rPr>
          <w:rFonts w:ascii="Arial" w:hAnsi="Arial" w:cs="Arial"/>
          <w:lang w:val="es-ES"/>
        </w:rPr>
        <w:t xml:space="preserve"> neumonía se presentaron en su mayoría en el sexo femenino, </w:t>
      </w:r>
      <w:r w:rsidR="00EC5F4A">
        <w:rPr>
          <w:rFonts w:ascii="Arial" w:hAnsi="Arial" w:cs="Arial"/>
          <w:lang w:val="es-ES"/>
        </w:rPr>
        <w:t xml:space="preserve">con </w:t>
      </w:r>
      <w:r>
        <w:rPr>
          <w:rFonts w:ascii="Arial" w:hAnsi="Arial" w:cs="Arial"/>
          <w:lang w:val="es-ES"/>
        </w:rPr>
        <w:t>una tasa promedio de 66,1 casos por cien mil habitantes.</w:t>
      </w:r>
    </w:p>
    <w:p w:rsidR="00475BBF" w:rsidRDefault="00475BBF" w:rsidP="00475BBF">
      <w:pPr>
        <w:jc w:val="both"/>
        <w:rPr>
          <w:rFonts w:ascii="Arial" w:hAnsi="Arial" w:cs="Arial"/>
          <w:lang w:val="es-ES"/>
        </w:rPr>
      </w:pPr>
    </w:p>
    <w:p w:rsidR="00475BBF" w:rsidRDefault="00EC5F4A" w:rsidP="00EC5F4A">
      <w:pPr>
        <w:spacing w:line="276" w:lineRule="auto"/>
        <w:jc w:val="both"/>
        <w:rPr>
          <w:rFonts w:ascii="Arial" w:hAnsi="Arial" w:cs="Arial"/>
          <w:lang w:val="es-ES"/>
        </w:rPr>
      </w:pPr>
      <w:r>
        <w:rPr>
          <w:rFonts w:ascii="Arial" w:hAnsi="Arial" w:cs="Arial"/>
          <w:lang w:val="es-ES"/>
        </w:rPr>
        <w:t>L</w:t>
      </w:r>
      <w:r w:rsidR="00475BBF">
        <w:rPr>
          <w:rFonts w:ascii="Arial" w:hAnsi="Arial" w:cs="Arial"/>
          <w:lang w:val="es-ES"/>
        </w:rPr>
        <w:t>os casos de neumonía se registra</w:t>
      </w:r>
      <w:r>
        <w:rPr>
          <w:rFonts w:ascii="Arial" w:hAnsi="Arial" w:cs="Arial"/>
          <w:lang w:val="es-ES"/>
        </w:rPr>
        <w:t xml:space="preserve">ron </w:t>
      </w:r>
      <w:r w:rsidR="00475BBF">
        <w:rPr>
          <w:rFonts w:ascii="Arial" w:hAnsi="Arial" w:cs="Arial"/>
          <w:lang w:val="es-ES"/>
        </w:rPr>
        <w:t>en todos los grupos de edad, sin embargo, las incidencias más altas se presentaron en los menores de 1 año y el grupo de 75 años y más, con tasas de 423,4 y 591,2 casos por cien mil habitantes, respectivamente.</w:t>
      </w:r>
      <w:r w:rsidR="00AC5E73">
        <w:rPr>
          <w:rFonts w:ascii="Arial" w:hAnsi="Arial" w:cs="Arial"/>
          <w:lang w:val="es-ES"/>
        </w:rPr>
        <w:t xml:space="preserve"> Gráfico 3</w:t>
      </w:r>
      <w:r w:rsidR="009E51D7">
        <w:rPr>
          <w:rFonts w:ascii="Arial" w:hAnsi="Arial" w:cs="Arial"/>
          <w:lang w:val="es-ES"/>
        </w:rPr>
        <w:t>4</w:t>
      </w:r>
      <w:r w:rsidR="00AC5E73">
        <w:rPr>
          <w:rFonts w:ascii="Arial" w:hAnsi="Arial" w:cs="Arial"/>
          <w:lang w:val="es-ES"/>
        </w:rPr>
        <w:t>.</w:t>
      </w:r>
    </w:p>
    <w:p w:rsidR="00475BBF" w:rsidRDefault="00475BBF" w:rsidP="00475BBF">
      <w:pPr>
        <w:spacing w:line="360" w:lineRule="auto"/>
        <w:rPr>
          <w:rFonts w:ascii="Arial" w:hAnsi="Arial" w:cs="Arial"/>
          <w:lang w:val="es-ES"/>
        </w:rPr>
      </w:pPr>
    </w:p>
    <w:p w:rsidR="00475BBF" w:rsidRPr="00AC5E73" w:rsidRDefault="00475BBF" w:rsidP="00AC5E73">
      <w:pPr>
        <w:jc w:val="center"/>
        <w:rPr>
          <w:rFonts w:ascii="Arial" w:hAnsi="Arial" w:cs="Arial"/>
          <w:b/>
          <w:lang w:val="es-ES"/>
        </w:rPr>
      </w:pPr>
      <w:r w:rsidRPr="00AC5E73">
        <w:rPr>
          <w:rFonts w:ascii="Arial" w:hAnsi="Arial" w:cs="Arial"/>
          <w:b/>
          <w:lang w:val="es-ES"/>
        </w:rPr>
        <w:t xml:space="preserve">Gráfico </w:t>
      </w:r>
      <w:r w:rsidR="00EC5F4A" w:rsidRPr="00AC5E73">
        <w:rPr>
          <w:rFonts w:ascii="Arial" w:hAnsi="Arial" w:cs="Arial"/>
          <w:b/>
          <w:lang w:val="es-ES"/>
        </w:rPr>
        <w:t>3</w:t>
      </w:r>
      <w:r w:rsidR="009E51D7">
        <w:rPr>
          <w:rFonts w:ascii="Arial" w:hAnsi="Arial" w:cs="Arial"/>
          <w:b/>
          <w:lang w:val="es-ES"/>
        </w:rPr>
        <w:t>4</w:t>
      </w:r>
    </w:p>
    <w:p w:rsidR="00AC5E73" w:rsidRDefault="00475BBF" w:rsidP="00AC5E73">
      <w:pPr>
        <w:jc w:val="center"/>
        <w:rPr>
          <w:rFonts w:ascii="Arial" w:eastAsia="Calibri" w:hAnsi="Arial" w:cs="Arial"/>
          <w:b/>
          <w:lang w:val="es-CR"/>
        </w:rPr>
      </w:pPr>
      <w:r w:rsidRPr="00AC5E73">
        <w:rPr>
          <w:rFonts w:ascii="Arial" w:eastAsia="Calibri" w:hAnsi="Arial" w:cs="Arial"/>
          <w:b/>
          <w:lang w:val="es-CR"/>
        </w:rPr>
        <w:t xml:space="preserve">Costa Rica: Incidencia de casos de neumonía, </w:t>
      </w:r>
    </w:p>
    <w:p w:rsidR="00475BBF" w:rsidRPr="00AC5E73" w:rsidRDefault="00475BBF" w:rsidP="00AC5E73">
      <w:pPr>
        <w:jc w:val="center"/>
        <w:rPr>
          <w:rFonts w:ascii="Arial" w:eastAsia="Calibri" w:hAnsi="Arial" w:cs="Arial"/>
          <w:b/>
          <w:lang w:val="es-CR"/>
        </w:rPr>
      </w:pPr>
      <w:r w:rsidRPr="00AC5E73">
        <w:rPr>
          <w:rFonts w:ascii="Arial" w:eastAsia="Calibri" w:hAnsi="Arial" w:cs="Arial"/>
          <w:b/>
          <w:lang w:val="es-CR"/>
        </w:rPr>
        <w:t>según grupos de edad, 2014-2018</w:t>
      </w:r>
      <w:r w:rsidR="00AC5E73">
        <w:rPr>
          <w:rFonts w:ascii="Arial" w:eastAsia="Calibri" w:hAnsi="Arial" w:cs="Arial"/>
          <w:b/>
          <w:lang w:val="es-CR"/>
        </w:rPr>
        <w:t>.</w:t>
      </w:r>
    </w:p>
    <w:p w:rsidR="00475BBF" w:rsidRDefault="00475BBF" w:rsidP="00475BBF">
      <w:pPr>
        <w:spacing w:line="276" w:lineRule="auto"/>
        <w:jc w:val="center"/>
        <w:rPr>
          <w:rFonts w:ascii="Arial" w:hAnsi="Arial" w:cs="Arial"/>
          <w:sz w:val="20"/>
          <w:szCs w:val="20"/>
          <w:lang w:val="es-CR"/>
        </w:rPr>
      </w:pPr>
      <w:r w:rsidRPr="005A0691">
        <w:rPr>
          <w:rFonts w:ascii="Arial" w:eastAsia="Calibri" w:hAnsi="Arial" w:cs="Arial"/>
          <w:sz w:val="20"/>
          <w:szCs w:val="20"/>
        </w:rPr>
        <w:t>(</w:t>
      </w:r>
      <w:r w:rsidR="00AC5E73">
        <w:rPr>
          <w:rFonts w:ascii="Arial" w:eastAsia="Calibri" w:hAnsi="Arial" w:cs="Arial"/>
          <w:sz w:val="20"/>
          <w:szCs w:val="20"/>
        </w:rPr>
        <w:t>t</w:t>
      </w:r>
      <w:r w:rsidRPr="005A0691">
        <w:rPr>
          <w:rFonts w:ascii="Arial" w:eastAsia="Calibri" w:hAnsi="Arial" w:cs="Arial"/>
          <w:sz w:val="20"/>
          <w:szCs w:val="20"/>
        </w:rPr>
        <w:t>asa por 100.000 habitantes)</w:t>
      </w:r>
    </w:p>
    <w:p w:rsidR="00475BBF" w:rsidRPr="0016743A" w:rsidRDefault="00475BBF" w:rsidP="00475BBF">
      <w:pPr>
        <w:spacing w:line="360" w:lineRule="auto"/>
        <w:jc w:val="center"/>
        <w:rPr>
          <w:rFonts w:ascii="Arial" w:hAnsi="Arial" w:cs="Arial"/>
          <w:sz w:val="20"/>
          <w:szCs w:val="20"/>
          <w:lang w:val="es-CR"/>
        </w:rPr>
      </w:pPr>
      <w:r>
        <w:rPr>
          <w:noProof/>
          <w:lang w:val="es-CR" w:eastAsia="es-CR"/>
        </w:rPr>
        <w:drawing>
          <wp:inline distT="0" distB="0" distL="0" distR="0" wp14:anchorId="53A8F82B" wp14:editId="14455E71">
            <wp:extent cx="4835769" cy="3117850"/>
            <wp:effectExtent l="0" t="0" r="3175" b="635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475BBF" w:rsidRPr="00AC5E73" w:rsidRDefault="00475BBF" w:rsidP="00AC5E73">
      <w:pPr>
        <w:spacing w:line="360" w:lineRule="auto"/>
        <w:jc w:val="center"/>
        <w:rPr>
          <w:rFonts w:ascii="Arial" w:eastAsia="Calibri" w:hAnsi="Arial" w:cs="Arial"/>
          <w:sz w:val="18"/>
          <w:szCs w:val="18"/>
          <w:lang w:val="es-CR"/>
        </w:rPr>
      </w:pPr>
      <w:r w:rsidRPr="00AC5E73">
        <w:rPr>
          <w:rFonts w:ascii="Arial" w:eastAsia="Calibri" w:hAnsi="Arial" w:cs="Arial"/>
          <w:b/>
          <w:sz w:val="18"/>
          <w:szCs w:val="18"/>
          <w:lang w:val="es-CR"/>
        </w:rPr>
        <w:t>Fuente:</w:t>
      </w:r>
      <w:r w:rsidRPr="00AC5E73">
        <w:rPr>
          <w:rFonts w:ascii="Arial" w:eastAsia="Calibri" w:hAnsi="Arial" w:cs="Arial"/>
          <w:sz w:val="18"/>
          <w:szCs w:val="18"/>
          <w:lang w:val="es-CR"/>
        </w:rPr>
        <w:t xml:space="preserve"> Dirección Vigilancia de la Salud, Ministerio de Salud</w:t>
      </w:r>
      <w:r w:rsidR="00AC5E73" w:rsidRPr="00AC5E73">
        <w:rPr>
          <w:rFonts w:ascii="Arial" w:eastAsia="Calibri" w:hAnsi="Arial" w:cs="Arial"/>
          <w:sz w:val="18"/>
          <w:szCs w:val="18"/>
          <w:lang w:val="es-CR"/>
        </w:rPr>
        <w:t>, 2019.</w:t>
      </w:r>
    </w:p>
    <w:p w:rsidR="00475BBF" w:rsidRDefault="00475BBF" w:rsidP="00475BBF">
      <w:pPr>
        <w:widowControl w:val="0"/>
        <w:jc w:val="both"/>
        <w:rPr>
          <w:rFonts w:ascii="Arial" w:eastAsia="Calibri" w:hAnsi="Arial" w:cs="Arial"/>
          <w:b/>
          <w:lang w:val="es-CR"/>
        </w:rPr>
      </w:pPr>
    </w:p>
    <w:p w:rsidR="00AC5E73" w:rsidRDefault="00AC5E73" w:rsidP="00475BBF">
      <w:pPr>
        <w:widowControl w:val="0"/>
        <w:spacing w:line="360" w:lineRule="auto"/>
        <w:jc w:val="both"/>
        <w:rPr>
          <w:rFonts w:ascii="Arial" w:eastAsia="Times New Roman" w:hAnsi="Arial" w:cs="Arial"/>
          <w:lang w:val="es-ES" w:eastAsia="es-ES"/>
        </w:rPr>
      </w:pPr>
    </w:p>
    <w:p w:rsidR="00AC5E73" w:rsidRDefault="00AC5E73">
      <w:pPr>
        <w:spacing w:after="160" w:line="259" w:lineRule="auto"/>
        <w:rPr>
          <w:rFonts w:ascii="Arial" w:eastAsia="Times New Roman" w:hAnsi="Arial" w:cs="Arial"/>
          <w:lang w:val="es-ES" w:eastAsia="es-ES"/>
        </w:rPr>
      </w:pPr>
      <w:r>
        <w:rPr>
          <w:rFonts w:ascii="Arial" w:eastAsia="Times New Roman" w:hAnsi="Arial" w:cs="Arial"/>
          <w:lang w:val="es-ES" w:eastAsia="es-ES"/>
        </w:rPr>
        <w:br w:type="page"/>
      </w:r>
    </w:p>
    <w:p w:rsidR="00475BBF" w:rsidRDefault="00AC5E73" w:rsidP="006D48B5">
      <w:pPr>
        <w:widowControl w:val="0"/>
        <w:spacing w:after="240" w:line="276" w:lineRule="auto"/>
        <w:jc w:val="both"/>
        <w:rPr>
          <w:rFonts w:ascii="Arial" w:hAnsi="Arial" w:cs="Arial"/>
        </w:rPr>
      </w:pPr>
      <w:r>
        <w:rPr>
          <w:rFonts w:ascii="Arial" w:eastAsia="Times New Roman" w:hAnsi="Arial" w:cs="Arial"/>
          <w:lang w:val="es-ES" w:eastAsia="es-ES"/>
        </w:rPr>
        <w:lastRenderedPageBreak/>
        <w:t>L</w:t>
      </w:r>
      <w:r w:rsidR="00475BBF" w:rsidRPr="00F01AC2">
        <w:rPr>
          <w:rFonts w:ascii="Arial" w:eastAsia="Times New Roman" w:hAnsi="Arial" w:cs="Arial"/>
          <w:lang w:val="es-ES" w:eastAsia="es-ES"/>
        </w:rPr>
        <w:t xml:space="preserve">a </w:t>
      </w:r>
      <w:r w:rsidR="00475BBF">
        <w:rPr>
          <w:rFonts w:ascii="Arial" w:eastAsia="Times New Roman" w:hAnsi="Arial" w:cs="Arial"/>
          <w:lang w:val="es-ES" w:eastAsia="es-ES"/>
        </w:rPr>
        <w:t>mortalidad por neumonía present</w:t>
      </w:r>
      <w:r>
        <w:rPr>
          <w:rFonts w:ascii="Arial" w:eastAsia="Times New Roman" w:hAnsi="Arial" w:cs="Arial"/>
          <w:lang w:val="es-ES" w:eastAsia="es-ES"/>
        </w:rPr>
        <w:t xml:space="preserve">ó </w:t>
      </w:r>
      <w:r w:rsidR="00475BBF" w:rsidRPr="00F01AC2">
        <w:rPr>
          <w:rFonts w:ascii="Arial" w:eastAsia="Times New Roman" w:hAnsi="Arial" w:cs="Arial"/>
          <w:lang w:val="es-ES" w:eastAsia="es-ES"/>
        </w:rPr>
        <w:t xml:space="preserve">una tendencia </w:t>
      </w:r>
      <w:r w:rsidR="00475BBF">
        <w:rPr>
          <w:rFonts w:ascii="Arial" w:eastAsia="Times New Roman" w:hAnsi="Arial" w:cs="Arial"/>
          <w:lang w:val="es-ES" w:eastAsia="es-ES"/>
        </w:rPr>
        <w:t xml:space="preserve">al ascenso, </w:t>
      </w:r>
      <w:r w:rsidR="00475BBF" w:rsidRPr="00F01AC2">
        <w:rPr>
          <w:rFonts w:ascii="Arial" w:eastAsia="Times New Roman" w:hAnsi="Arial" w:cs="Arial"/>
          <w:lang w:val="es-ES" w:eastAsia="es-ES"/>
        </w:rPr>
        <w:t xml:space="preserve">con tasas que </w:t>
      </w:r>
      <w:r>
        <w:rPr>
          <w:rFonts w:ascii="Arial" w:eastAsia="Times New Roman" w:hAnsi="Arial" w:cs="Arial"/>
          <w:lang w:val="es-ES" w:eastAsia="es-ES"/>
        </w:rPr>
        <w:t xml:space="preserve">oscilaron </w:t>
      </w:r>
      <w:r w:rsidR="00475BBF" w:rsidRPr="00F01AC2">
        <w:rPr>
          <w:rFonts w:ascii="Arial" w:eastAsia="Times New Roman" w:hAnsi="Arial" w:cs="Arial"/>
          <w:lang w:val="es-ES" w:eastAsia="es-ES"/>
        </w:rPr>
        <w:t xml:space="preserve">de </w:t>
      </w:r>
      <w:r w:rsidR="00475BBF">
        <w:rPr>
          <w:rFonts w:ascii="Arial" w:eastAsia="Times New Roman" w:hAnsi="Arial" w:cs="Arial"/>
          <w:lang w:val="es-ES" w:eastAsia="es-ES"/>
        </w:rPr>
        <w:t>12,7</w:t>
      </w:r>
      <w:r w:rsidR="00475BBF" w:rsidRPr="00F01AC2">
        <w:rPr>
          <w:rFonts w:ascii="Arial" w:eastAsia="Times New Roman" w:hAnsi="Arial" w:cs="Arial"/>
          <w:lang w:val="es-ES" w:eastAsia="es-ES"/>
        </w:rPr>
        <w:t xml:space="preserve"> en el 201</w:t>
      </w:r>
      <w:r w:rsidR="00475BBF">
        <w:rPr>
          <w:rFonts w:ascii="Arial" w:eastAsia="Times New Roman" w:hAnsi="Arial" w:cs="Arial"/>
          <w:lang w:val="es-ES" w:eastAsia="es-ES"/>
        </w:rPr>
        <w:t>4</w:t>
      </w:r>
      <w:r w:rsidR="00475BBF" w:rsidRPr="00F01AC2">
        <w:rPr>
          <w:rFonts w:ascii="Arial" w:eastAsia="Times New Roman" w:hAnsi="Arial" w:cs="Arial"/>
          <w:lang w:val="es-ES" w:eastAsia="es-ES"/>
        </w:rPr>
        <w:t xml:space="preserve"> a </w:t>
      </w:r>
      <w:r w:rsidR="00475BBF">
        <w:rPr>
          <w:rFonts w:ascii="Arial" w:eastAsia="Times New Roman" w:hAnsi="Arial" w:cs="Arial"/>
          <w:lang w:val="es-ES" w:eastAsia="es-ES"/>
        </w:rPr>
        <w:t>16,5</w:t>
      </w:r>
      <w:r w:rsidR="00475BBF" w:rsidRPr="00F01AC2">
        <w:rPr>
          <w:rFonts w:ascii="Arial" w:eastAsia="Times New Roman" w:hAnsi="Arial" w:cs="Arial"/>
          <w:lang w:val="es-ES" w:eastAsia="es-ES"/>
        </w:rPr>
        <w:t xml:space="preserve"> </w:t>
      </w:r>
      <w:r w:rsidR="00475BBF">
        <w:rPr>
          <w:rFonts w:ascii="Arial" w:eastAsia="Times New Roman" w:hAnsi="Arial" w:cs="Arial"/>
          <w:lang w:val="es-ES" w:eastAsia="es-ES"/>
        </w:rPr>
        <w:t xml:space="preserve">casos por cien mil habitantes </w:t>
      </w:r>
      <w:r w:rsidR="00475BBF" w:rsidRPr="00F01AC2">
        <w:rPr>
          <w:rFonts w:ascii="Arial" w:eastAsia="Times New Roman" w:hAnsi="Arial" w:cs="Arial"/>
          <w:lang w:val="es-ES" w:eastAsia="es-ES"/>
        </w:rPr>
        <w:t>en el 201</w:t>
      </w:r>
      <w:r w:rsidR="00475BBF">
        <w:rPr>
          <w:rFonts w:ascii="Arial" w:eastAsia="Times New Roman" w:hAnsi="Arial" w:cs="Arial"/>
          <w:lang w:val="es-ES" w:eastAsia="es-ES"/>
        </w:rPr>
        <w:t>7</w:t>
      </w:r>
      <w:r w:rsidR="00475BBF" w:rsidRPr="00F01AC2">
        <w:rPr>
          <w:rFonts w:ascii="Arial" w:eastAsia="Times New Roman" w:hAnsi="Arial" w:cs="Arial"/>
          <w:lang w:val="es-ES" w:eastAsia="es-ES"/>
        </w:rPr>
        <w:t xml:space="preserve">. </w:t>
      </w:r>
      <w:r w:rsidR="00475BBF">
        <w:rPr>
          <w:rFonts w:ascii="Arial" w:hAnsi="Arial" w:cs="Arial"/>
        </w:rPr>
        <w:t>Las provincias de</w:t>
      </w:r>
      <w:r w:rsidR="00475BBF" w:rsidRPr="00AA34B3">
        <w:rPr>
          <w:rFonts w:ascii="Arial" w:hAnsi="Arial" w:cs="Arial"/>
        </w:rPr>
        <w:t xml:space="preserve"> </w:t>
      </w:r>
      <w:r w:rsidR="00475BBF">
        <w:rPr>
          <w:rFonts w:ascii="Arial" w:hAnsi="Arial" w:cs="Arial"/>
        </w:rPr>
        <w:t xml:space="preserve">Guanacaste (16,8) y San José (16,2), </w:t>
      </w:r>
      <w:r w:rsidR="00475BBF" w:rsidRPr="00AA34B3">
        <w:rPr>
          <w:rFonts w:ascii="Arial" w:hAnsi="Arial" w:cs="Arial"/>
        </w:rPr>
        <w:t xml:space="preserve">registraron las tasas </w:t>
      </w:r>
      <w:r w:rsidR="00475BBF" w:rsidRPr="006C08FF">
        <w:rPr>
          <w:rFonts w:ascii="Arial" w:hAnsi="Arial" w:cs="Arial"/>
        </w:rPr>
        <w:t xml:space="preserve">más altas </w:t>
      </w:r>
      <w:r w:rsidR="00475BBF" w:rsidRPr="00AA34B3">
        <w:rPr>
          <w:rFonts w:ascii="Arial" w:hAnsi="Arial" w:cs="Arial"/>
        </w:rPr>
        <w:t>de mo</w:t>
      </w:r>
      <w:r w:rsidR="00475BBF">
        <w:rPr>
          <w:rFonts w:ascii="Arial" w:hAnsi="Arial" w:cs="Arial"/>
        </w:rPr>
        <w:t>rtalidad por 100 000 habitantes,</w:t>
      </w:r>
      <w:r w:rsidR="00475BBF" w:rsidRPr="00AA34B3">
        <w:rPr>
          <w:rFonts w:ascii="Arial" w:hAnsi="Arial" w:cs="Arial"/>
        </w:rPr>
        <w:t xml:space="preserve"> aportando el </w:t>
      </w:r>
      <w:r w:rsidR="00475BBF">
        <w:rPr>
          <w:rFonts w:ascii="Arial" w:hAnsi="Arial" w:cs="Arial"/>
        </w:rPr>
        <w:t>44,7</w:t>
      </w:r>
      <w:r w:rsidR="00475BBF" w:rsidRPr="00AA34B3">
        <w:rPr>
          <w:rFonts w:ascii="Arial" w:hAnsi="Arial" w:cs="Arial"/>
        </w:rPr>
        <w:t xml:space="preserve">% de las defunciones </w:t>
      </w:r>
      <w:r w:rsidR="00475BBF">
        <w:rPr>
          <w:rFonts w:ascii="Arial" w:hAnsi="Arial" w:cs="Arial"/>
        </w:rPr>
        <w:t>por neumonía.</w:t>
      </w:r>
    </w:p>
    <w:p w:rsidR="00475BBF" w:rsidRDefault="00475BBF" w:rsidP="00475BBF">
      <w:pPr>
        <w:spacing w:line="276" w:lineRule="auto"/>
        <w:jc w:val="both"/>
        <w:rPr>
          <w:rFonts w:ascii="Arial" w:hAnsi="Arial" w:cs="Arial"/>
          <w:lang w:val="es-CR"/>
        </w:rPr>
      </w:pPr>
      <w:r>
        <w:rPr>
          <w:rFonts w:ascii="Arial" w:hAnsi="Arial" w:cs="Arial"/>
          <w:lang w:val="es-CR"/>
        </w:rPr>
        <w:t xml:space="preserve">Los cantones con mayores tasas de mortalidad para la neumonía en el período, </w:t>
      </w:r>
      <w:r w:rsidR="0072670E">
        <w:rPr>
          <w:rFonts w:ascii="Arial" w:hAnsi="Arial" w:cs="Arial"/>
          <w:lang w:val="es-CR"/>
        </w:rPr>
        <w:t xml:space="preserve">fueron: </w:t>
      </w:r>
      <w:r>
        <w:rPr>
          <w:rFonts w:ascii="Arial" w:hAnsi="Arial" w:cs="Arial"/>
          <w:lang w:val="es-CR"/>
        </w:rPr>
        <w:t>Atenas</w:t>
      </w:r>
      <w:r w:rsidR="0072670E">
        <w:rPr>
          <w:rFonts w:ascii="Arial" w:hAnsi="Arial" w:cs="Arial"/>
          <w:lang w:val="es-CR"/>
        </w:rPr>
        <w:t xml:space="preserve"> de la provincia de Alajuela</w:t>
      </w:r>
      <w:r>
        <w:rPr>
          <w:rFonts w:ascii="Arial" w:hAnsi="Arial" w:cs="Arial"/>
          <w:lang w:val="es-CR"/>
        </w:rPr>
        <w:t xml:space="preserve">, Osa </w:t>
      </w:r>
      <w:r w:rsidR="0072670E">
        <w:rPr>
          <w:rFonts w:ascii="Arial" w:hAnsi="Arial" w:cs="Arial"/>
          <w:lang w:val="es-CR"/>
        </w:rPr>
        <w:t xml:space="preserve">de la provincia de Puntarenas </w:t>
      </w:r>
      <w:r>
        <w:rPr>
          <w:rFonts w:ascii="Arial" w:hAnsi="Arial" w:cs="Arial"/>
          <w:lang w:val="es-CR"/>
        </w:rPr>
        <w:t>y Dota</w:t>
      </w:r>
      <w:r w:rsidR="0072670E">
        <w:rPr>
          <w:rFonts w:ascii="Arial" w:hAnsi="Arial" w:cs="Arial"/>
          <w:lang w:val="es-CR"/>
        </w:rPr>
        <w:t xml:space="preserve"> de la provincia de San José</w:t>
      </w:r>
      <w:r>
        <w:rPr>
          <w:rFonts w:ascii="Arial" w:hAnsi="Arial" w:cs="Arial"/>
          <w:lang w:val="es-CR"/>
        </w:rPr>
        <w:t>.</w:t>
      </w:r>
    </w:p>
    <w:p w:rsidR="00475BBF" w:rsidRDefault="00475BBF" w:rsidP="00475BBF">
      <w:pPr>
        <w:widowControl w:val="0"/>
        <w:spacing w:line="276" w:lineRule="auto"/>
        <w:jc w:val="both"/>
        <w:rPr>
          <w:rFonts w:ascii="Arial" w:eastAsia="Calibri" w:hAnsi="Arial" w:cs="Arial"/>
          <w:lang w:val="es-CR"/>
        </w:rPr>
      </w:pPr>
    </w:p>
    <w:p w:rsidR="00475BBF" w:rsidRPr="00434FA4" w:rsidRDefault="00475BBF" w:rsidP="00475BBF">
      <w:pPr>
        <w:widowControl w:val="0"/>
        <w:spacing w:line="276" w:lineRule="auto"/>
        <w:jc w:val="both"/>
        <w:rPr>
          <w:rFonts w:ascii="Arial" w:eastAsia="Calibri" w:hAnsi="Arial" w:cs="Arial"/>
          <w:lang w:val="es-CR"/>
        </w:rPr>
      </w:pPr>
      <w:r w:rsidRPr="00434FA4">
        <w:rPr>
          <w:rFonts w:ascii="Arial" w:eastAsia="Calibri" w:hAnsi="Arial" w:cs="Arial"/>
          <w:lang w:val="es-CR"/>
        </w:rPr>
        <w:t xml:space="preserve">El </w:t>
      </w:r>
      <w:r>
        <w:rPr>
          <w:rFonts w:ascii="Arial" w:eastAsia="Calibri" w:hAnsi="Arial" w:cs="Arial"/>
          <w:lang w:val="es-CR"/>
        </w:rPr>
        <w:t>56,9</w:t>
      </w:r>
      <w:r w:rsidRPr="00434FA4">
        <w:rPr>
          <w:rFonts w:ascii="Arial" w:eastAsia="Calibri" w:hAnsi="Arial" w:cs="Arial"/>
          <w:lang w:val="es-CR"/>
        </w:rPr>
        <w:t>% de las defunciones ocurrieron en personas de sexo masculino</w:t>
      </w:r>
      <w:r>
        <w:rPr>
          <w:rFonts w:ascii="Arial" w:eastAsia="Calibri" w:hAnsi="Arial" w:cs="Arial"/>
          <w:lang w:val="es-CR"/>
        </w:rPr>
        <w:t xml:space="preserve"> registrando </w:t>
      </w:r>
      <w:r w:rsidR="0072670E">
        <w:rPr>
          <w:rFonts w:ascii="Arial" w:eastAsia="Calibri" w:hAnsi="Arial" w:cs="Arial"/>
          <w:lang w:val="es-CR"/>
        </w:rPr>
        <w:t xml:space="preserve">con </w:t>
      </w:r>
      <w:r>
        <w:rPr>
          <w:rFonts w:ascii="Arial" w:eastAsia="Calibri" w:hAnsi="Arial" w:cs="Arial"/>
          <w:lang w:val="es-CR"/>
        </w:rPr>
        <w:t>una tasa promedio en el quinquenio de 16,67 por 100.000 habitantes</w:t>
      </w:r>
      <w:r w:rsidRPr="00434FA4">
        <w:rPr>
          <w:rFonts w:ascii="Arial" w:eastAsia="Calibri" w:hAnsi="Arial" w:cs="Arial"/>
          <w:lang w:val="es-CR"/>
        </w:rPr>
        <w:t>.</w:t>
      </w:r>
    </w:p>
    <w:p w:rsidR="00475BBF" w:rsidRDefault="00475BBF" w:rsidP="00475BBF">
      <w:pPr>
        <w:widowControl w:val="0"/>
        <w:spacing w:line="276" w:lineRule="auto"/>
        <w:jc w:val="both"/>
        <w:rPr>
          <w:rFonts w:ascii="Arial" w:eastAsia="Calibri" w:hAnsi="Arial" w:cs="Arial"/>
          <w:lang w:val="es-CR"/>
        </w:rPr>
      </w:pPr>
    </w:p>
    <w:p w:rsidR="00475BBF" w:rsidRPr="0071701C" w:rsidRDefault="00475BBF" w:rsidP="00475BBF">
      <w:pPr>
        <w:spacing w:line="276" w:lineRule="auto"/>
        <w:jc w:val="both"/>
        <w:rPr>
          <w:rFonts w:ascii="Arial" w:hAnsi="Arial" w:cs="Arial"/>
          <w:lang w:val="es-CR"/>
        </w:rPr>
      </w:pPr>
      <w:r>
        <w:rPr>
          <w:rFonts w:ascii="Arial" w:hAnsi="Arial" w:cs="Arial"/>
          <w:lang w:val="es-CR"/>
        </w:rPr>
        <w:t>La mortalidad por neumonía se registró principalmente en personas mayores de</w:t>
      </w:r>
      <w:r w:rsidRPr="0071701C">
        <w:rPr>
          <w:rFonts w:ascii="Arial" w:hAnsi="Arial" w:cs="Arial"/>
          <w:lang w:val="es-CR"/>
        </w:rPr>
        <w:t xml:space="preserve"> </w:t>
      </w:r>
      <w:r>
        <w:rPr>
          <w:rFonts w:ascii="Arial" w:hAnsi="Arial" w:cs="Arial"/>
          <w:lang w:val="es-CR"/>
        </w:rPr>
        <w:t>6</w:t>
      </w:r>
      <w:r w:rsidRPr="0071701C">
        <w:rPr>
          <w:rFonts w:ascii="Arial" w:hAnsi="Arial" w:cs="Arial"/>
          <w:lang w:val="es-CR"/>
        </w:rPr>
        <w:t>0 años</w:t>
      </w:r>
      <w:r>
        <w:rPr>
          <w:rFonts w:ascii="Arial" w:hAnsi="Arial" w:cs="Arial"/>
          <w:lang w:val="es-CR"/>
        </w:rPr>
        <w:t>, representando el 80,7</w:t>
      </w:r>
      <w:r w:rsidRPr="0071701C">
        <w:rPr>
          <w:rFonts w:ascii="Arial" w:hAnsi="Arial" w:cs="Arial"/>
          <w:lang w:val="es-CR"/>
        </w:rPr>
        <w:t>% del total de las defunciones</w:t>
      </w:r>
      <w:r w:rsidR="0072670E">
        <w:rPr>
          <w:rFonts w:ascii="Arial" w:hAnsi="Arial" w:cs="Arial"/>
          <w:lang w:val="es-CR"/>
        </w:rPr>
        <w:t>. S</w:t>
      </w:r>
      <w:r>
        <w:rPr>
          <w:rFonts w:ascii="Arial" w:hAnsi="Arial" w:cs="Arial"/>
          <w:lang w:val="es-CR"/>
        </w:rPr>
        <w:t>e debe indicar que las tasas más altas se presentaron en el grupo de 70 años y más, con una tasa promedio de 317,3 muertes por 100</w:t>
      </w:r>
      <w:r w:rsidR="009E51D7">
        <w:rPr>
          <w:rFonts w:ascii="Arial" w:hAnsi="Arial" w:cs="Arial"/>
          <w:lang w:val="es-CR"/>
        </w:rPr>
        <w:t>.</w:t>
      </w:r>
      <w:r>
        <w:rPr>
          <w:rFonts w:ascii="Arial" w:hAnsi="Arial" w:cs="Arial"/>
          <w:lang w:val="es-CR"/>
        </w:rPr>
        <w:t>000 habitantes.</w:t>
      </w:r>
    </w:p>
    <w:p w:rsidR="00475BBF" w:rsidRDefault="00475BBF" w:rsidP="00475BBF">
      <w:pPr>
        <w:spacing w:line="276" w:lineRule="auto"/>
        <w:jc w:val="both"/>
        <w:rPr>
          <w:rFonts w:ascii="Arial" w:eastAsia="Calibri" w:hAnsi="Arial" w:cs="Arial"/>
        </w:rPr>
      </w:pPr>
    </w:p>
    <w:p w:rsidR="00475BBF" w:rsidRPr="0072670E" w:rsidRDefault="0072670E" w:rsidP="0072670E">
      <w:pPr>
        <w:pStyle w:val="Ttulo2"/>
        <w:spacing w:after="240"/>
        <w:rPr>
          <w:rFonts w:ascii="Arial" w:hAnsi="Arial" w:cs="Arial"/>
          <w:b/>
          <w:color w:val="auto"/>
          <w:sz w:val="24"/>
          <w:szCs w:val="24"/>
        </w:rPr>
      </w:pPr>
      <w:bookmarkStart w:id="64" w:name="_Toc7439681"/>
      <w:r>
        <w:rPr>
          <w:rFonts w:ascii="Arial" w:hAnsi="Arial" w:cs="Arial"/>
          <w:b/>
          <w:color w:val="auto"/>
          <w:sz w:val="24"/>
          <w:szCs w:val="24"/>
        </w:rPr>
        <w:t>Vigilancia de v</w:t>
      </w:r>
      <w:r w:rsidRPr="0072670E">
        <w:rPr>
          <w:rFonts w:ascii="Arial" w:hAnsi="Arial" w:cs="Arial"/>
          <w:b/>
          <w:color w:val="auto"/>
          <w:sz w:val="24"/>
          <w:szCs w:val="24"/>
        </w:rPr>
        <w:t>irus respiratorios</w:t>
      </w:r>
      <w:bookmarkEnd w:id="64"/>
    </w:p>
    <w:p w:rsidR="00475BBF" w:rsidRPr="005C359F" w:rsidRDefault="0072670E" w:rsidP="0072670E">
      <w:pPr>
        <w:widowControl w:val="0"/>
        <w:spacing w:after="240" w:line="276" w:lineRule="auto"/>
        <w:jc w:val="both"/>
        <w:rPr>
          <w:rFonts w:ascii="Arial" w:eastAsia="Calibri" w:hAnsi="Arial" w:cs="Arial"/>
        </w:rPr>
      </w:pPr>
      <w:r>
        <w:rPr>
          <w:rFonts w:ascii="Arial" w:eastAsia="Calibri" w:hAnsi="Arial" w:cs="Arial"/>
        </w:rPr>
        <w:t>El Ministerio de Salud en coordinación con e</w:t>
      </w:r>
      <w:r w:rsidRPr="005C359F">
        <w:rPr>
          <w:rFonts w:ascii="Arial" w:eastAsia="Calibri" w:hAnsi="Arial" w:cs="Arial"/>
        </w:rPr>
        <w:t xml:space="preserve">l </w:t>
      </w:r>
      <w:r>
        <w:rPr>
          <w:rFonts w:ascii="Arial" w:eastAsia="Calibri" w:hAnsi="Arial" w:cs="Arial"/>
        </w:rPr>
        <w:t>Centro Nacio</w:t>
      </w:r>
      <w:r w:rsidRPr="005C359F">
        <w:rPr>
          <w:rFonts w:ascii="Arial" w:eastAsia="Calibri" w:hAnsi="Arial" w:cs="Arial"/>
        </w:rPr>
        <w:t>nal de Referencia Virológica del INCIENSA</w:t>
      </w:r>
      <w:r w:rsidR="00D65DB2">
        <w:rPr>
          <w:rFonts w:ascii="Arial" w:eastAsia="Calibri" w:hAnsi="Arial" w:cs="Arial"/>
        </w:rPr>
        <w:t>,</w:t>
      </w:r>
      <w:r>
        <w:rPr>
          <w:rFonts w:ascii="Arial" w:eastAsia="Calibri" w:hAnsi="Arial" w:cs="Arial"/>
        </w:rPr>
        <w:t xml:space="preserve"> con el propósito de prevenir n</w:t>
      </w:r>
      <w:r w:rsidR="00475BBF">
        <w:rPr>
          <w:rFonts w:ascii="Arial" w:eastAsia="Calibri" w:hAnsi="Arial" w:cs="Arial"/>
        </w:rPr>
        <w:t>ueva</w:t>
      </w:r>
      <w:r>
        <w:rPr>
          <w:rFonts w:ascii="Arial" w:eastAsia="Calibri" w:hAnsi="Arial" w:cs="Arial"/>
        </w:rPr>
        <w:t>s</w:t>
      </w:r>
      <w:r w:rsidR="00475BBF">
        <w:rPr>
          <w:rFonts w:ascii="Arial" w:eastAsia="Calibri" w:hAnsi="Arial" w:cs="Arial"/>
        </w:rPr>
        <w:t xml:space="preserve"> pandemia</w:t>
      </w:r>
      <w:r>
        <w:rPr>
          <w:rFonts w:ascii="Arial" w:eastAsia="Calibri" w:hAnsi="Arial" w:cs="Arial"/>
        </w:rPr>
        <w:t>s</w:t>
      </w:r>
      <w:r w:rsidR="00475BBF">
        <w:rPr>
          <w:rFonts w:ascii="Arial" w:eastAsia="Calibri" w:hAnsi="Arial" w:cs="Arial"/>
        </w:rPr>
        <w:t xml:space="preserve"> </w:t>
      </w:r>
      <w:r>
        <w:rPr>
          <w:rFonts w:ascii="Arial" w:eastAsia="Calibri" w:hAnsi="Arial" w:cs="Arial"/>
        </w:rPr>
        <w:t xml:space="preserve">de </w:t>
      </w:r>
      <w:r w:rsidR="00475BBF">
        <w:rPr>
          <w:rFonts w:ascii="Arial" w:eastAsia="Calibri" w:hAnsi="Arial" w:cs="Arial"/>
        </w:rPr>
        <w:t>influenza estacional, ha</w:t>
      </w:r>
      <w:r>
        <w:rPr>
          <w:rFonts w:ascii="Arial" w:eastAsia="Calibri" w:hAnsi="Arial" w:cs="Arial"/>
        </w:rPr>
        <w:t xml:space="preserve"> fortalecido </w:t>
      </w:r>
      <w:r w:rsidR="00475BBF" w:rsidRPr="005C359F">
        <w:rPr>
          <w:rFonts w:ascii="Arial" w:eastAsia="Calibri" w:hAnsi="Arial" w:cs="Arial"/>
        </w:rPr>
        <w:t xml:space="preserve">la vigilancia de los virus respiratorios, </w:t>
      </w:r>
      <w:r>
        <w:rPr>
          <w:rFonts w:ascii="Arial" w:eastAsia="Calibri" w:hAnsi="Arial" w:cs="Arial"/>
        </w:rPr>
        <w:t>desde el punto de vista e</w:t>
      </w:r>
      <w:r w:rsidR="00475BBF" w:rsidRPr="005C359F">
        <w:rPr>
          <w:rFonts w:ascii="Arial" w:eastAsia="Calibri" w:hAnsi="Arial" w:cs="Arial"/>
        </w:rPr>
        <w:t>pidemiológic</w:t>
      </w:r>
      <w:r>
        <w:rPr>
          <w:rFonts w:ascii="Arial" w:eastAsia="Calibri" w:hAnsi="Arial" w:cs="Arial"/>
        </w:rPr>
        <w:t>o</w:t>
      </w:r>
      <w:r w:rsidR="00475BBF" w:rsidRPr="005C359F">
        <w:rPr>
          <w:rFonts w:ascii="Arial" w:eastAsia="Calibri" w:hAnsi="Arial" w:cs="Arial"/>
        </w:rPr>
        <w:t xml:space="preserve">, </w:t>
      </w:r>
      <w:r>
        <w:rPr>
          <w:rFonts w:ascii="Arial" w:eastAsia="Calibri" w:hAnsi="Arial" w:cs="Arial"/>
        </w:rPr>
        <w:t xml:space="preserve">como </w:t>
      </w:r>
      <w:r w:rsidR="00475BBF" w:rsidRPr="005C359F">
        <w:rPr>
          <w:rFonts w:ascii="Arial" w:eastAsia="Calibri" w:hAnsi="Arial" w:cs="Arial"/>
        </w:rPr>
        <w:t>clínic</w:t>
      </w:r>
      <w:r>
        <w:rPr>
          <w:rFonts w:ascii="Arial" w:eastAsia="Calibri" w:hAnsi="Arial" w:cs="Arial"/>
        </w:rPr>
        <w:t>o</w:t>
      </w:r>
      <w:r w:rsidR="00475BBF" w:rsidRPr="005C359F">
        <w:rPr>
          <w:rFonts w:ascii="Arial" w:eastAsia="Calibri" w:hAnsi="Arial" w:cs="Arial"/>
        </w:rPr>
        <w:t xml:space="preserve"> </w:t>
      </w:r>
      <w:r>
        <w:rPr>
          <w:rFonts w:ascii="Arial" w:eastAsia="Calibri" w:hAnsi="Arial" w:cs="Arial"/>
        </w:rPr>
        <w:t xml:space="preserve">y de </w:t>
      </w:r>
      <w:r w:rsidR="00475BBF" w:rsidRPr="005C359F">
        <w:rPr>
          <w:rFonts w:ascii="Arial" w:eastAsia="Calibri" w:hAnsi="Arial" w:cs="Arial"/>
        </w:rPr>
        <w:t>laboratori</w:t>
      </w:r>
      <w:r w:rsidR="001341F1">
        <w:rPr>
          <w:rFonts w:ascii="Arial" w:eastAsia="Calibri" w:hAnsi="Arial" w:cs="Arial"/>
        </w:rPr>
        <w:t>o.</w:t>
      </w:r>
      <w:r w:rsidR="00475BBF" w:rsidRPr="005C359F">
        <w:rPr>
          <w:rFonts w:ascii="Arial" w:eastAsia="Calibri" w:hAnsi="Arial" w:cs="Arial"/>
        </w:rPr>
        <w:t xml:space="preserve"> </w:t>
      </w:r>
    </w:p>
    <w:p w:rsidR="00475BBF" w:rsidRDefault="00475BBF" w:rsidP="00475BBF">
      <w:pPr>
        <w:widowControl w:val="0"/>
        <w:spacing w:line="276" w:lineRule="auto"/>
        <w:jc w:val="both"/>
        <w:rPr>
          <w:rFonts w:ascii="Arial" w:eastAsia="Calibri" w:hAnsi="Arial" w:cs="Arial"/>
          <w:noProof/>
          <w:lang w:eastAsia="es-CR"/>
        </w:rPr>
      </w:pPr>
      <w:r>
        <w:rPr>
          <w:rFonts w:ascii="Arial" w:eastAsia="Calibri" w:hAnsi="Arial" w:cs="Arial"/>
          <w:noProof/>
          <w:lang w:eastAsia="es-CR"/>
        </w:rPr>
        <w:t xml:space="preserve">Durante el año 2018 el Virus Respiratorio Sincicial (VRS) </w:t>
      </w:r>
      <w:r w:rsidR="0072670E">
        <w:rPr>
          <w:rFonts w:ascii="Arial" w:eastAsia="Calibri" w:hAnsi="Arial" w:cs="Arial"/>
          <w:noProof/>
          <w:lang w:eastAsia="es-CR"/>
        </w:rPr>
        <w:t xml:space="preserve">fue </w:t>
      </w:r>
      <w:r>
        <w:rPr>
          <w:rFonts w:ascii="Arial" w:eastAsia="Calibri" w:hAnsi="Arial" w:cs="Arial"/>
          <w:noProof/>
          <w:lang w:eastAsia="es-CR"/>
        </w:rPr>
        <w:t>el de mayor circulación</w:t>
      </w:r>
      <w:r w:rsidR="00D65DB2">
        <w:rPr>
          <w:rFonts w:ascii="Arial" w:eastAsia="Calibri" w:hAnsi="Arial" w:cs="Arial"/>
          <w:noProof/>
          <w:lang w:eastAsia="es-CR"/>
        </w:rPr>
        <w:t>.</w:t>
      </w:r>
    </w:p>
    <w:p w:rsidR="006D48B5" w:rsidRDefault="006D48B5">
      <w:pPr>
        <w:spacing w:after="160" w:line="259" w:lineRule="auto"/>
        <w:rPr>
          <w:rFonts w:ascii="Arial" w:eastAsia="Calibri" w:hAnsi="Arial" w:cs="Arial"/>
          <w:noProof/>
          <w:lang w:eastAsia="es-CR"/>
        </w:rPr>
      </w:pPr>
      <w:r>
        <w:rPr>
          <w:rFonts w:ascii="Arial" w:eastAsia="Calibri" w:hAnsi="Arial" w:cs="Arial"/>
          <w:noProof/>
          <w:lang w:eastAsia="es-CR"/>
        </w:rPr>
        <w:br w:type="page"/>
      </w:r>
    </w:p>
    <w:p w:rsidR="00475BBF" w:rsidRPr="006D48B5" w:rsidRDefault="00475BBF" w:rsidP="00132CF9">
      <w:pPr>
        <w:widowControl w:val="0"/>
        <w:jc w:val="center"/>
        <w:rPr>
          <w:rFonts w:ascii="Arial" w:eastAsia="Calibri" w:hAnsi="Arial" w:cs="Arial"/>
          <w:b/>
          <w:noProof/>
          <w:lang w:eastAsia="es-CR"/>
        </w:rPr>
      </w:pPr>
      <w:r w:rsidRPr="006D48B5">
        <w:rPr>
          <w:rFonts w:ascii="Arial" w:eastAsia="Calibri" w:hAnsi="Arial" w:cs="Arial"/>
          <w:b/>
          <w:noProof/>
          <w:lang w:eastAsia="es-CR"/>
        </w:rPr>
        <w:lastRenderedPageBreak/>
        <w:t xml:space="preserve">Gráfico </w:t>
      </w:r>
      <w:r w:rsidR="00D65DB2" w:rsidRPr="006D48B5">
        <w:rPr>
          <w:rFonts w:ascii="Arial" w:eastAsia="Calibri" w:hAnsi="Arial" w:cs="Arial"/>
          <w:b/>
          <w:noProof/>
          <w:lang w:eastAsia="es-CR"/>
        </w:rPr>
        <w:t>3</w:t>
      </w:r>
      <w:r w:rsidR="009E51D7" w:rsidRPr="006D48B5">
        <w:rPr>
          <w:rFonts w:ascii="Arial" w:eastAsia="Calibri" w:hAnsi="Arial" w:cs="Arial"/>
          <w:b/>
          <w:noProof/>
          <w:lang w:eastAsia="es-CR"/>
        </w:rPr>
        <w:t>5</w:t>
      </w:r>
    </w:p>
    <w:p w:rsidR="00132CF9" w:rsidRDefault="00475BBF" w:rsidP="00132CF9">
      <w:pPr>
        <w:widowControl w:val="0"/>
        <w:jc w:val="center"/>
        <w:rPr>
          <w:rFonts w:ascii="Arial" w:eastAsia="Calibri" w:hAnsi="Arial" w:cs="Arial"/>
          <w:b/>
          <w:noProof/>
          <w:lang w:eastAsia="es-CR"/>
        </w:rPr>
      </w:pPr>
      <w:r w:rsidRPr="006D48B5">
        <w:rPr>
          <w:rFonts w:ascii="Arial" w:eastAsia="Calibri" w:hAnsi="Arial" w:cs="Arial"/>
          <w:b/>
          <w:noProof/>
          <w:lang w:eastAsia="es-CR"/>
        </w:rPr>
        <w:t>Costa Rica</w:t>
      </w:r>
      <w:r w:rsidR="00D65DB2" w:rsidRPr="006D48B5">
        <w:rPr>
          <w:rFonts w:ascii="Arial" w:eastAsia="Calibri" w:hAnsi="Arial" w:cs="Arial"/>
          <w:b/>
          <w:noProof/>
          <w:lang w:eastAsia="es-CR"/>
        </w:rPr>
        <w:t>:</w:t>
      </w:r>
      <w:r w:rsidRPr="006D48B5">
        <w:rPr>
          <w:rFonts w:ascii="Arial" w:eastAsia="Calibri" w:hAnsi="Arial" w:cs="Arial"/>
          <w:b/>
          <w:noProof/>
          <w:lang w:eastAsia="es-CR"/>
        </w:rPr>
        <w:t xml:space="preserve"> </w:t>
      </w:r>
      <w:r w:rsidR="00D65DB2" w:rsidRPr="006D48B5">
        <w:rPr>
          <w:rFonts w:ascii="Arial" w:eastAsia="Calibri" w:hAnsi="Arial" w:cs="Arial"/>
          <w:b/>
          <w:noProof/>
          <w:lang w:eastAsia="es-CR"/>
        </w:rPr>
        <w:t>C</w:t>
      </w:r>
      <w:r w:rsidRPr="006D48B5">
        <w:rPr>
          <w:rFonts w:ascii="Arial" w:eastAsia="Calibri" w:hAnsi="Arial" w:cs="Arial"/>
          <w:b/>
          <w:noProof/>
          <w:lang w:eastAsia="es-CR"/>
        </w:rPr>
        <w:t xml:space="preserve">irculación de virus respiratorios </w:t>
      </w:r>
    </w:p>
    <w:p w:rsidR="006D48B5" w:rsidRDefault="006D48B5" w:rsidP="00132CF9">
      <w:pPr>
        <w:widowControl w:val="0"/>
        <w:jc w:val="center"/>
        <w:rPr>
          <w:rFonts w:ascii="Arial" w:eastAsia="Calibri" w:hAnsi="Arial" w:cs="Arial"/>
          <w:b/>
          <w:noProof/>
          <w:lang w:eastAsia="es-CR"/>
        </w:rPr>
      </w:pPr>
      <w:r>
        <w:rPr>
          <w:rFonts w:ascii="Arial" w:eastAsia="Calibri" w:hAnsi="Arial" w:cs="Arial"/>
          <w:b/>
          <w:noProof/>
          <w:lang w:eastAsia="es-CR"/>
        </w:rPr>
        <w:t xml:space="preserve">por </w:t>
      </w:r>
      <w:r w:rsidR="00475BBF" w:rsidRPr="006D48B5">
        <w:rPr>
          <w:rFonts w:ascii="Arial" w:eastAsia="Calibri" w:hAnsi="Arial" w:cs="Arial"/>
          <w:b/>
          <w:noProof/>
          <w:lang w:eastAsia="es-CR"/>
        </w:rPr>
        <w:t>semana epidemiológica,</w:t>
      </w:r>
    </w:p>
    <w:p w:rsidR="00475BBF" w:rsidRPr="006D48B5" w:rsidRDefault="00475BBF" w:rsidP="00132CF9">
      <w:pPr>
        <w:widowControl w:val="0"/>
        <w:jc w:val="center"/>
        <w:rPr>
          <w:rFonts w:ascii="Arial" w:eastAsia="Calibri" w:hAnsi="Arial" w:cs="Arial"/>
          <w:b/>
          <w:noProof/>
          <w:lang w:eastAsia="es-CR"/>
        </w:rPr>
      </w:pPr>
      <w:r w:rsidRPr="006D48B5">
        <w:rPr>
          <w:rFonts w:ascii="Arial" w:eastAsia="Calibri" w:hAnsi="Arial" w:cs="Arial"/>
          <w:b/>
          <w:noProof/>
          <w:lang w:eastAsia="es-CR"/>
        </w:rPr>
        <w:t xml:space="preserve"> 2016</w:t>
      </w:r>
      <w:r w:rsidR="00D65DB2" w:rsidRPr="006D48B5">
        <w:rPr>
          <w:rFonts w:ascii="Arial" w:eastAsia="Calibri" w:hAnsi="Arial" w:cs="Arial"/>
          <w:b/>
          <w:noProof/>
          <w:lang w:eastAsia="es-CR"/>
        </w:rPr>
        <w:t>-2019</w:t>
      </w:r>
      <w:r w:rsidR="006D48B5">
        <w:rPr>
          <w:rFonts w:ascii="Arial" w:eastAsia="Calibri" w:hAnsi="Arial" w:cs="Arial"/>
          <w:b/>
          <w:noProof/>
          <w:lang w:eastAsia="es-CR"/>
        </w:rPr>
        <w:t>.</w:t>
      </w:r>
      <w:r w:rsidR="00D65DB2" w:rsidRPr="006D48B5">
        <w:rPr>
          <w:rFonts w:ascii="Arial" w:eastAsia="Calibri" w:hAnsi="Arial" w:cs="Arial"/>
          <w:b/>
          <w:noProof/>
          <w:lang w:eastAsia="es-CR"/>
        </w:rPr>
        <w:t xml:space="preserve"> </w:t>
      </w:r>
    </w:p>
    <w:p w:rsidR="00475BBF" w:rsidRDefault="00475BBF" w:rsidP="00475BBF">
      <w:pPr>
        <w:widowControl w:val="0"/>
        <w:jc w:val="center"/>
        <w:rPr>
          <w:rFonts w:ascii="Calibri" w:eastAsia="Calibri" w:hAnsi="Calibri"/>
          <w:noProof/>
          <w:lang w:eastAsia="es-CR"/>
        </w:rPr>
      </w:pPr>
      <w:r>
        <w:rPr>
          <w:rFonts w:ascii="Calibri" w:eastAsia="Calibri" w:hAnsi="Calibri"/>
          <w:noProof/>
          <w:lang w:val="es-CR" w:eastAsia="es-CR"/>
        </w:rPr>
        <w:drawing>
          <wp:inline distT="0" distB="0" distL="0" distR="0" wp14:anchorId="69387E3C" wp14:editId="374FBD2E">
            <wp:extent cx="5483185" cy="2703443"/>
            <wp:effectExtent l="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t="9453"/>
                    <a:stretch/>
                  </pic:blipFill>
                  <pic:spPr bwMode="auto">
                    <a:xfrm>
                      <a:off x="0" y="0"/>
                      <a:ext cx="5490414" cy="2707007"/>
                    </a:xfrm>
                    <a:prstGeom prst="rect">
                      <a:avLst/>
                    </a:prstGeom>
                    <a:noFill/>
                    <a:ln>
                      <a:noFill/>
                    </a:ln>
                    <a:extLst>
                      <a:ext uri="{53640926-AAD7-44D8-BBD7-CCE9431645EC}">
                        <a14:shadowObscured xmlns:a14="http://schemas.microsoft.com/office/drawing/2010/main"/>
                      </a:ext>
                    </a:extLst>
                  </pic:spPr>
                </pic:pic>
              </a:graphicData>
            </a:graphic>
          </wp:inline>
        </w:drawing>
      </w:r>
    </w:p>
    <w:p w:rsidR="00475BBF" w:rsidRPr="00D65DB2" w:rsidRDefault="00475BBF" w:rsidP="00475BBF">
      <w:pPr>
        <w:widowControl w:val="0"/>
        <w:jc w:val="center"/>
        <w:rPr>
          <w:rFonts w:ascii="Arial" w:eastAsia="Calibri" w:hAnsi="Arial" w:cs="Arial"/>
          <w:noProof/>
          <w:sz w:val="18"/>
          <w:szCs w:val="18"/>
          <w:lang w:eastAsia="es-CR"/>
        </w:rPr>
      </w:pPr>
      <w:r w:rsidRPr="00D65DB2">
        <w:rPr>
          <w:rFonts w:ascii="Arial" w:eastAsia="Calibri" w:hAnsi="Arial" w:cs="Arial"/>
          <w:b/>
          <w:noProof/>
          <w:sz w:val="18"/>
          <w:szCs w:val="18"/>
          <w:lang w:eastAsia="es-CR"/>
        </w:rPr>
        <w:t>Fuente:</w:t>
      </w:r>
      <w:r w:rsidRPr="00D65DB2">
        <w:rPr>
          <w:rFonts w:ascii="Arial" w:eastAsia="Calibri" w:hAnsi="Arial" w:cs="Arial"/>
          <w:noProof/>
          <w:sz w:val="18"/>
          <w:szCs w:val="18"/>
          <w:lang w:eastAsia="es-CR"/>
        </w:rPr>
        <w:t xml:space="preserve"> Centro Nacional Referencia Virología INCIENSA, 201</w:t>
      </w:r>
      <w:r w:rsidR="00D65DB2">
        <w:rPr>
          <w:rFonts w:ascii="Arial" w:eastAsia="Calibri" w:hAnsi="Arial" w:cs="Arial"/>
          <w:noProof/>
          <w:sz w:val="18"/>
          <w:szCs w:val="18"/>
          <w:lang w:eastAsia="es-CR"/>
        </w:rPr>
        <w:t>9</w:t>
      </w:r>
      <w:r w:rsidRPr="00D65DB2">
        <w:rPr>
          <w:rFonts w:ascii="Arial" w:eastAsia="Calibri" w:hAnsi="Arial" w:cs="Arial"/>
          <w:noProof/>
          <w:sz w:val="18"/>
          <w:szCs w:val="18"/>
          <w:lang w:eastAsia="es-CR"/>
        </w:rPr>
        <w:t>.</w:t>
      </w:r>
    </w:p>
    <w:p w:rsidR="00475BBF" w:rsidRDefault="00475BBF" w:rsidP="00475BBF">
      <w:pPr>
        <w:widowControl w:val="0"/>
        <w:spacing w:line="276" w:lineRule="auto"/>
        <w:rPr>
          <w:rFonts w:ascii="Arial" w:eastAsia="Calibri" w:hAnsi="Arial" w:cs="Arial"/>
          <w:noProof/>
          <w:lang w:eastAsia="es-CR"/>
        </w:rPr>
      </w:pPr>
    </w:p>
    <w:p w:rsidR="00475BBF" w:rsidRPr="00132CF9" w:rsidRDefault="00475BBF" w:rsidP="00475BBF">
      <w:pPr>
        <w:widowControl w:val="0"/>
        <w:spacing w:line="276" w:lineRule="auto"/>
        <w:rPr>
          <w:rFonts w:ascii="Arial" w:eastAsia="Calibri" w:hAnsi="Arial" w:cs="Arial"/>
          <w:noProof/>
          <w:lang w:eastAsia="es-CR"/>
        </w:rPr>
      </w:pPr>
      <w:r w:rsidRPr="00132CF9">
        <w:rPr>
          <w:rFonts w:ascii="Arial" w:eastAsia="Calibri" w:hAnsi="Arial" w:cs="Arial"/>
          <w:noProof/>
          <w:lang w:eastAsia="es-CR"/>
        </w:rPr>
        <w:t>En el siguiente gráfico se observa la distribución de virus de influenza (tipos y subtipos) por semana epidemiológica para el año 2018.</w:t>
      </w:r>
    </w:p>
    <w:p w:rsidR="00475BBF" w:rsidRPr="00132CF9" w:rsidRDefault="00475BBF" w:rsidP="00475BBF">
      <w:pPr>
        <w:widowControl w:val="0"/>
        <w:spacing w:line="360" w:lineRule="auto"/>
        <w:rPr>
          <w:rFonts w:ascii="Arial" w:eastAsia="Calibri" w:hAnsi="Arial" w:cs="Arial"/>
          <w:noProof/>
          <w:lang w:eastAsia="es-CR"/>
        </w:rPr>
      </w:pPr>
    </w:p>
    <w:p w:rsidR="00475BBF" w:rsidRPr="00D65DB2" w:rsidRDefault="00475BBF" w:rsidP="00D65DB2">
      <w:pPr>
        <w:widowControl w:val="0"/>
        <w:jc w:val="center"/>
        <w:rPr>
          <w:rFonts w:ascii="Arial" w:eastAsia="Calibri" w:hAnsi="Arial" w:cs="Arial"/>
          <w:b/>
          <w:noProof/>
          <w:lang w:eastAsia="es-CR"/>
        </w:rPr>
      </w:pPr>
      <w:r w:rsidRPr="00D65DB2">
        <w:rPr>
          <w:rFonts w:ascii="Arial" w:eastAsia="Calibri" w:hAnsi="Arial" w:cs="Arial"/>
          <w:b/>
          <w:noProof/>
          <w:lang w:eastAsia="es-CR"/>
        </w:rPr>
        <w:t xml:space="preserve">Gráfico </w:t>
      </w:r>
      <w:r w:rsidR="00D65DB2" w:rsidRPr="00D65DB2">
        <w:rPr>
          <w:rFonts w:ascii="Arial" w:eastAsia="Calibri" w:hAnsi="Arial" w:cs="Arial"/>
          <w:b/>
          <w:noProof/>
          <w:lang w:eastAsia="es-CR"/>
        </w:rPr>
        <w:t>3</w:t>
      </w:r>
      <w:r w:rsidR="009E51D7">
        <w:rPr>
          <w:rFonts w:ascii="Arial" w:eastAsia="Calibri" w:hAnsi="Arial" w:cs="Arial"/>
          <w:b/>
          <w:noProof/>
          <w:lang w:eastAsia="es-CR"/>
        </w:rPr>
        <w:t>6</w:t>
      </w:r>
    </w:p>
    <w:p w:rsidR="00D65DB2" w:rsidRDefault="00475BBF" w:rsidP="00D65DB2">
      <w:pPr>
        <w:widowControl w:val="0"/>
        <w:jc w:val="center"/>
        <w:rPr>
          <w:rFonts w:ascii="Arial" w:eastAsia="Calibri" w:hAnsi="Arial" w:cs="Arial"/>
          <w:b/>
          <w:noProof/>
          <w:lang w:eastAsia="es-CR"/>
        </w:rPr>
      </w:pPr>
      <w:r w:rsidRPr="00D65DB2">
        <w:rPr>
          <w:rFonts w:ascii="Arial" w:eastAsia="Calibri" w:hAnsi="Arial" w:cs="Arial"/>
          <w:b/>
          <w:noProof/>
          <w:lang w:eastAsia="es-CR"/>
        </w:rPr>
        <w:t>Costa Rica</w:t>
      </w:r>
      <w:r w:rsidR="00D65DB2">
        <w:rPr>
          <w:rFonts w:ascii="Arial" w:eastAsia="Calibri" w:hAnsi="Arial" w:cs="Arial"/>
          <w:b/>
          <w:noProof/>
          <w:lang w:eastAsia="es-CR"/>
        </w:rPr>
        <w:t>:</w:t>
      </w:r>
      <w:r w:rsidRPr="00D65DB2">
        <w:rPr>
          <w:rFonts w:ascii="Arial" w:eastAsia="Calibri" w:hAnsi="Arial" w:cs="Arial"/>
          <w:b/>
          <w:noProof/>
          <w:lang w:eastAsia="es-CR"/>
        </w:rPr>
        <w:t xml:space="preserve"> </w:t>
      </w:r>
      <w:r w:rsidR="00D65DB2">
        <w:rPr>
          <w:rFonts w:ascii="Arial" w:eastAsia="Calibri" w:hAnsi="Arial" w:cs="Arial"/>
          <w:b/>
          <w:noProof/>
          <w:lang w:eastAsia="es-CR"/>
        </w:rPr>
        <w:t>D</w:t>
      </w:r>
      <w:r w:rsidRPr="00D65DB2">
        <w:rPr>
          <w:rFonts w:ascii="Arial" w:eastAsia="Calibri" w:hAnsi="Arial" w:cs="Arial"/>
          <w:b/>
          <w:noProof/>
          <w:lang w:eastAsia="es-CR"/>
        </w:rPr>
        <w:t xml:space="preserve">istribución de virus influenza </w:t>
      </w:r>
      <w:r w:rsidR="00D65DB2">
        <w:rPr>
          <w:rFonts w:ascii="Arial" w:eastAsia="Calibri" w:hAnsi="Arial" w:cs="Arial"/>
          <w:b/>
          <w:noProof/>
          <w:lang w:eastAsia="es-CR"/>
        </w:rPr>
        <w:t>según tipo</w:t>
      </w:r>
      <w:r w:rsidRPr="00D65DB2">
        <w:rPr>
          <w:rFonts w:ascii="Arial" w:eastAsia="Calibri" w:hAnsi="Arial" w:cs="Arial"/>
          <w:b/>
          <w:noProof/>
          <w:lang w:eastAsia="es-CR"/>
        </w:rPr>
        <w:t xml:space="preserve"> y subtipo</w:t>
      </w:r>
      <w:r w:rsidR="00D65DB2">
        <w:rPr>
          <w:rFonts w:ascii="Arial" w:eastAsia="Calibri" w:hAnsi="Arial" w:cs="Arial"/>
          <w:b/>
          <w:noProof/>
          <w:lang w:eastAsia="es-CR"/>
        </w:rPr>
        <w:t>,</w:t>
      </w:r>
    </w:p>
    <w:p w:rsidR="00475BBF" w:rsidRPr="00D65DB2" w:rsidRDefault="00475BBF" w:rsidP="00D65DB2">
      <w:pPr>
        <w:widowControl w:val="0"/>
        <w:jc w:val="center"/>
        <w:rPr>
          <w:rFonts w:ascii="Arial" w:eastAsia="Calibri" w:hAnsi="Arial" w:cs="Arial"/>
          <w:b/>
          <w:noProof/>
          <w:lang w:eastAsia="es-CR"/>
        </w:rPr>
      </w:pPr>
      <w:r w:rsidRPr="00D65DB2">
        <w:rPr>
          <w:rFonts w:ascii="Arial" w:eastAsia="Calibri" w:hAnsi="Arial" w:cs="Arial"/>
          <w:b/>
          <w:noProof/>
          <w:lang w:eastAsia="es-CR"/>
        </w:rPr>
        <w:t xml:space="preserve"> por semana epidemiológica, 2018.</w:t>
      </w:r>
    </w:p>
    <w:p w:rsidR="00475BBF" w:rsidRDefault="00475BBF" w:rsidP="00475BBF">
      <w:pPr>
        <w:widowControl w:val="0"/>
        <w:spacing w:line="360" w:lineRule="auto"/>
        <w:rPr>
          <w:rFonts w:ascii="Arial" w:eastAsia="Calibri" w:hAnsi="Arial" w:cs="Arial"/>
          <w:noProof/>
          <w:lang w:eastAsia="es-CR"/>
        </w:rPr>
      </w:pPr>
    </w:p>
    <w:p w:rsidR="00475BBF" w:rsidRDefault="00475BBF" w:rsidP="00475BBF">
      <w:pPr>
        <w:widowControl w:val="0"/>
        <w:spacing w:line="360" w:lineRule="auto"/>
        <w:jc w:val="center"/>
        <w:rPr>
          <w:rFonts w:ascii="Arial" w:eastAsia="Calibri" w:hAnsi="Arial" w:cs="Arial"/>
          <w:noProof/>
          <w:lang w:eastAsia="es-CR"/>
        </w:rPr>
      </w:pPr>
      <w:r w:rsidRPr="000B01E6">
        <w:rPr>
          <w:rFonts w:ascii="Arial" w:eastAsia="Calibri" w:hAnsi="Arial" w:cs="Arial"/>
          <w:noProof/>
          <w:lang w:val="es-CR" w:eastAsia="es-CR"/>
        </w:rPr>
        <w:drawing>
          <wp:inline distT="0" distB="0" distL="0" distR="0" wp14:anchorId="1BBB8D27" wp14:editId="0522C420">
            <wp:extent cx="4962525" cy="2471155"/>
            <wp:effectExtent l="0" t="0" r="0" b="5715"/>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t="11467"/>
                    <a:stretch/>
                  </pic:blipFill>
                  <pic:spPr bwMode="auto">
                    <a:xfrm>
                      <a:off x="0" y="0"/>
                      <a:ext cx="5019789" cy="2499670"/>
                    </a:xfrm>
                    <a:prstGeom prst="rect">
                      <a:avLst/>
                    </a:prstGeom>
                    <a:ln>
                      <a:noFill/>
                    </a:ln>
                    <a:extLst>
                      <a:ext uri="{53640926-AAD7-44D8-BBD7-CCE9431645EC}">
                        <a14:shadowObscured xmlns:a14="http://schemas.microsoft.com/office/drawing/2010/main"/>
                      </a:ext>
                    </a:extLst>
                  </pic:spPr>
                </pic:pic>
              </a:graphicData>
            </a:graphic>
          </wp:inline>
        </w:drawing>
      </w:r>
    </w:p>
    <w:p w:rsidR="00475BBF" w:rsidRPr="00D65DB2" w:rsidRDefault="00475BBF" w:rsidP="00475BBF">
      <w:pPr>
        <w:widowControl w:val="0"/>
        <w:spacing w:line="360" w:lineRule="auto"/>
        <w:jc w:val="center"/>
        <w:rPr>
          <w:rFonts w:ascii="Arial" w:eastAsia="Calibri" w:hAnsi="Arial" w:cs="Arial"/>
          <w:noProof/>
          <w:sz w:val="18"/>
          <w:szCs w:val="18"/>
          <w:lang w:eastAsia="es-CR"/>
        </w:rPr>
      </w:pPr>
      <w:r w:rsidRPr="00D65DB2">
        <w:rPr>
          <w:rFonts w:ascii="Arial" w:eastAsia="Calibri" w:hAnsi="Arial" w:cs="Arial"/>
          <w:b/>
          <w:noProof/>
          <w:sz w:val="18"/>
          <w:szCs w:val="18"/>
          <w:lang w:eastAsia="es-CR"/>
        </w:rPr>
        <w:t>Fuente:</w:t>
      </w:r>
      <w:r w:rsidRPr="00D65DB2">
        <w:rPr>
          <w:rFonts w:ascii="Arial" w:eastAsia="Calibri" w:hAnsi="Arial" w:cs="Arial"/>
          <w:noProof/>
          <w:sz w:val="18"/>
          <w:szCs w:val="18"/>
          <w:lang w:eastAsia="es-CR"/>
        </w:rPr>
        <w:t xml:space="preserve"> Centro Nacional Referencia Virología INCIENSA, 2018.</w:t>
      </w:r>
    </w:p>
    <w:p w:rsidR="00475BBF" w:rsidRDefault="00475BBF" w:rsidP="00475BBF">
      <w:pPr>
        <w:widowControl w:val="0"/>
        <w:spacing w:line="360" w:lineRule="auto"/>
        <w:rPr>
          <w:rFonts w:ascii="Arial" w:eastAsia="Calibri" w:hAnsi="Arial" w:cs="Arial"/>
          <w:noProof/>
          <w:lang w:eastAsia="es-CR"/>
        </w:rPr>
      </w:pPr>
    </w:p>
    <w:p w:rsidR="00475BBF" w:rsidRDefault="00475BBF" w:rsidP="00475BBF">
      <w:pPr>
        <w:widowControl w:val="0"/>
        <w:spacing w:line="360" w:lineRule="auto"/>
        <w:rPr>
          <w:rFonts w:ascii="Arial" w:eastAsia="Calibri" w:hAnsi="Arial" w:cs="Arial"/>
          <w:noProof/>
          <w:lang w:eastAsia="es-CR"/>
        </w:rPr>
      </w:pPr>
    </w:p>
    <w:p w:rsidR="00475BBF" w:rsidRDefault="00475BBF" w:rsidP="007F458C">
      <w:pPr>
        <w:spacing w:line="276" w:lineRule="auto"/>
        <w:jc w:val="both"/>
        <w:rPr>
          <w:rFonts w:ascii="Arial" w:eastAsia="Calibri" w:hAnsi="Arial" w:cs="Arial"/>
          <w:lang w:eastAsia="es-CR"/>
        </w:rPr>
      </w:pPr>
      <w:r>
        <w:rPr>
          <w:rFonts w:ascii="Arial" w:eastAsia="Calibri" w:hAnsi="Arial" w:cs="Arial"/>
          <w:lang w:eastAsia="es-CR"/>
        </w:rPr>
        <w:t>Con respecto a la mortalidad por virus respiratorios, en el año 2018, hubo un total de 2</w:t>
      </w:r>
      <w:r w:rsidR="007F458C">
        <w:rPr>
          <w:rFonts w:ascii="Arial" w:eastAsia="Calibri" w:hAnsi="Arial" w:cs="Arial"/>
          <w:lang w:eastAsia="es-CR"/>
        </w:rPr>
        <w:t>3</w:t>
      </w:r>
      <w:r>
        <w:rPr>
          <w:rFonts w:ascii="Arial" w:eastAsia="Calibri" w:hAnsi="Arial" w:cs="Arial"/>
          <w:lang w:eastAsia="es-CR"/>
        </w:rPr>
        <w:t xml:space="preserve"> pacientes fallecidos cuyo diagnóstico de muerte tuvo relación con virus respiratorios.</w:t>
      </w:r>
    </w:p>
    <w:p w:rsidR="00475BBF" w:rsidRDefault="00475BBF" w:rsidP="00475BBF">
      <w:pPr>
        <w:spacing w:line="276" w:lineRule="auto"/>
        <w:rPr>
          <w:rFonts w:ascii="Arial" w:eastAsia="Calibri" w:hAnsi="Arial" w:cs="Arial"/>
          <w:lang w:eastAsia="es-CR"/>
        </w:rPr>
      </w:pPr>
    </w:p>
    <w:p w:rsidR="00475BBF" w:rsidRPr="007F458C" w:rsidRDefault="00475BBF" w:rsidP="007F458C">
      <w:pPr>
        <w:jc w:val="center"/>
        <w:rPr>
          <w:rFonts w:ascii="Arial" w:eastAsia="Calibri" w:hAnsi="Arial" w:cs="Arial"/>
          <w:b/>
          <w:lang w:eastAsia="es-CR"/>
        </w:rPr>
      </w:pPr>
      <w:r w:rsidRPr="007F458C">
        <w:rPr>
          <w:rFonts w:ascii="Arial" w:eastAsia="Calibri" w:hAnsi="Arial" w:cs="Arial"/>
          <w:b/>
          <w:lang w:eastAsia="es-CR"/>
        </w:rPr>
        <w:t xml:space="preserve">Cuadro </w:t>
      </w:r>
      <w:r w:rsidR="007F458C" w:rsidRPr="007F458C">
        <w:rPr>
          <w:rFonts w:ascii="Arial" w:eastAsia="Calibri" w:hAnsi="Arial" w:cs="Arial"/>
          <w:b/>
          <w:lang w:eastAsia="es-CR"/>
        </w:rPr>
        <w:t>3</w:t>
      </w:r>
      <w:r w:rsidR="009E51D7">
        <w:rPr>
          <w:rFonts w:ascii="Arial" w:eastAsia="Calibri" w:hAnsi="Arial" w:cs="Arial"/>
          <w:b/>
          <w:lang w:eastAsia="es-CR"/>
        </w:rPr>
        <w:t>5</w:t>
      </w:r>
    </w:p>
    <w:p w:rsidR="007F458C" w:rsidRPr="007F458C" w:rsidRDefault="00475BBF" w:rsidP="007F458C">
      <w:pPr>
        <w:spacing w:after="240"/>
        <w:jc w:val="center"/>
        <w:rPr>
          <w:rFonts w:ascii="Arial" w:eastAsia="Calibri" w:hAnsi="Arial" w:cs="Arial"/>
          <w:b/>
          <w:lang w:eastAsia="es-CR"/>
        </w:rPr>
      </w:pPr>
      <w:r w:rsidRPr="007F458C">
        <w:rPr>
          <w:rFonts w:ascii="Arial" w:eastAsia="Calibri" w:hAnsi="Arial" w:cs="Arial"/>
          <w:b/>
          <w:lang w:eastAsia="es-CR"/>
        </w:rPr>
        <w:t>Costa Rica</w:t>
      </w:r>
      <w:r w:rsidR="007F458C">
        <w:rPr>
          <w:rFonts w:ascii="Arial" w:eastAsia="Calibri" w:hAnsi="Arial" w:cs="Arial"/>
          <w:b/>
          <w:lang w:eastAsia="es-CR"/>
        </w:rPr>
        <w:t>:</w:t>
      </w:r>
      <w:r w:rsidRPr="007F458C">
        <w:rPr>
          <w:rFonts w:ascii="Arial" w:eastAsia="Calibri" w:hAnsi="Arial" w:cs="Arial"/>
          <w:b/>
          <w:lang w:eastAsia="es-CR"/>
        </w:rPr>
        <w:t xml:space="preserve"> Mortalidad </w:t>
      </w:r>
      <w:r w:rsidR="007F458C">
        <w:rPr>
          <w:rFonts w:ascii="Arial" w:eastAsia="Calibri" w:hAnsi="Arial" w:cs="Arial"/>
          <w:b/>
          <w:lang w:eastAsia="es-CR"/>
        </w:rPr>
        <w:t xml:space="preserve">según </w:t>
      </w:r>
      <w:r w:rsidRPr="007F458C">
        <w:rPr>
          <w:rFonts w:ascii="Arial" w:eastAsia="Calibri" w:hAnsi="Arial" w:cs="Arial"/>
          <w:b/>
          <w:lang w:eastAsia="es-CR"/>
        </w:rPr>
        <w:t>tipo de virus respiratorio, 2018.</w:t>
      </w:r>
    </w:p>
    <w:tbl>
      <w:tblPr>
        <w:tblW w:w="7370" w:type="dxa"/>
        <w:jc w:val="center"/>
        <w:tblCellMar>
          <w:left w:w="70" w:type="dxa"/>
          <w:right w:w="70" w:type="dxa"/>
        </w:tblCellMar>
        <w:tblLook w:val="04A0" w:firstRow="1" w:lastRow="0" w:firstColumn="1" w:lastColumn="0" w:noHBand="0" w:noVBand="1"/>
      </w:tblPr>
      <w:tblGrid>
        <w:gridCol w:w="2780"/>
        <w:gridCol w:w="2295"/>
        <w:gridCol w:w="2295"/>
      </w:tblGrid>
      <w:tr w:rsidR="007F458C" w:rsidRPr="00132CF9" w:rsidTr="007F458C">
        <w:trPr>
          <w:trHeight w:val="356"/>
          <w:jc w:val="center"/>
        </w:trPr>
        <w:tc>
          <w:tcPr>
            <w:tcW w:w="2780" w:type="dxa"/>
            <w:tcBorders>
              <w:top w:val="single" w:sz="4" w:space="0" w:color="auto"/>
              <w:left w:val="nil"/>
              <w:bottom w:val="single" w:sz="4" w:space="0" w:color="auto"/>
              <w:right w:val="nil"/>
            </w:tcBorders>
            <w:shd w:val="clear" w:color="auto" w:fill="D5DCE4" w:themeFill="text2" w:themeFillTint="33"/>
            <w:noWrap/>
            <w:vAlign w:val="bottom"/>
            <w:hideMark/>
          </w:tcPr>
          <w:p w:rsidR="007F458C" w:rsidRPr="00132CF9" w:rsidRDefault="007F458C" w:rsidP="00475BBF">
            <w:pPr>
              <w:rPr>
                <w:rFonts w:ascii="Arial" w:eastAsia="Times New Roman" w:hAnsi="Arial" w:cs="Arial"/>
                <w:b/>
                <w:bCs/>
                <w:color w:val="000000"/>
                <w:sz w:val="20"/>
                <w:szCs w:val="20"/>
                <w:lang w:eastAsia="es-CR"/>
              </w:rPr>
            </w:pPr>
            <w:r w:rsidRPr="00132CF9">
              <w:rPr>
                <w:rFonts w:ascii="Arial" w:eastAsia="Times New Roman" w:hAnsi="Arial" w:cs="Arial"/>
                <w:b/>
                <w:bCs/>
                <w:color w:val="000000"/>
                <w:sz w:val="20"/>
                <w:szCs w:val="20"/>
                <w:lang w:eastAsia="es-CR"/>
              </w:rPr>
              <w:t>Virus</w:t>
            </w:r>
          </w:p>
        </w:tc>
        <w:tc>
          <w:tcPr>
            <w:tcW w:w="2295" w:type="dxa"/>
            <w:tcBorders>
              <w:top w:val="single" w:sz="4" w:space="0" w:color="auto"/>
              <w:left w:val="nil"/>
              <w:bottom w:val="single" w:sz="4" w:space="0" w:color="auto"/>
              <w:right w:val="nil"/>
            </w:tcBorders>
            <w:shd w:val="clear" w:color="auto" w:fill="D5DCE4" w:themeFill="text2" w:themeFillTint="33"/>
            <w:noWrap/>
            <w:vAlign w:val="bottom"/>
            <w:hideMark/>
          </w:tcPr>
          <w:p w:rsidR="007F458C" w:rsidRPr="00132CF9" w:rsidRDefault="007F458C" w:rsidP="007F458C">
            <w:pPr>
              <w:jc w:val="center"/>
              <w:rPr>
                <w:rFonts w:ascii="Arial" w:eastAsia="Times New Roman" w:hAnsi="Arial" w:cs="Arial"/>
                <w:b/>
                <w:bCs/>
                <w:color w:val="000000"/>
                <w:sz w:val="20"/>
                <w:szCs w:val="20"/>
                <w:lang w:eastAsia="es-CR"/>
              </w:rPr>
            </w:pPr>
            <w:r w:rsidRPr="00132CF9">
              <w:rPr>
                <w:rFonts w:ascii="Arial" w:eastAsia="Times New Roman" w:hAnsi="Arial" w:cs="Arial"/>
                <w:b/>
                <w:bCs/>
                <w:color w:val="000000"/>
                <w:sz w:val="20"/>
                <w:szCs w:val="20"/>
                <w:lang w:eastAsia="es-CR"/>
              </w:rPr>
              <w:t>Número</w:t>
            </w:r>
          </w:p>
        </w:tc>
        <w:tc>
          <w:tcPr>
            <w:tcW w:w="2295" w:type="dxa"/>
            <w:tcBorders>
              <w:top w:val="single" w:sz="4" w:space="0" w:color="auto"/>
              <w:left w:val="nil"/>
              <w:bottom w:val="single" w:sz="4" w:space="0" w:color="auto"/>
              <w:right w:val="nil"/>
            </w:tcBorders>
            <w:shd w:val="clear" w:color="auto" w:fill="D5DCE4" w:themeFill="text2" w:themeFillTint="33"/>
          </w:tcPr>
          <w:p w:rsidR="007F458C" w:rsidRPr="00132CF9" w:rsidRDefault="007F458C" w:rsidP="00475BBF">
            <w:pPr>
              <w:jc w:val="center"/>
              <w:rPr>
                <w:rFonts w:ascii="Arial" w:eastAsia="Times New Roman" w:hAnsi="Arial" w:cs="Arial"/>
                <w:b/>
                <w:bCs/>
                <w:color w:val="000000"/>
                <w:sz w:val="20"/>
                <w:szCs w:val="20"/>
                <w:lang w:eastAsia="es-CR"/>
              </w:rPr>
            </w:pPr>
            <w:r w:rsidRPr="00132CF9">
              <w:rPr>
                <w:rFonts w:ascii="Arial" w:eastAsia="Times New Roman" w:hAnsi="Arial" w:cs="Arial"/>
                <w:b/>
                <w:bCs/>
                <w:color w:val="000000"/>
                <w:sz w:val="20"/>
                <w:szCs w:val="20"/>
                <w:lang w:eastAsia="es-CR"/>
              </w:rPr>
              <w:t>Porcentaje</w:t>
            </w:r>
          </w:p>
        </w:tc>
      </w:tr>
      <w:tr w:rsidR="007F458C" w:rsidRPr="00132CF9" w:rsidTr="007F458C">
        <w:trPr>
          <w:trHeight w:val="290"/>
          <w:jc w:val="center"/>
        </w:trPr>
        <w:tc>
          <w:tcPr>
            <w:tcW w:w="2780" w:type="dxa"/>
            <w:tcBorders>
              <w:top w:val="single" w:sz="4" w:space="0" w:color="auto"/>
              <w:left w:val="nil"/>
              <w:bottom w:val="nil"/>
              <w:right w:val="nil"/>
            </w:tcBorders>
            <w:shd w:val="clear" w:color="auto" w:fill="auto"/>
            <w:noWrap/>
            <w:vAlign w:val="bottom"/>
            <w:hideMark/>
          </w:tcPr>
          <w:p w:rsidR="007F458C" w:rsidRPr="00132CF9" w:rsidRDefault="007F458C" w:rsidP="00475BBF">
            <w:pP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Adenovirus</w:t>
            </w:r>
          </w:p>
        </w:tc>
        <w:tc>
          <w:tcPr>
            <w:tcW w:w="2295" w:type="dxa"/>
            <w:tcBorders>
              <w:top w:val="single" w:sz="4" w:space="0" w:color="auto"/>
              <w:left w:val="nil"/>
              <w:bottom w:val="nil"/>
              <w:right w:val="nil"/>
            </w:tcBorders>
            <w:shd w:val="clear" w:color="auto" w:fill="auto"/>
            <w:noWrap/>
            <w:vAlign w:val="bottom"/>
            <w:hideMark/>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9</w:t>
            </w:r>
          </w:p>
        </w:tc>
        <w:tc>
          <w:tcPr>
            <w:tcW w:w="2295" w:type="dxa"/>
            <w:tcBorders>
              <w:top w:val="single" w:sz="4" w:space="0" w:color="auto"/>
              <w:left w:val="nil"/>
              <w:bottom w:val="nil"/>
              <w:right w:val="nil"/>
            </w:tcBorders>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39</w:t>
            </w:r>
          </w:p>
        </w:tc>
      </w:tr>
      <w:tr w:rsidR="007F458C" w:rsidRPr="00132CF9" w:rsidTr="007F458C">
        <w:trPr>
          <w:trHeight w:val="290"/>
          <w:jc w:val="center"/>
        </w:trPr>
        <w:tc>
          <w:tcPr>
            <w:tcW w:w="2780" w:type="dxa"/>
            <w:tcBorders>
              <w:top w:val="nil"/>
              <w:left w:val="nil"/>
              <w:bottom w:val="nil"/>
              <w:right w:val="nil"/>
            </w:tcBorders>
            <w:shd w:val="clear" w:color="auto" w:fill="auto"/>
            <w:noWrap/>
            <w:vAlign w:val="bottom"/>
            <w:hideMark/>
          </w:tcPr>
          <w:p w:rsidR="007F458C" w:rsidRPr="00132CF9" w:rsidRDefault="007F458C" w:rsidP="00475BBF">
            <w:pP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Influenza H1N1</w:t>
            </w:r>
          </w:p>
        </w:tc>
        <w:tc>
          <w:tcPr>
            <w:tcW w:w="2295" w:type="dxa"/>
            <w:tcBorders>
              <w:top w:val="nil"/>
              <w:left w:val="nil"/>
              <w:bottom w:val="nil"/>
              <w:right w:val="nil"/>
            </w:tcBorders>
            <w:shd w:val="clear" w:color="auto" w:fill="auto"/>
            <w:noWrap/>
            <w:vAlign w:val="bottom"/>
            <w:hideMark/>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3</w:t>
            </w:r>
          </w:p>
        </w:tc>
        <w:tc>
          <w:tcPr>
            <w:tcW w:w="2295" w:type="dxa"/>
            <w:tcBorders>
              <w:top w:val="nil"/>
              <w:left w:val="nil"/>
              <w:bottom w:val="nil"/>
              <w:right w:val="nil"/>
            </w:tcBorders>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13</w:t>
            </w:r>
          </w:p>
        </w:tc>
      </w:tr>
      <w:tr w:rsidR="007F458C" w:rsidRPr="00132CF9" w:rsidTr="007F458C">
        <w:trPr>
          <w:trHeight w:val="290"/>
          <w:jc w:val="center"/>
        </w:trPr>
        <w:tc>
          <w:tcPr>
            <w:tcW w:w="2780" w:type="dxa"/>
            <w:tcBorders>
              <w:top w:val="nil"/>
              <w:left w:val="nil"/>
              <w:bottom w:val="nil"/>
              <w:right w:val="nil"/>
            </w:tcBorders>
            <w:shd w:val="clear" w:color="auto" w:fill="auto"/>
            <w:noWrap/>
            <w:vAlign w:val="bottom"/>
            <w:hideMark/>
          </w:tcPr>
          <w:p w:rsidR="007F458C" w:rsidRPr="00132CF9" w:rsidRDefault="007F458C" w:rsidP="00475BBF">
            <w:pP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Metaneumovirus</w:t>
            </w:r>
          </w:p>
        </w:tc>
        <w:tc>
          <w:tcPr>
            <w:tcW w:w="2295" w:type="dxa"/>
            <w:tcBorders>
              <w:top w:val="nil"/>
              <w:left w:val="nil"/>
              <w:bottom w:val="nil"/>
              <w:right w:val="nil"/>
            </w:tcBorders>
            <w:shd w:val="clear" w:color="auto" w:fill="auto"/>
            <w:noWrap/>
            <w:vAlign w:val="bottom"/>
            <w:hideMark/>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1</w:t>
            </w:r>
          </w:p>
        </w:tc>
        <w:tc>
          <w:tcPr>
            <w:tcW w:w="2295" w:type="dxa"/>
            <w:tcBorders>
              <w:top w:val="nil"/>
              <w:left w:val="nil"/>
              <w:bottom w:val="nil"/>
              <w:right w:val="nil"/>
            </w:tcBorders>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4</w:t>
            </w:r>
          </w:p>
        </w:tc>
      </w:tr>
      <w:tr w:rsidR="007F458C" w:rsidRPr="00132CF9" w:rsidTr="007F458C">
        <w:trPr>
          <w:trHeight w:val="290"/>
          <w:jc w:val="center"/>
        </w:trPr>
        <w:tc>
          <w:tcPr>
            <w:tcW w:w="2780" w:type="dxa"/>
            <w:tcBorders>
              <w:top w:val="nil"/>
              <w:left w:val="nil"/>
              <w:bottom w:val="nil"/>
              <w:right w:val="nil"/>
            </w:tcBorders>
            <w:shd w:val="clear" w:color="auto" w:fill="auto"/>
            <w:noWrap/>
            <w:vAlign w:val="bottom"/>
            <w:hideMark/>
          </w:tcPr>
          <w:p w:rsidR="007F458C" w:rsidRPr="00132CF9" w:rsidRDefault="007F458C" w:rsidP="00475BBF">
            <w:pP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 xml:space="preserve">Parainfluenza </w:t>
            </w:r>
          </w:p>
        </w:tc>
        <w:tc>
          <w:tcPr>
            <w:tcW w:w="2295" w:type="dxa"/>
            <w:tcBorders>
              <w:top w:val="nil"/>
              <w:left w:val="nil"/>
              <w:bottom w:val="nil"/>
              <w:right w:val="nil"/>
            </w:tcBorders>
            <w:shd w:val="clear" w:color="auto" w:fill="auto"/>
            <w:noWrap/>
            <w:vAlign w:val="bottom"/>
            <w:hideMark/>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4</w:t>
            </w:r>
          </w:p>
        </w:tc>
        <w:tc>
          <w:tcPr>
            <w:tcW w:w="2295" w:type="dxa"/>
            <w:tcBorders>
              <w:top w:val="nil"/>
              <w:left w:val="nil"/>
              <w:bottom w:val="nil"/>
              <w:right w:val="nil"/>
            </w:tcBorders>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17</w:t>
            </w:r>
          </w:p>
        </w:tc>
      </w:tr>
      <w:tr w:rsidR="007F458C" w:rsidRPr="00132CF9" w:rsidTr="007F458C">
        <w:trPr>
          <w:trHeight w:val="290"/>
          <w:jc w:val="center"/>
        </w:trPr>
        <w:tc>
          <w:tcPr>
            <w:tcW w:w="2780" w:type="dxa"/>
            <w:tcBorders>
              <w:top w:val="nil"/>
              <w:left w:val="nil"/>
              <w:bottom w:val="nil"/>
              <w:right w:val="nil"/>
            </w:tcBorders>
            <w:shd w:val="clear" w:color="auto" w:fill="auto"/>
            <w:noWrap/>
            <w:vAlign w:val="bottom"/>
            <w:hideMark/>
          </w:tcPr>
          <w:p w:rsidR="007F458C" w:rsidRPr="00132CF9" w:rsidRDefault="007F458C" w:rsidP="00475BBF">
            <w:pP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Rinovirus</w:t>
            </w:r>
          </w:p>
        </w:tc>
        <w:tc>
          <w:tcPr>
            <w:tcW w:w="2295" w:type="dxa"/>
            <w:tcBorders>
              <w:top w:val="nil"/>
              <w:left w:val="nil"/>
              <w:bottom w:val="nil"/>
              <w:right w:val="nil"/>
            </w:tcBorders>
            <w:shd w:val="clear" w:color="auto" w:fill="auto"/>
            <w:noWrap/>
            <w:vAlign w:val="bottom"/>
            <w:hideMark/>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1</w:t>
            </w:r>
          </w:p>
        </w:tc>
        <w:tc>
          <w:tcPr>
            <w:tcW w:w="2295" w:type="dxa"/>
            <w:tcBorders>
              <w:top w:val="nil"/>
              <w:left w:val="nil"/>
              <w:bottom w:val="nil"/>
              <w:right w:val="nil"/>
            </w:tcBorders>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4</w:t>
            </w:r>
          </w:p>
        </w:tc>
      </w:tr>
      <w:tr w:rsidR="007F458C" w:rsidRPr="00132CF9" w:rsidTr="007F458C">
        <w:trPr>
          <w:trHeight w:val="290"/>
          <w:jc w:val="center"/>
        </w:trPr>
        <w:tc>
          <w:tcPr>
            <w:tcW w:w="2780" w:type="dxa"/>
            <w:tcBorders>
              <w:top w:val="nil"/>
              <w:left w:val="nil"/>
              <w:bottom w:val="nil"/>
              <w:right w:val="nil"/>
            </w:tcBorders>
            <w:shd w:val="clear" w:color="auto" w:fill="auto"/>
            <w:noWrap/>
            <w:vAlign w:val="bottom"/>
            <w:hideMark/>
          </w:tcPr>
          <w:p w:rsidR="007F458C" w:rsidRPr="00132CF9" w:rsidRDefault="007F458C" w:rsidP="00475BBF">
            <w:pP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Virus Respiratorio Sincitial</w:t>
            </w:r>
          </w:p>
        </w:tc>
        <w:tc>
          <w:tcPr>
            <w:tcW w:w="2295" w:type="dxa"/>
            <w:tcBorders>
              <w:top w:val="nil"/>
              <w:left w:val="nil"/>
              <w:bottom w:val="nil"/>
              <w:right w:val="nil"/>
            </w:tcBorders>
            <w:shd w:val="clear" w:color="auto" w:fill="auto"/>
            <w:noWrap/>
            <w:vAlign w:val="bottom"/>
            <w:hideMark/>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4</w:t>
            </w:r>
          </w:p>
        </w:tc>
        <w:tc>
          <w:tcPr>
            <w:tcW w:w="2295" w:type="dxa"/>
            <w:tcBorders>
              <w:top w:val="nil"/>
              <w:left w:val="nil"/>
              <w:bottom w:val="nil"/>
              <w:right w:val="nil"/>
            </w:tcBorders>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17</w:t>
            </w:r>
          </w:p>
        </w:tc>
      </w:tr>
      <w:tr w:rsidR="007F458C" w:rsidRPr="00132CF9" w:rsidTr="007F458C">
        <w:trPr>
          <w:trHeight w:val="290"/>
          <w:jc w:val="center"/>
        </w:trPr>
        <w:tc>
          <w:tcPr>
            <w:tcW w:w="2780" w:type="dxa"/>
            <w:tcBorders>
              <w:top w:val="nil"/>
              <w:left w:val="nil"/>
              <w:bottom w:val="single" w:sz="4" w:space="0" w:color="auto"/>
              <w:right w:val="nil"/>
            </w:tcBorders>
            <w:shd w:val="clear" w:color="auto" w:fill="auto"/>
            <w:noWrap/>
            <w:vAlign w:val="bottom"/>
            <w:hideMark/>
          </w:tcPr>
          <w:p w:rsidR="007F458C" w:rsidRPr="00132CF9" w:rsidRDefault="007F458C" w:rsidP="00475BBF">
            <w:pP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No descrito</w:t>
            </w:r>
          </w:p>
        </w:tc>
        <w:tc>
          <w:tcPr>
            <w:tcW w:w="2295" w:type="dxa"/>
            <w:tcBorders>
              <w:top w:val="nil"/>
              <w:left w:val="nil"/>
              <w:bottom w:val="single" w:sz="4" w:space="0" w:color="auto"/>
              <w:right w:val="nil"/>
            </w:tcBorders>
            <w:shd w:val="clear" w:color="auto" w:fill="auto"/>
            <w:noWrap/>
            <w:vAlign w:val="bottom"/>
            <w:hideMark/>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1</w:t>
            </w:r>
          </w:p>
        </w:tc>
        <w:tc>
          <w:tcPr>
            <w:tcW w:w="2295" w:type="dxa"/>
            <w:tcBorders>
              <w:top w:val="nil"/>
              <w:left w:val="nil"/>
              <w:bottom w:val="single" w:sz="4" w:space="0" w:color="auto"/>
              <w:right w:val="nil"/>
            </w:tcBorders>
          </w:tcPr>
          <w:p w:rsidR="007F458C" w:rsidRPr="00132CF9" w:rsidRDefault="007F458C" w:rsidP="00475BBF">
            <w:pPr>
              <w:jc w:val="center"/>
              <w:rPr>
                <w:rFonts w:ascii="Arial" w:eastAsia="Times New Roman" w:hAnsi="Arial" w:cs="Arial"/>
                <w:color w:val="000000"/>
                <w:sz w:val="20"/>
                <w:szCs w:val="20"/>
                <w:lang w:eastAsia="es-CR"/>
              </w:rPr>
            </w:pPr>
            <w:r w:rsidRPr="00132CF9">
              <w:rPr>
                <w:rFonts w:ascii="Arial" w:eastAsia="Times New Roman" w:hAnsi="Arial" w:cs="Arial"/>
                <w:color w:val="000000"/>
                <w:sz w:val="20"/>
                <w:szCs w:val="20"/>
                <w:lang w:eastAsia="es-CR"/>
              </w:rPr>
              <w:t>4</w:t>
            </w:r>
          </w:p>
        </w:tc>
      </w:tr>
      <w:tr w:rsidR="007F458C" w:rsidRPr="00132CF9" w:rsidTr="007F458C">
        <w:trPr>
          <w:trHeight w:val="290"/>
          <w:jc w:val="center"/>
        </w:trPr>
        <w:tc>
          <w:tcPr>
            <w:tcW w:w="2780" w:type="dxa"/>
            <w:tcBorders>
              <w:top w:val="single" w:sz="4" w:space="0" w:color="auto"/>
              <w:left w:val="nil"/>
              <w:bottom w:val="single" w:sz="4" w:space="0" w:color="auto"/>
              <w:right w:val="nil"/>
            </w:tcBorders>
            <w:shd w:val="clear" w:color="auto" w:fill="auto"/>
            <w:noWrap/>
            <w:vAlign w:val="bottom"/>
            <w:hideMark/>
          </w:tcPr>
          <w:p w:rsidR="007F458C" w:rsidRPr="00132CF9" w:rsidRDefault="007F458C" w:rsidP="00475BBF">
            <w:pPr>
              <w:rPr>
                <w:rFonts w:ascii="Arial" w:eastAsia="Times New Roman" w:hAnsi="Arial" w:cs="Arial"/>
                <w:b/>
                <w:bCs/>
                <w:color w:val="000000"/>
                <w:sz w:val="20"/>
                <w:szCs w:val="20"/>
                <w:lang w:eastAsia="es-CR"/>
              </w:rPr>
            </w:pPr>
            <w:r w:rsidRPr="00132CF9">
              <w:rPr>
                <w:rFonts w:ascii="Arial" w:eastAsia="Times New Roman" w:hAnsi="Arial" w:cs="Arial"/>
                <w:b/>
                <w:bCs/>
                <w:color w:val="000000"/>
                <w:sz w:val="20"/>
                <w:szCs w:val="20"/>
                <w:lang w:eastAsia="es-CR"/>
              </w:rPr>
              <w:t>Total general</w:t>
            </w:r>
          </w:p>
        </w:tc>
        <w:tc>
          <w:tcPr>
            <w:tcW w:w="2295" w:type="dxa"/>
            <w:tcBorders>
              <w:top w:val="single" w:sz="4" w:space="0" w:color="auto"/>
              <w:left w:val="nil"/>
              <w:bottom w:val="single" w:sz="4" w:space="0" w:color="auto"/>
              <w:right w:val="nil"/>
            </w:tcBorders>
            <w:shd w:val="clear" w:color="auto" w:fill="auto"/>
            <w:noWrap/>
            <w:vAlign w:val="bottom"/>
            <w:hideMark/>
          </w:tcPr>
          <w:p w:rsidR="007F458C" w:rsidRPr="00132CF9" w:rsidRDefault="007F458C" w:rsidP="00475BBF">
            <w:pPr>
              <w:jc w:val="center"/>
              <w:rPr>
                <w:rFonts w:ascii="Arial" w:eastAsia="Times New Roman" w:hAnsi="Arial" w:cs="Arial"/>
                <w:b/>
                <w:bCs/>
                <w:color w:val="000000"/>
                <w:sz w:val="20"/>
                <w:szCs w:val="20"/>
                <w:lang w:eastAsia="es-CR"/>
              </w:rPr>
            </w:pPr>
            <w:r w:rsidRPr="00132CF9">
              <w:rPr>
                <w:rFonts w:ascii="Arial" w:eastAsia="Times New Roman" w:hAnsi="Arial" w:cs="Arial"/>
                <w:b/>
                <w:bCs/>
                <w:color w:val="000000"/>
                <w:sz w:val="20"/>
                <w:szCs w:val="20"/>
                <w:lang w:eastAsia="es-CR"/>
              </w:rPr>
              <w:t>23</w:t>
            </w:r>
          </w:p>
        </w:tc>
        <w:tc>
          <w:tcPr>
            <w:tcW w:w="2295" w:type="dxa"/>
            <w:tcBorders>
              <w:top w:val="single" w:sz="4" w:space="0" w:color="auto"/>
              <w:left w:val="nil"/>
              <w:bottom w:val="single" w:sz="4" w:space="0" w:color="auto"/>
              <w:right w:val="nil"/>
            </w:tcBorders>
          </w:tcPr>
          <w:p w:rsidR="007F458C" w:rsidRPr="00132CF9" w:rsidRDefault="007F458C" w:rsidP="00475BBF">
            <w:pPr>
              <w:jc w:val="center"/>
              <w:rPr>
                <w:rFonts w:ascii="Arial" w:eastAsia="Times New Roman" w:hAnsi="Arial" w:cs="Arial"/>
                <w:b/>
                <w:bCs/>
                <w:color w:val="000000"/>
                <w:sz w:val="20"/>
                <w:szCs w:val="20"/>
                <w:lang w:eastAsia="es-CR"/>
              </w:rPr>
            </w:pPr>
            <w:r w:rsidRPr="00132CF9">
              <w:rPr>
                <w:rFonts w:ascii="Arial" w:eastAsia="Times New Roman" w:hAnsi="Arial" w:cs="Arial"/>
                <w:b/>
                <w:bCs/>
                <w:color w:val="000000"/>
                <w:sz w:val="20"/>
                <w:szCs w:val="20"/>
                <w:lang w:eastAsia="es-CR"/>
              </w:rPr>
              <w:t>100</w:t>
            </w:r>
          </w:p>
        </w:tc>
      </w:tr>
    </w:tbl>
    <w:p w:rsidR="00475BBF" w:rsidRPr="00347377" w:rsidRDefault="00475BBF" w:rsidP="007F458C">
      <w:pPr>
        <w:spacing w:line="360" w:lineRule="auto"/>
        <w:jc w:val="right"/>
        <w:rPr>
          <w:rFonts w:ascii="Arial" w:eastAsia="Calibri" w:hAnsi="Arial" w:cs="Arial"/>
          <w:sz w:val="20"/>
          <w:lang w:eastAsia="es-CR"/>
        </w:rPr>
      </w:pPr>
      <w:r w:rsidRPr="007F458C">
        <w:rPr>
          <w:rFonts w:ascii="Arial" w:eastAsia="Calibri" w:hAnsi="Arial" w:cs="Arial"/>
          <w:b/>
          <w:sz w:val="20"/>
          <w:lang w:eastAsia="es-CR"/>
        </w:rPr>
        <w:t>Fuente:</w:t>
      </w:r>
      <w:r w:rsidR="007F458C">
        <w:rPr>
          <w:rFonts w:ascii="Arial" w:eastAsia="Calibri" w:hAnsi="Arial" w:cs="Arial"/>
          <w:sz w:val="20"/>
          <w:lang w:eastAsia="es-CR"/>
        </w:rPr>
        <w:t xml:space="preserve"> CCSS, </w:t>
      </w:r>
      <w:r w:rsidRPr="00347377">
        <w:rPr>
          <w:rFonts w:ascii="Arial" w:eastAsia="Calibri" w:hAnsi="Arial" w:cs="Arial"/>
          <w:sz w:val="20"/>
          <w:lang w:eastAsia="es-CR"/>
        </w:rPr>
        <w:t>Ministerio de Salud</w:t>
      </w:r>
      <w:r w:rsidR="007F458C">
        <w:rPr>
          <w:rFonts w:ascii="Arial" w:eastAsia="Calibri" w:hAnsi="Arial" w:cs="Arial"/>
          <w:sz w:val="20"/>
          <w:lang w:eastAsia="es-CR"/>
        </w:rPr>
        <w:t>, 2019.</w:t>
      </w:r>
    </w:p>
    <w:p w:rsidR="00475BBF" w:rsidRDefault="00475BBF" w:rsidP="00475BBF">
      <w:pPr>
        <w:widowControl w:val="0"/>
        <w:spacing w:line="276" w:lineRule="auto"/>
        <w:jc w:val="both"/>
        <w:rPr>
          <w:rFonts w:ascii="Arial" w:eastAsia="Calibri" w:hAnsi="Arial" w:cs="Arial"/>
        </w:rPr>
      </w:pPr>
    </w:p>
    <w:p w:rsidR="00475BBF" w:rsidRPr="005C359F" w:rsidRDefault="007F458C" w:rsidP="00475BBF">
      <w:pPr>
        <w:widowControl w:val="0"/>
        <w:spacing w:line="276" w:lineRule="auto"/>
        <w:jc w:val="both"/>
        <w:rPr>
          <w:rFonts w:ascii="Arial" w:eastAsia="Calibri" w:hAnsi="Arial" w:cs="Arial"/>
        </w:rPr>
      </w:pPr>
      <w:r>
        <w:rPr>
          <w:rFonts w:ascii="Arial" w:eastAsia="Calibri" w:hAnsi="Arial" w:cs="Arial"/>
        </w:rPr>
        <w:t xml:space="preserve">En relación con la </w:t>
      </w:r>
      <w:r w:rsidR="00475BBF" w:rsidRPr="005C359F">
        <w:rPr>
          <w:rFonts w:ascii="Arial" w:eastAsia="Calibri" w:hAnsi="Arial" w:cs="Arial"/>
        </w:rPr>
        <w:t xml:space="preserve">mortalidad por virus respiratorios confirmados por laboratorio, </w:t>
      </w:r>
      <w:r>
        <w:rPr>
          <w:rFonts w:ascii="Arial" w:eastAsia="Calibri" w:hAnsi="Arial" w:cs="Arial"/>
        </w:rPr>
        <w:t>en el cuadro 3</w:t>
      </w:r>
      <w:r w:rsidR="00132CF9">
        <w:rPr>
          <w:rFonts w:ascii="Arial" w:eastAsia="Calibri" w:hAnsi="Arial" w:cs="Arial"/>
        </w:rPr>
        <w:t>6</w:t>
      </w:r>
      <w:r>
        <w:rPr>
          <w:rFonts w:ascii="Arial" w:eastAsia="Calibri" w:hAnsi="Arial" w:cs="Arial"/>
        </w:rPr>
        <w:t xml:space="preserve"> </w:t>
      </w:r>
      <w:r w:rsidR="00475BBF" w:rsidRPr="005C359F">
        <w:rPr>
          <w:rFonts w:ascii="Arial" w:eastAsia="Calibri" w:hAnsi="Arial" w:cs="Arial"/>
        </w:rPr>
        <w:t xml:space="preserve">se observa </w:t>
      </w:r>
      <w:r>
        <w:rPr>
          <w:rFonts w:ascii="Arial" w:eastAsia="Calibri" w:hAnsi="Arial" w:cs="Arial"/>
        </w:rPr>
        <w:t xml:space="preserve">que los virus </w:t>
      </w:r>
      <w:r w:rsidR="00475BBF" w:rsidRPr="005C359F">
        <w:rPr>
          <w:rFonts w:ascii="Arial" w:eastAsia="Calibri" w:hAnsi="Arial" w:cs="Arial"/>
        </w:rPr>
        <w:t>influenza</w:t>
      </w:r>
      <w:r w:rsidR="00475BBF">
        <w:rPr>
          <w:rFonts w:ascii="Arial" w:eastAsia="Calibri" w:hAnsi="Arial" w:cs="Arial"/>
        </w:rPr>
        <w:t xml:space="preserve"> </w:t>
      </w:r>
      <w:r w:rsidR="00475BBF" w:rsidRPr="005C359F">
        <w:rPr>
          <w:rFonts w:ascii="Arial" w:eastAsia="Calibri" w:hAnsi="Arial" w:cs="Arial"/>
        </w:rPr>
        <w:t xml:space="preserve">AH1 y el VRS son los que mayor número de muertes aportaron </w:t>
      </w:r>
      <w:r>
        <w:rPr>
          <w:rFonts w:ascii="Arial" w:eastAsia="Calibri" w:hAnsi="Arial" w:cs="Arial"/>
        </w:rPr>
        <w:t xml:space="preserve">entre el </w:t>
      </w:r>
      <w:r w:rsidR="00475BBF" w:rsidRPr="005C359F">
        <w:rPr>
          <w:rFonts w:ascii="Arial" w:eastAsia="Calibri" w:hAnsi="Arial" w:cs="Arial"/>
        </w:rPr>
        <w:t xml:space="preserve">2014 </w:t>
      </w:r>
      <w:r>
        <w:rPr>
          <w:rFonts w:ascii="Arial" w:eastAsia="Calibri" w:hAnsi="Arial" w:cs="Arial"/>
        </w:rPr>
        <w:t>y</w:t>
      </w:r>
      <w:r w:rsidR="00475BBF" w:rsidRPr="005C359F">
        <w:rPr>
          <w:rFonts w:ascii="Arial" w:eastAsia="Calibri" w:hAnsi="Arial" w:cs="Arial"/>
        </w:rPr>
        <w:t xml:space="preserve"> </w:t>
      </w:r>
      <w:r>
        <w:rPr>
          <w:rFonts w:ascii="Arial" w:eastAsia="Calibri" w:hAnsi="Arial" w:cs="Arial"/>
        </w:rPr>
        <w:t xml:space="preserve">el </w:t>
      </w:r>
      <w:r w:rsidR="00475BBF" w:rsidRPr="005C359F">
        <w:rPr>
          <w:rFonts w:ascii="Arial" w:eastAsia="Calibri" w:hAnsi="Arial" w:cs="Arial"/>
        </w:rPr>
        <w:t>2017, seguidos del influenza</w:t>
      </w:r>
      <w:r w:rsidR="00475BBF">
        <w:rPr>
          <w:rFonts w:ascii="Arial" w:eastAsia="Calibri" w:hAnsi="Arial" w:cs="Arial"/>
        </w:rPr>
        <w:t xml:space="preserve"> </w:t>
      </w:r>
      <w:r w:rsidR="00475BBF" w:rsidRPr="005C359F">
        <w:rPr>
          <w:rFonts w:ascii="Arial" w:eastAsia="Calibri" w:hAnsi="Arial" w:cs="Arial"/>
        </w:rPr>
        <w:t>AH3</w:t>
      </w:r>
      <w:r w:rsidR="00475BBF">
        <w:rPr>
          <w:rFonts w:ascii="Arial" w:eastAsia="Calibri" w:hAnsi="Arial" w:cs="Arial"/>
        </w:rPr>
        <w:t>N2</w:t>
      </w:r>
      <w:r w:rsidR="00475BBF" w:rsidRPr="005C359F">
        <w:rPr>
          <w:rFonts w:ascii="Arial" w:eastAsia="Calibri" w:hAnsi="Arial" w:cs="Arial"/>
        </w:rPr>
        <w:t>, Influ</w:t>
      </w:r>
      <w:r w:rsidR="00475BBF">
        <w:rPr>
          <w:rFonts w:ascii="Arial" w:eastAsia="Calibri" w:hAnsi="Arial" w:cs="Arial"/>
        </w:rPr>
        <w:t xml:space="preserve">enza </w:t>
      </w:r>
      <w:r w:rsidR="00475BBF" w:rsidRPr="005C359F">
        <w:rPr>
          <w:rFonts w:ascii="Arial" w:eastAsia="Calibri" w:hAnsi="Arial" w:cs="Arial"/>
        </w:rPr>
        <w:t xml:space="preserve">B, adenovirus y Parainfluenza 3.  No se puede dejar de lado que otros virus respiratorios </w:t>
      </w:r>
      <w:r>
        <w:rPr>
          <w:rFonts w:ascii="Arial" w:eastAsia="Calibri" w:hAnsi="Arial" w:cs="Arial"/>
        </w:rPr>
        <w:t xml:space="preserve">también </w:t>
      </w:r>
      <w:r w:rsidR="00475BBF">
        <w:rPr>
          <w:rFonts w:ascii="Arial" w:eastAsia="Calibri" w:hAnsi="Arial" w:cs="Arial"/>
        </w:rPr>
        <w:t>producen defunciones</w:t>
      </w:r>
      <w:r>
        <w:rPr>
          <w:rFonts w:ascii="Arial" w:eastAsia="Calibri" w:hAnsi="Arial" w:cs="Arial"/>
        </w:rPr>
        <w:t>,</w:t>
      </w:r>
      <w:r w:rsidR="00475BBF">
        <w:rPr>
          <w:rFonts w:ascii="Arial" w:eastAsia="Calibri" w:hAnsi="Arial" w:cs="Arial"/>
        </w:rPr>
        <w:t xml:space="preserve"> como los r</w:t>
      </w:r>
      <w:r w:rsidR="00475BBF" w:rsidRPr="005C359F">
        <w:rPr>
          <w:rFonts w:ascii="Arial" w:eastAsia="Calibri" w:hAnsi="Arial" w:cs="Arial"/>
        </w:rPr>
        <w:t>inovirus y metapneumovirus entre ellos.</w:t>
      </w:r>
      <w:r>
        <w:rPr>
          <w:rFonts w:ascii="Arial" w:eastAsia="Calibri" w:hAnsi="Arial" w:cs="Arial"/>
        </w:rPr>
        <w:t xml:space="preserve"> </w:t>
      </w:r>
    </w:p>
    <w:p w:rsidR="00475BBF" w:rsidRDefault="00475BBF" w:rsidP="00475BBF">
      <w:pPr>
        <w:widowControl w:val="0"/>
        <w:spacing w:line="276" w:lineRule="auto"/>
        <w:jc w:val="both"/>
        <w:rPr>
          <w:rFonts w:ascii="Arial" w:eastAsia="Calibri" w:hAnsi="Arial" w:cs="Arial"/>
        </w:rPr>
      </w:pPr>
    </w:p>
    <w:p w:rsidR="00475BBF" w:rsidRPr="007F458C" w:rsidRDefault="00475BBF" w:rsidP="00475BBF">
      <w:pPr>
        <w:widowControl w:val="0"/>
        <w:spacing w:line="360" w:lineRule="auto"/>
        <w:jc w:val="center"/>
        <w:rPr>
          <w:rFonts w:ascii="Arial" w:eastAsia="Calibri" w:hAnsi="Arial" w:cs="Arial"/>
          <w:b/>
        </w:rPr>
      </w:pPr>
      <w:r w:rsidRPr="007F458C">
        <w:rPr>
          <w:rFonts w:ascii="Arial" w:eastAsia="Calibri" w:hAnsi="Arial" w:cs="Arial"/>
          <w:b/>
        </w:rPr>
        <w:t xml:space="preserve">Cuadro </w:t>
      </w:r>
      <w:r w:rsidR="007F458C" w:rsidRPr="007F458C">
        <w:rPr>
          <w:rFonts w:ascii="Arial" w:eastAsia="Calibri" w:hAnsi="Arial" w:cs="Arial"/>
          <w:b/>
        </w:rPr>
        <w:t>3</w:t>
      </w:r>
      <w:r w:rsidR="009E51D7">
        <w:rPr>
          <w:rFonts w:ascii="Arial" w:eastAsia="Calibri" w:hAnsi="Arial" w:cs="Arial"/>
          <w:b/>
        </w:rPr>
        <w:t>6</w:t>
      </w:r>
    </w:p>
    <w:p w:rsidR="00475BBF" w:rsidRPr="005C359F" w:rsidRDefault="00475BBF" w:rsidP="00475BBF">
      <w:pPr>
        <w:widowControl w:val="0"/>
        <w:spacing w:line="360" w:lineRule="auto"/>
        <w:jc w:val="center"/>
        <w:rPr>
          <w:rFonts w:ascii="Arial" w:eastAsia="Calibri" w:hAnsi="Arial" w:cs="Arial"/>
        </w:rPr>
      </w:pPr>
      <w:r>
        <w:rPr>
          <w:rFonts w:ascii="Calibri" w:eastAsia="Calibri" w:hAnsi="Calibri"/>
          <w:noProof/>
          <w:lang w:val="es-CR" w:eastAsia="es-CR"/>
        </w:rPr>
        <w:drawing>
          <wp:inline distT="0" distB="0" distL="0" distR="0" wp14:anchorId="5264C967" wp14:editId="7F8F58E5">
            <wp:extent cx="4733749" cy="2655418"/>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757044" cy="2668485"/>
                    </a:xfrm>
                    <a:prstGeom prst="rect">
                      <a:avLst/>
                    </a:prstGeom>
                    <a:noFill/>
                    <a:ln>
                      <a:noFill/>
                    </a:ln>
                  </pic:spPr>
                </pic:pic>
              </a:graphicData>
            </a:graphic>
          </wp:inline>
        </w:drawing>
      </w:r>
    </w:p>
    <w:p w:rsidR="00475BBF" w:rsidRDefault="00475BBF" w:rsidP="00475BBF">
      <w:pPr>
        <w:widowControl w:val="0"/>
        <w:spacing w:line="360" w:lineRule="auto"/>
        <w:rPr>
          <w:rFonts w:ascii="Arial" w:eastAsia="Calibri" w:hAnsi="Arial" w:cs="Arial"/>
        </w:rPr>
      </w:pPr>
    </w:p>
    <w:p w:rsidR="00475BBF" w:rsidRDefault="00475BBF" w:rsidP="00475BBF">
      <w:pPr>
        <w:widowControl w:val="0"/>
        <w:spacing w:line="276" w:lineRule="auto"/>
        <w:jc w:val="both"/>
        <w:rPr>
          <w:rFonts w:ascii="Arial" w:eastAsia="Calibri" w:hAnsi="Arial" w:cs="Arial"/>
        </w:rPr>
      </w:pPr>
      <w:r w:rsidRPr="005C359F">
        <w:rPr>
          <w:rFonts w:ascii="Arial" w:eastAsia="Calibri" w:hAnsi="Arial" w:cs="Arial"/>
        </w:rPr>
        <w:t xml:space="preserve">La distribución de las defunciones en el 2017 </w:t>
      </w:r>
      <w:r w:rsidR="007F458C" w:rsidRPr="005C359F">
        <w:rPr>
          <w:rFonts w:ascii="Arial" w:eastAsia="Calibri" w:hAnsi="Arial" w:cs="Arial"/>
        </w:rPr>
        <w:t xml:space="preserve">por provincia </w:t>
      </w:r>
      <w:r w:rsidR="007F458C">
        <w:rPr>
          <w:rFonts w:ascii="Arial" w:eastAsia="Calibri" w:hAnsi="Arial" w:cs="Arial"/>
        </w:rPr>
        <w:t>fue</w:t>
      </w:r>
      <w:r w:rsidRPr="005C359F">
        <w:rPr>
          <w:rFonts w:ascii="Arial" w:eastAsia="Calibri" w:hAnsi="Arial" w:cs="Arial"/>
        </w:rPr>
        <w:t xml:space="preserve"> la siguiente: San José 24 (35.3%), Alajuela 21 (30.8%), Puntarenas 8 (11.8%), Cartago 4 (5.9%), Limón 4 (5.9%), Guanacaste 4 (5.9%) y Heredia 3 (1,64%).</w:t>
      </w:r>
    </w:p>
    <w:p w:rsidR="00475BBF" w:rsidRPr="005C359F" w:rsidRDefault="00475BBF" w:rsidP="00475BBF">
      <w:pPr>
        <w:widowControl w:val="0"/>
        <w:spacing w:line="276" w:lineRule="auto"/>
        <w:jc w:val="both"/>
        <w:rPr>
          <w:rFonts w:ascii="Arial" w:eastAsia="Calibri" w:hAnsi="Arial" w:cs="Arial"/>
        </w:rPr>
      </w:pPr>
    </w:p>
    <w:p w:rsidR="00475BBF" w:rsidRPr="005C359F" w:rsidRDefault="00475BBF" w:rsidP="00516EBF">
      <w:pPr>
        <w:widowControl w:val="0"/>
        <w:spacing w:after="240" w:line="276" w:lineRule="auto"/>
        <w:jc w:val="both"/>
        <w:rPr>
          <w:rFonts w:ascii="Arial" w:eastAsia="Calibri" w:hAnsi="Arial" w:cs="Arial"/>
        </w:rPr>
      </w:pPr>
      <w:r w:rsidRPr="005C359F">
        <w:rPr>
          <w:rFonts w:ascii="Arial" w:eastAsia="Calibri" w:hAnsi="Arial" w:cs="Arial"/>
        </w:rPr>
        <w:t xml:space="preserve">En este mismo año todos los grupos de edad tuvieron defunciones por virus respiratorios, pero el énfasis se presentó en menores de 9 años con 25% y mayores de 59 años con un 45% de las defunciones. Estos dos grupos correspondieron al 70.6% de las defunciones.  Esta distribución ha sido la misma en los diferentes años después </w:t>
      </w:r>
      <w:r w:rsidR="00516EBF">
        <w:rPr>
          <w:rFonts w:ascii="Arial" w:eastAsia="Calibri" w:hAnsi="Arial" w:cs="Arial"/>
        </w:rPr>
        <w:t xml:space="preserve">de </w:t>
      </w:r>
      <w:r w:rsidRPr="005C359F">
        <w:rPr>
          <w:rFonts w:ascii="Arial" w:eastAsia="Calibri" w:hAnsi="Arial" w:cs="Arial"/>
        </w:rPr>
        <w:t xml:space="preserve">la pandemia </w:t>
      </w:r>
      <w:r w:rsidR="00516EBF">
        <w:rPr>
          <w:rFonts w:ascii="Arial" w:eastAsia="Calibri" w:hAnsi="Arial" w:cs="Arial"/>
        </w:rPr>
        <w:t>de</w:t>
      </w:r>
      <w:r w:rsidRPr="005C359F">
        <w:rPr>
          <w:rFonts w:ascii="Arial" w:eastAsia="Calibri" w:hAnsi="Arial" w:cs="Arial"/>
        </w:rPr>
        <w:t>l 2009.  En el 2016, 20 (16.9%) fueron menores de 9 años y 55 (46.6%) mayores de 59 años.</w:t>
      </w:r>
    </w:p>
    <w:p w:rsidR="00475BBF" w:rsidRPr="005C359F" w:rsidRDefault="00475BBF" w:rsidP="00475BBF">
      <w:pPr>
        <w:widowControl w:val="0"/>
        <w:spacing w:line="276" w:lineRule="auto"/>
        <w:jc w:val="both"/>
        <w:rPr>
          <w:rFonts w:ascii="Arial" w:eastAsia="Calibri" w:hAnsi="Arial" w:cs="Arial"/>
        </w:rPr>
      </w:pPr>
      <w:r w:rsidRPr="005C359F">
        <w:rPr>
          <w:rFonts w:ascii="Arial" w:eastAsia="Calibri" w:hAnsi="Arial" w:cs="Arial"/>
        </w:rPr>
        <w:t xml:space="preserve">En la relación </w:t>
      </w:r>
      <w:r w:rsidR="00516EBF">
        <w:rPr>
          <w:rFonts w:ascii="Arial" w:eastAsia="Calibri" w:hAnsi="Arial" w:cs="Arial"/>
        </w:rPr>
        <w:t xml:space="preserve">con el </w:t>
      </w:r>
      <w:r w:rsidRPr="005C359F">
        <w:rPr>
          <w:rFonts w:ascii="Arial" w:eastAsia="Calibri" w:hAnsi="Arial" w:cs="Arial"/>
        </w:rPr>
        <w:t xml:space="preserve">sexo en </w:t>
      </w:r>
      <w:r w:rsidR="00516EBF">
        <w:rPr>
          <w:rFonts w:ascii="Arial" w:eastAsia="Calibri" w:hAnsi="Arial" w:cs="Arial"/>
        </w:rPr>
        <w:t xml:space="preserve">todos los </w:t>
      </w:r>
      <w:r w:rsidRPr="005C359F">
        <w:rPr>
          <w:rFonts w:ascii="Arial" w:eastAsia="Calibri" w:hAnsi="Arial" w:cs="Arial"/>
        </w:rPr>
        <w:t xml:space="preserve">años predomina el </w:t>
      </w:r>
      <w:r w:rsidR="00516EBF">
        <w:rPr>
          <w:rFonts w:ascii="Arial" w:eastAsia="Calibri" w:hAnsi="Arial" w:cs="Arial"/>
        </w:rPr>
        <w:t>masculino.</w:t>
      </w:r>
      <w:r w:rsidRPr="005C359F">
        <w:rPr>
          <w:rFonts w:ascii="Arial" w:eastAsia="Calibri" w:hAnsi="Arial" w:cs="Arial"/>
        </w:rPr>
        <w:t xml:space="preserve"> </w:t>
      </w:r>
    </w:p>
    <w:p w:rsidR="00475BBF" w:rsidRDefault="00475BBF" w:rsidP="00475BBF">
      <w:pPr>
        <w:spacing w:line="276" w:lineRule="auto"/>
        <w:jc w:val="both"/>
        <w:rPr>
          <w:rFonts w:ascii="Arial" w:eastAsia="Calibri" w:hAnsi="Arial" w:cs="Arial"/>
        </w:rPr>
      </w:pPr>
    </w:p>
    <w:p w:rsidR="00475BBF" w:rsidRDefault="00475BBF" w:rsidP="00475BBF">
      <w:pPr>
        <w:spacing w:line="276" w:lineRule="auto"/>
        <w:jc w:val="both"/>
        <w:rPr>
          <w:rFonts w:ascii="Arial" w:eastAsia="Calibri" w:hAnsi="Arial" w:cs="Arial"/>
        </w:rPr>
      </w:pPr>
    </w:p>
    <w:p w:rsidR="00475BBF" w:rsidRDefault="00475BBF" w:rsidP="00475BBF">
      <w:pPr>
        <w:spacing w:line="276" w:lineRule="auto"/>
        <w:jc w:val="both"/>
        <w:rPr>
          <w:rFonts w:ascii="Arial" w:eastAsia="Calibri" w:hAnsi="Arial" w:cs="Arial"/>
        </w:rPr>
      </w:pPr>
    </w:p>
    <w:p w:rsidR="00516EBF" w:rsidRDefault="00516EBF">
      <w:pPr>
        <w:spacing w:after="160" w:line="259" w:lineRule="auto"/>
        <w:rPr>
          <w:rFonts w:ascii="Arial" w:eastAsia="Calibri" w:hAnsi="Arial" w:cs="Arial"/>
        </w:rPr>
      </w:pPr>
      <w:r>
        <w:rPr>
          <w:rFonts w:ascii="Arial" w:eastAsia="Calibri" w:hAnsi="Arial" w:cs="Arial"/>
        </w:rPr>
        <w:br w:type="page"/>
      </w:r>
    </w:p>
    <w:p w:rsidR="00475BBF" w:rsidRPr="001106F5" w:rsidRDefault="00475BBF" w:rsidP="001106F5">
      <w:pPr>
        <w:pStyle w:val="Ttulo2"/>
        <w:spacing w:after="240"/>
        <w:rPr>
          <w:rFonts w:ascii="Arial" w:hAnsi="Arial" w:cs="Arial"/>
          <w:b/>
          <w:color w:val="auto"/>
        </w:rPr>
      </w:pPr>
      <w:bookmarkStart w:id="65" w:name="_Toc7439682"/>
      <w:r w:rsidRPr="001106F5">
        <w:rPr>
          <w:rFonts w:ascii="Arial" w:hAnsi="Arial" w:cs="Arial"/>
          <w:b/>
          <w:color w:val="auto"/>
        </w:rPr>
        <w:lastRenderedPageBreak/>
        <w:t>I</w:t>
      </w:r>
      <w:r w:rsidR="00516EBF" w:rsidRPr="001106F5">
        <w:rPr>
          <w:rFonts w:ascii="Arial" w:hAnsi="Arial" w:cs="Arial"/>
          <w:b/>
          <w:color w:val="auto"/>
        </w:rPr>
        <w:t>nmunizaciones</w:t>
      </w:r>
      <w:bookmarkEnd w:id="65"/>
    </w:p>
    <w:p w:rsidR="00475BBF" w:rsidRDefault="00475BBF" w:rsidP="007646DF">
      <w:pPr>
        <w:spacing w:after="240" w:line="276" w:lineRule="auto"/>
        <w:jc w:val="both"/>
        <w:rPr>
          <w:rFonts w:ascii="Arial" w:hAnsi="Arial" w:cs="Arial"/>
        </w:rPr>
      </w:pPr>
      <w:r>
        <w:rPr>
          <w:rFonts w:ascii="Arial" w:hAnsi="Arial" w:cs="Arial"/>
        </w:rPr>
        <w:t>Los programas de vacunación</w:t>
      </w:r>
      <w:r w:rsidR="00495886">
        <w:rPr>
          <w:rFonts w:ascii="Arial" w:hAnsi="Arial" w:cs="Arial"/>
        </w:rPr>
        <w:t xml:space="preserve"> han disminuido las tasas de morbilidad y mortalidad por enfermedades prevenibles en los niños menores de cinco años </w:t>
      </w:r>
      <w:r w:rsidR="007646DF">
        <w:rPr>
          <w:rFonts w:ascii="Arial" w:hAnsi="Arial" w:cs="Arial"/>
        </w:rPr>
        <w:t>del mundo y por conseguiente en nuestro país.</w:t>
      </w:r>
    </w:p>
    <w:p w:rsidR="00475BBF" w:rsidRDefault="00475BBF" w:rsidP="00475BBF">
      <w:pPr>
        <w:spacing w:line="276" w:lineRule="auto"/>
        <w:jc w:val="both"/>
        <w:rPr>
          <w:rFonts w:ascii="Arial" w:hAnsi="Arial" w:cs="Arial"/>
        </w:rPr>
      </w:pPr>
      <w:r>
        <w:rPr>
          <w:rFonts w:ascii="Arial" w:hAnsi="Arial" w:cs="Arial"/>
        </w:rPr>
        <w:t xml:space="preserve">Costa Rica cuenta </w:t>
      </w:r>
      <w:r w:rsidR="007646DF">
        <w:rPr>
          <w:rFonts w:ascii="Arial" w:hAnsi="Arial" w:cs="Arial"/>
        </w:rPr>
        <w:t xml:space="preserve">actualmente </w:t>
      </w:r>
      <w:r>
        <w:rPr>
          <w:rFonts w:ascii="Arial" w:hAnsi="Arial" w:cs="Arial"/>
        </w:rPr>
        <w:t>con u</w:t>
      </w:r>
      <w:r w:rsidR="007646DF">
        <w:rPr>
          <w:rFonts w:ascii="Arial" w:hAnsi="Arial" w:cs="Arial"/>
        </w:rPr>
        <w:t>n</w:t>
      </w:r>
      <w:r>
        <w:rPr>
          <w:rFonts w:ascii="Arial" w:hAnsi="Arial" w:cs="Arial"/>
        </w:rPr>
        <w:t xml:space="preserve"> amplio esquema de vacunación para </w:t>
      </w:r>
      <w:r w:rsidR="007646DF">
        <w:rPr>
          <w:rFonts w:ascii="Arial" w:hAnsi="Arial" w:cs="Arial"/>
        </w:rPr>
        <w:t xml:space="preserve">las personas </w:t>
      </w:r>
      <w:r>
        <w:rPr>
          <w:rFonts w:ascii="Arial" w:hAnsi="Arial" w:cs="Arial"/>
        </w:rPr>
        <w:t xml:space="preserve">menores de </w:t>
      </w:r>
      <w:r w:rsidR="007646DF">
        <w:rPr>
          <w:rFonts w:ascii="Arial" w:hAnsi="Arial" w:cs="Arial"/>
        </w:rPr>
        <w:t>siete</w:t>
      </w:r>
      <w:r>
        <w:rPr>
          <w:rFonts w:ascii="Arial" w:hAnsi="Arial" w:cs="Arial"/>
        </w:rPr>
        <w:t xml:space="preserve"> años, </w:t>
      </w:r>
      <w:r w:rsidR="007646DF">
        <w:rPr>
          <w:rFonts w:ascii="Arial" w:hAnsi="Arial" w:cs="Arial"/>
        </w:rPr>
        <w:t>el cual consta de</w:t>
      </w:r>
      <w:r>
        <w:rPr>
          <w:rFonts w:ascii="Arial" w:hAnsi="Arial" w:cs="Arial"/>
        </w:rPr>
        <w:t xml:space="preserve"> diez vacunas, que proveeen inmunización para las siguientes enfermedadedades: </w:t>
      </w:r>
      <w:r w:rsidR="007646DF">
        <w:rPr>
          <w:rFonts w:ascii="Arial" w:hAnsi="Arial" w:cs="Arial"/>
        </w:rPr>
        <w:t>t</w:t>
      </w:r>
      <w:r>
        <w:rPr>
          <w:rFonts w:ascii="Arial" w:hAnsi="Arial" w:cs="Arial"/>
        </w:rPr>
        <w:t xml:space="preserve">uberculosis, </w:t>
      </w:r>
      <w:r w:rsidR="007646DF">
        <w:rPr>
          <w:rFonts w:ascii="Arial" w:hAnsi="Arial" w:cs="Arial"/>
        </w:rPr>
        <w:t>h</w:t>
      </w:r>
      <w:r>
        <w:rPr>
          <w:rFonts w:ascii="Arial" w:hAnsi="Arial" w:cs="Arial"/>
        </w:rPr>
        <w:t xml:space="preserve">epatits B, </w:t>
      </w:r>
      <w:r w:rsidR="007646DF">
        <w:rPr>
          <w:rFonts w:ascii="Arial" w:hAnsi="Arial" w:cs="Arial"/>
        </w:rPr>
        <w:t>r</w:t>
      </w:r>
      <w:r>
        <w:rPr>
          <w:rFonts w:ascii="Arial" w:hAnsi="Arial" w:cs="Arial"/>
        </w:rPr>
        <w:t xml:space="preserve">otavirus, </w:t>
      </w:r>
      <w:r w:rsidR="007646DF">
        <w:rPr>
          <w:rFonts w:ascii="Arial" w:hAnsi="Arial" w:cs="Arial"/>
        </w:rPr>
        <w:t>d</w:t>
      </w:r>
      <w:r>
        <w:rPr>
          <w:rFonts w:ascii="Arial" w:hAnsi="Arial" w:cs="Arial"/>
        </w:rPr>
        <w:t xml:space="preserve">ifteria, </w:t>
      </w:r>
      <w:r w:rsidR="007646DF">
        <w:rPr>
          <w:rFonts w:ascii="Arial" w:hAnsi="Arial" w:cs="Arial"/>
        </w:rPr>
        <w:t>t</w:t>
      </w:r>
      <w:r>
        <w:rPr>
          <w:rFonts w:ascii="Arial" w:hAnsi="Arial" w:cs="Arial"/>
        </w:rPr>
        <w:t>ét</w:t>
      </w:r>
      <w:r w:rsidR="007646DF">
        <w:rPr>
          <w:rFonts w:ascii="Arial" w:hAnsi="Arial" w:cs="Arial"/>
        </w:rPr>
        <w:t>a</w:t>
      </w:r>
      <w:r>
        <w:rPr>
          <w:rFonts w:ascii="Arial" w:hAnsi="Arial" w:cs="Arial"/>
        </w:rPr>
        <w:t xml:space="preserve">nos, </w:t>
      </w:r>
      <w:r w:rsidR="007646DF">
        <w:rPr>
          <w:rFonts w:ascii="Arial" w:hAnsi="Arial" w:cs="Arial"/>
        </w:rPr>
        <w:t>t</w:t>
      </w:r>
      <w:r>
        <w:rPr>
          <w:rFonts w:ascii="Arial" w:hAnsi="Arial" w:cs="Arial"/>
        </w:rPr>
        <w:t xml:space="preserve">osferina, meningitis y otras infecciones por </w:t>
      </w:r>
      <w:r w:rsidRPr="007646DF">
        <w:rPr>
          <w:rFonts w:ascii="Arial" w:hAnsi="Arial" w:cs="Arial"/>
          <w:i/>
        </w:rPr>
        <w:t>Haemophilus influenza</w:t>
      </w:r>
      <w:r w:rsidR="007646DF">
        <w:rPr>
          <w:rFonts w:ascii="Arial" w:hAnsi="Arial" w:cs="Arial"/>
        </w:rPr>
        <w:t>e</w:t>
      </w:r>
      <w:r>
        <w:rPr>
          <w:rFonts w:ascii="Arial" w:hAnsi="Arial" w:cs="Arial"/>
        </w:rPr>
        <w:t xml:space="preserve"> tipo B, </w:t>
      </w:r>
      <w:r w:rsidR="007646DF">
        <w:rPr>
          <w:rFonts w:ascii="Arial" w:hAnsi="Arial" w:cs="Arial"/>
        </w:rPr>
        <w:t>p</w:t>
      </w:r>
      <w:r>
        <w:rPr>
          <w:rFonts w:ascii="Arial" w:hAnsi="Arial" w:cs="Arial"/>
        </w:rPr>
        <w:t xml:space="preserve">oliomellitis, </w:t>
      </w:r>
      <w:r w:rsidR="007646DF">
        <w:rPr>
          <w:rFonts w:ascii="Arial" w:hAnsi="Arial" w:cs="Arial"/>
        </w:rPr>
        <w:t>i</w:t>
      </w:r>
      <w:r>
        <w:rPr>
          <w:rFonts w:ascii="Arial" w:hAnsi="Arial" w:cs="Arial"/>
        </w:rPr>
        <w:t xml:space="preserve">nfecciones por neumococo, </w:t>
      </w:r>
      <w:r w:rsidR="007646DF">
        <w:rPr>
          <w:rFonts w:ascii="Arial" w:hAnsi="Arial" w:cs="Arial"/>
        </w:rPr>
        <w:t>i</w:t>
      </w:r>
      <w:r>
        <w:rPr>
          <w:rFonts w:ascii="Arial" w:hAnsi="Arial" w:cs="Arial"/>
        </w:rPr>
        <w:t xml:space="preserve">nfluenza, </w:t>
      </w:r>
      <w:r w:rsidR="007646DF">
        <w:rPr>
          <w:rFonts w:ascii="Arial" w:hAnsi="Arial" w:cs="Arial"/>
        </w:rPr>
        <w:t>s</w:t>
      </w:r>
      <w:r>
        <w:rPr>
          <w:rFonts w:ascii="Arial" w:hAnsi="Arial" w:cs="Arial"/>
        </w:rPr>
        <w:t xml:space="preserve">arampión, </w:t>
      </w:r>
      <w:r w:rsidR="007646DF">
        <w:rPr>
          <w:rFonts w:ascii="Arial" w:hAnsi="Arial" w:cs="Arial"/>
        </w:rPr>
        <w:t>r</w:t>
      </w:r>
      <w:r>
        <w:rPr>
          <w:rFonts w:ascii="Arial" w:hAnsi="Arial" w:cs="Arial"/>
        </w:rPr>
        <w:t>ub</w:t>
      </w:r>
      <w:r w:rsidR="007646DF">
        <w:rPr>
          <w:rFonts w:ascii="Arial" w:hAnsi="Arial" w:cs="Arial"/>
        </w:rPr>
        <w:t>é</w:t>
      </w:r>
      <w:r>
        <w:rPr>
          <w:rFonts w:ascii="Arial" w:hAnsi="Arial" w:cs="Arial"/>
        </w:rPr>
        <w:t xml:space="preserve">ola, </w:t>
      </w:r>
      <w:r w:rsidR="007646DF">
        <w:rPr>
          <w:rFonts w:ascii="Arial" w:hAnsi="Arial" w:cs="Arial"/>
        </w:rPr>
        <w:t>p</w:t>
      </w:r>
      <w:r>
        <w:rPr>
          <w:rFonts w:ascii="Arial" w:hAnsi="Arial" w:cs="Arial"/>
        </w:rPr>
        <w:t xml:space="preserve">aperas y </w:t>
      </w:r>
      <w:r w:rsidR="007646DF">
        <w:rPr>
          <w:rFonts w:ascii="Arial" w:hAnsi="Arial" w:cs="Arial"/>
        </w:rPr>
        <w:t>v</w:t>
      </w:r>
      <w:r>
        <w:rPr>
          <w:rFonts w:ascii="Arial" w:hAnsi="Arial" w:cs="Arial"/>
        </w:rPr>
        <w:t>aricela</w:t>
      </w:r>
      <w:r w:rsidR="007646DF">
        <w:rPr>
          <w:rFonts w:ascii="Arial" w:hAnsi="Arial" w:cs="Arial"/>
        </w:rPr>
        <w:t>.</w:t>
      </w:r>
      <w:r>
        <w:rPr>
          <w:rFonts w:ascii="Arial" w:hAnsi="Arial" w:cs="Arial"/>
        </w:rPr>
        <w:t xml:space="preserve"> </w:t>
      </w:r>
    </w:p>
    <w:p w:rsidR="00475BBF" w:rsidRDefault="00475BBF" w:rsidP="00475BBF">
      <w:pPr>
        <w:spacing w:line="276" w:lineRule="auto"/>
        <w:jc w:val="both"/>
        <w:rPr>
          <w:rFonts w:ascii="Arial" w:hAnsi="Arial" w:cs="Arial"/>
        </w:rPr>
      </w:pPr>
    </w:p>
    <w:p w:rsidR="00475BBF" w:rsidRPr="007646DF" w:rsidRDefault="007646DF" w:rsidP="00475BBF">
      <w:pPr>
        <w:spacing w:line="276" w:lineRule="auto"/>
        <w:jc w:val="center"/>
        <w:rPr>
          <w:rFonts w:ascii="Arial" w:hAnsi="Arial" w:cs="Arial"/>
          <w:b/>
        </w:rPr>
      </w:pPr>
      <w:r w:rsidRPr="007646DF">
        <w:rPr>
          <w:rFonts w:ascii="Arial" w:hAnsi="Arial" w:cs="Arial"/>
          <w:b/>
        </w:rPr>
        <w:t xml:space="preserve">Figura </w:t>
      </w:r>
      <w:r w:rsidR="009E51D7">
        <w:rPr>
          <w:rFonts w:ascii="Arial" w:hAnsi="Arial" w:cs="Arial"/>
          <w:b/>
        </w:rPr>
        <w:t>5</w:t>
      </w:r>
    </w:p>
    <w:p w:rsidR="007646DF" w:rsidRDefault="00475BBF" w:rsidP="00475BBF">
      <w:pPr>
        <w:spacing w:line="276" w:lineRule="auto"/>
        <w:jc w:val="center"/>
        <w:rPr>
          <w:rFonts w:ascii="Arial" w:hAnsi="Arial" w:cs="Arial"/>
          <w:b/>
        </w:rPr>
      </w:pPr>
      <w:r w:rsidRPr="007646DF">
        <w:rPr>
          <w:rFonts w:ascii="Arial" w:hAnsi="Arial" w:cs="Arial"/>
          <w:b/>
        </w:rPr>
        <w:t xml:space="preserve">Esquema de vacunación </w:t>
      </w:r>
      <w:r w:rsidR="007646DF">
        <w:rPr>
          <w:rFonts w:ascii="Arial" w:hAnsi="Arial" w:cs="Arial"/>
          <w:b/>
        </w:rPr>
        <w:t xml:space="preserve">oficial para personas </w:t>
      </w:r>
      <w:r w:rsidRPr="007646DF">
        <w:rPr>
          <w:rFonts w:ascii="Arial" w:hAnsi="Arial" w:cs="Arial"/>
          <w:b/>
        </w:rPr>
        <w:t xml:space="preserve">menores </w:t>
      </w:r>
    </w:p>
    <w:p w:rsidR="00475BBF" w:rsidRPr="007646DF" w:rsidRDefault="00475BBF" w:rsidP="007646DF">
      <w:pPr>
        <w:spacing w:after="240" w:line="276" w:lineRule="auto"/>
        <w:jc w:val="center"/>
        <w:rPr>
          <w:rFonts w:ascii="Arial" w:hAnsi="Arial" w:cs="Arial"/>
          <w:b/>
        </w:rPr>
      </w:pPr>
      <w:r w:rsidRPr="007646DF">
        <w:rPr>
          <w:rFonts w:ascii="Arial" w:hAnsi="Arial" w:cs="Arial"/>
          <w:b/>
        </w:rPr>
        <w:t xml:space="preserve">de </w:t>
      </w:r>
      <w:r w:rsidR="007646DF">
        <w:rPr>
          <w:rFonts w:ascii="Arial" w:hAnsi="Arial" w:cs="Arial"/>
          <w:b/>
        </w:rPr>
        <w:t>siete</w:t>
      </w:r>
      <w:r w:rsidRPr="007646DF">
        <w:rPr>
          <w:rFonts w:ascii="Arial" w:hAnsi="Arial" w:cs="Arial"/>
          <w:b/>
        </w:rPr>
        <w:t xml:space="preserve"> años</w:t>
      </w:r>
      <w:r w:rsidR="007646DF">
        <w:rPr>
          <w:rFonts w:ascii="Arial" w:hAnsi="Arial" w:cs="Arial"/>
          <w:b/>
        </w:rPr>
        <w:t>, Costa Rica, 2018.</w:t>
      </w:r>
    </w:p>
    <w:p w:rsidR="00475BBF" w:rsidRDefault="00475BBF" w:rsidP="00475BBF">
      <w:pPr>
        <w:spacing w:line="276" w:lineRule="auto"/>
        <w:jc w:val="center"/>
        <w:rPr>
          <w:rFonts w:ascii="Arial" w:hAnsi="Arial" w:cs="Arial"/>
        </w:rPr>
      </w:pPr>
      <w:r>
        <w:rPr>
          <w:noProof/>
          <w:lang w:val="es-CR" w:eastAsia="es-CR"/>
        </w:rPr>
        <w:drawing>
          <wp:inline distT="0" distB="0" distL="0" distR="0" wp14:anchorId="39523949" wp14:editId="226C752C">
            <wp:extent cx="6130485" cy="2825993"/>
            <wp:effectExtent l="0" t="0" r="381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163017" cy="2840989"/>
                    </a:xfrm>
                    <a:prstGeom prst="rect">
                      <a:avLst/>
                    </a:prstGeom>
                  </pic:spPr>
                </pic:pic>
              </a:graphicData>
            </a:graphic>
          </wp:inline>
        </w:drawing>
      </w:r>
    </w:p>
    <w:p w:rsidR="00475BBF" w:rsidRPr="007646DF" w:rsidRDefault="00475BBF" w:rsidP="00475BBF">
      <w:pPr>
        <w:spacing w:line="276" w:lineRule="auto"/>
        <w:jc w:val="center"/>
        <w:rPr>
          <w:rFonts w:ascii="Arial" w:hAnsi="Arial" w:cs="Arial"/>
          <w:sz w:val="18"/>
          <w:szCs w:val="18"/>
        </w:rPr>
      </w:pPr>
      <w:r w:rsidRPr="007646DF">
        <w:rPr>
          <w:rFonts w:ascii="Arial" w:hAnsi="Arial" w:cs="Arial"/>
          <w:b/>
          <w:sz w:val="18"/>
          <w:szCs w:val="18"/>
        </w:rPr>
        <w:t>Fuente:</w:t>
      </w:r>
      <w:r w:rsidRPr="007646DF">
        <w:rPr>
          <w:rFonts w:ascii="Arial" w:hAnsi="Arial" w:cs="Arial"/>
          <w:sz w:val="18"/>
          <w:szCs w:val="18"/>
        </w:rPr>
        <w:t xml:space="preserve"> Dirección de Vigilancia de la Salud, Ministerio de Salud</w:t>
      </w:r>
      <w:r w:rsidR="007646DF">
        <w:rPr>
          <w:rFonts w:ascii="Arial" w:hAnsi="Arial" w:cs="Arial"/>
          <w:sz w:val="18"/>
          <w:szCs w:val="18"/>
        </w:rPr>
        <w:t>, 201</w:t>
      </w:r>
      <w:r w:rsidR="009E51D7">
        <w:rPr>
          <w:rFonts w:ascii="Arial" w:hAnsi="Arial" w:cs="Arial"/>
          <w:sz w:val="18"/>
          <w:szCs w:val="18"/>
        </w:rPr>
        <w:t>9</w:t>
      </w:r>
      <w:r w:rsidR="007646DF">
        <w:rPr>
          <w:rFonts w:ascii="Arial" w:hAnsi="Arial" w:cs="Arial"/>
          <w:sz w:val="18"/>
          <w:szCs w:val="18"/>
        </w:rPr>
        <w:t>.</w:t>
      </w:r>
    </w:p>
    <w:p w:rsidR="00475BBF" w:rsidRDefault="00475BBF" w:rsidP="00475BBF">
      <w:pPr>
        <w:spacing w:line="276" w:lineRule="auto"/>
        <w:jc w:val="both"/>
        <w:rPr>
          <w:rFonts w:ascii="Arial" w:hAnsi="Arial" w:cs="Arial"/>
        </w:rPr>
      </w:pPr>
    </w:p>
    <w:p w:rsidR="007646DF" w:rsidRDefault="007646DF" w:rsidP="00475BBF">
      <w:pPr>
        <w:spacing w:line="276" w:lineRule="auto"/>
        <w:jc w:val="both"/>
        <w:rPr>
          <w:rFonts w:ascii="Arial" w:hAnsi="Arial" w:cs="Arial"/>
        </w:rPr>
      </w:pPr>
    </w:p>
    <w:p w:rsidR="00475BBF" w:rsidRDefault="00475BBF" w:rsidP="00475BBF">
      <w:pPr>
        <w:spacing w:line="276" w:lineRule="auto"/>
        <w:jc w:val="both"/>
        <w:rPr>
          <w:rFonts w:ascii="Arial" w:hAnsi="Arial" w:cs="Arial"/>
        </w:rPr>
      </w:pPr>
      <w:r>
        <w:rPr>
          <w:rFonts w:ascii="Arial" w:hAnsi="Arial" w:cs="Arial"/>
        </w:rPr>
        <w:t>Actualmente</w:t>
      </w:r>
      <w:r w:rsidR="007646DF">
        <w:rPr>
          <w:rFonts w:ascii="Arial" w:hAnsi="Arial" w:cs="Arial"/>
        </w:rPr>
        <w:t>,</w:t>
      </w:r>
      <w:r>
        <w:rPr>
          <w:rFonts w:ascii="Arial" w:hAnsi="Arial" w:cs="Arial"/>
        </w:rPr>
        <w:t xml:space="preserve"> el país </w:t>
      </w:r>
      <w:r w:rsidR="007646DF">
        <w:rPr>
          <w:rFonts w:ascii="Arial" w:hAnsi="Arial" w:cs="Arial"/>
        </w:rPr>
        <w:t xml:space="preserve">cuenta con </w:t>
      </w:r>
      <w:r>
        <w:rPr>
          <w:rFonts w:ascii="Arial" w:hAnsi="Arial" w:cs="Arial"/>
        </w:rPr>
        <w:t>una cobertura de vacuna</w:t>
      </w:r>
      <w:r w:rsidR="007646DF">
        <w:rPr>
          <w:rFonts w:ascii="Arial" w:hAnsi="Arial" w:cs="Arial"/>
        </w:rPr>
        <w:t xml:space="preserve">ción </w:t>
      </w:r>
      <w:r>
        <w:rPr>
          <w:rFonts w:ascii="Arial" w:hAnsi="Arial" w:cs="Arial"/>
        </w:rPr>
        <w:t>superior al 90%, además</w:t>
      </w:r>
      <w:r w:rsidR="007646DF">
        <w:rPr>
          <w:rFonts w:ascii="Arial" w:hAnsi="Arial" w:cs="Arial"/>
        </w:rPr>
        <w:t>,</w:t>
      </w:r>
      <w:r>
        <w:rPr>
          <w:rFonts w:ascii="Arial" w:hAnsi="Arial" w:cs="Arial"/>
        </w:rPr>
        <w:t xml:space="preserve"> </w:t>
      </w:r>
      <w:r w:rsidR="007646DF">
        <w:rPr>
          <w:rFonts w:ascii="Arial" w:hAnsi="Arial" w:cs="Arial"/>
        </w:rPr>
        <w:t>durante el 2017 y 2018 aumentó el porcentaje de cobertura de las mismas.</w:t>
      </w:r>
      <w:r w:rsidR="00D71023">
        <w:rPr>
          <w:rFonts w:ascii="Arial" w:hAnsi="Arial" w:cs="Arial"/>
        </w:rPr>
        <w:t xml:space="preserve"> Gráfico 3</w:t>
      </w:r>
      <w:r w:rsidR="009E51D7">
        <w:rPr>
          <w:rFonts w:ascii="Arial" w:hAnsi="Arial" w:cs="Arial"/>
        </w:rPr>
        <w:t>7</w:t>
      </w:r>
      <w:r w:rsidR="00D71023">
        <w:rPr>
          <w:rFonts w:ascii="Arial" w:hAnsi="Arial" w:cs="Arial"/>
        </w:rPr>
        <w:t>.</w:t>
      </w:r>
    </w:p>
    <w:p w:rsidR="00475BBF" w:rsidRDefault="00475BBF" w:rsidP="00475BBF">
      <w:pPr>
        <w:spacing w:line="276" w:lineRule="auto"/>
        <w:jc w:val="both"/>
        <w:rPr>
          <w:rFonts w:ascii="Arial" w:hAnsi="Arial" w:cs="Arial"/>
        </w:rPr>
      </w:pPr>
    </w:p>
    <w:p w:rsidR="00475BBF" w:rsidRDefault="00475BBF" w:rsidP="00475BBF">
      <w:pPr>
        <w:spacing w:line="276" w:lineRule="auto"/>
        <w:jc w:val="both"/>
        <w:rPr>
          <w:rFonts w:ascii="Arial" w:hAnsi="Arial" w:cs="Arial"/>
        </w:rPr>
      </w:pPr>
    </w:p>
    <w:p w:rsidR="007646DF" w:rsidRDefault="007646DF">
      <w:pPr>
        <w:spacing w:after="160" w:line="259" w:lineRule="auto"/>
        <w:rPr>
          <w:rFonts w:ascii="Arial" w:hAnsi="Arial" w:cs="Arial"/>
        </w:rPr>
      </w:pPr>
      <w:r>
        <w:rPr>
          <w:rFonts w:ascii="Arial" w:hAnsi="Arial" w:cs="Arial"/>
        </w:rPr>
        <w:br w:type="page"/>
      </w:r>
    </w:p>
    <w:p w:rsidR="00475BBF" w:rsidRPr="007646DF" w:rsidRDefault="00475BBF" w:rsidP="007646DF">
      <w:pPr>
        <w:jc w:val="center"/>
        <w:rPr>
          <w:rFonts w:ascii="Arial" w:hAnsi="Arial" w:cs="Arial"/>
          <w:b/>
        </w:rPr>
      </w:pPr>
      <w:r w:rsidRPr="007646DF">
        <w:rPr>
          <w:rFonts w:ascii="Arial" w:hAnsi="Arial" w:cs="Arial"/>
          <w:b/>
        </w:rPr>
        <w:lastRenderedPageBreak/>
        <w:t xml:space="preserve">Gráfico </w:t>
      </w:r>
      <w:r w:rsidR="007646DF" w:rsidRPr="007646DF">
        <w:rPr>
          <w:rFonts w:ascii="Arial" w:hAnsi="Arial" w:cs="Arial"/>
          <w:b/>
        </w:rPr>
        <w:t>3</w:t>
      </w:r>
      <w:r w:rsidR="009E51D7">
        <w:rPr>
          <w:rFonts w:ascii="Arial" w:hAnsi="Arial" w:cs="Arial"/>
          <w:b/>
        </w:rPr>
        <w:t>7</w:t>
      </w:r>
    </w:p>
    <w:p w:rsidR="00ED6258" w:rsidRDefault="007646DF" w:rsidP="007646DF">
      <w:pPr>
        <w:jc w:val="center"/>
        <w:rPr>
          <w:rFonts w:ascii="Arial" w:hAnsi="Arial" w:cs="Arial"/>
          <w:b/>
        </w:rPr>
      </w:pPr>
      <w:r>
        <w:rPr>
          <w:rFonts w:ascii="Arial" w:hAnsi="Arial" w:cs="Arial"/>
          <w:b/>
        </w:rPr>
        <w:t>Costa Rica</w:t>
      </w:r>
      <w:r w:rsidR="00ED6258">
        <w:rPr>
          <w:rFonts w:ascii="Arial" w:hAnsi="Arial" w:cs="Arial"/>
          <w:b/>
        </w:rPr>
        <w:t>:</w:t>
      </w:r>
      <w:r w:rsidR="00475BBF" w:rsidRPr="007646DF">
        <w:rPr>
          <w:rFonts w:ascii="Arial" w:hAnsi="Arial" w:cs="Arial"/>
          <w:b/>
        </w:rPr>
        <w:t xml:space="preserve"> Porcentaje de </w:t>
      </w:r>
      <w:r w:rsidR="00ED6258">
        <w:rPr>
          <w:rFonts w:ascii="Arial" w:hAnsi="Arial" w:cs="Arial"/>
          <w:b/>
        </w:rPr>
        <w:t>cobertura</w:t>
      </w:r>
      <w:r w:rsidR="00475BBF" w:rsidRPr="007646DF">
        <w:rPr>
          <w:rFonts w:ascii="Arial" w:hAnsi="Arial" w:cs="Arial"/>
          <w:b/>
        </w:rPr>
        <w:t xml:space="preserve"> de vacunación</w:t>
      </w:r>
      <w:r w:rsidR="00ED6258">
        <w:rPr>
          <w:rFonts w:ascii="Arial" w:hAnsi="Arial" w:cs="Arial"/>
          <w:b/>
        </w:rPr>
        <w:t xml:space="preserve">, </w:t>
      </w:r>
    </w:p>
    <w:p w:rsidR="00475BBF" w:rsidRPr="007646DF" w:rsidRDefault="00ED6258" w:rsidP="007646DF">
      <w:pPr>
        <w:jc w:val="center"/>
        <w:rPr>
          <w:rFonts w:ascii="Arial" w:hAnsi="Arial" w:cs="Arial"/>
          <w:b/>
          <w:lang w:val="es-PA"/>
        </w:rPr>
      </w:pPr>
      <w:r>
        <w:rPr>
          <w:rFonts w:ascii="Arial" w:hAnsi="Arial" w:cs="Arial"/>
          <w:b/>
        </w:rPr>
        <w:t xml:space="preserve">según tipo, </w:t>
      </w:r>
      <w:r w:rsidR="00475BBF" w:rsidRPr="007646DF">
        <w:rPr>
          <w:rFonts w:ascii="Arial" w:hAnsi="Arial" w:cs="Arial"/>
          <w:b/>
        </w:rPr>
        <w:t>2014-2018</w:t>
      </w:r>
      <w:r>
        <w:rPr>
          <w:rStyle w:val="Refdenotaalpie"/>
          <w:rFonts w:ascii="Arial" w:hAnsi="Arial" w:cs="Arial"/>
          <w:b/>
        </w:rPr>
        <w:footnoteReference w:id="13"/>
      </w:r>
    </w:p>
    <w:p w:rsidR="00ED6258" w:rsidRDefault="00475BBF" w:rsidP="00ED6258">
      <w:pPr>
        <w:spacing w:line="360" w:lineRule="auto"/>
        <w:jc w:val="right"/>
        <w:rPr>
          <w:rFonts w:ascii="Arial" w:hAnsi="Arial" w:cs="Arial"/>
        </w:rPr>
      </w:pPr>
      <w:r>
        <w:rPr>
          <w:noProof/>
          <w:lang w:val="es-CR" w:eastAsia="es-CR"/>
        </w:rPr>
        <w:drawing>
          <wp:inline distT="0" distB="0" distL="0" distR="0" wp14:anchorId="35D7CFAF" wp14:editId="334736FB">
            <wp:extent cx="5987305" cy="3975100"/>
            <wp:effectExtent l="0" t="0" r="0" b="6350"/>
            <wp:docPr id="116" name="Gráfico 116"/>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r w:rsidR="00ED6258" w:rsidRPr="00ED6258">
        <w:rPr>
          <w:rFonts w:ascii="Arial" w:hAnsi="Arial" w:cs="Arial"/>
          <w:b/>
          <w:sz w:val="18"/>
          <w:szCs w:val="18"/>
        </w:rPr>
        <w:t>Fuente:</w:t>
      </w:r>
      <w:r w:rsidR="00ED6258" w:rsidRPr="0024310F">
        <w:rPr>
          <w:rFonts w:ascii="Arial" w:hAnsi="Arial" w:cs="Arial"/>
          <w:sz w:val="18"/>
          <w:szCs w:val="18"/>
        </w:rPr>
        <w:t xml:space="preserve"> </w:t>
      </w:r>
      <w:r w:rsidR="00ED6258">
        <w:rPr>
          <w:rFonts w:ascii="Arial" w:hAnsi="Arial" w:cs="Arial"/>
          <w:sz w:val="18"/>
          <w:szCs w:val="18"/>
        </w:rPr>
        <w:t>Dirección de Vigilancia de la Salud, Ministerio de Salud, 2019.</w:t>
      </w:r>
    </w:p>
    <w:p w:rsidR="00475BBF" w:rsidRDefault="00475BBF" w:rsidP="00475BBF">
      <w:pPr>
        <w:spacing w:line="360" w:lineRule="auto"/>
        <w:rPr>
          <w:rFonts w:ascii="Arial" w:hAnsi="Arial" w:cs="Arial"/>
          <w:sz w:val="18"/>
          <w:szCs w:val="18"/>
        </w:rPr>
      </w:pPr>
    </w:p>
    <w:p w:rsidR="001106F5" w:rsidRDefault="001106F5" w:rsidP="00475BBF">
      <w:pPr>
        <w:spacing w:line="360" w:lineRule="auto"/>
        <w:rPr>
          <w:rFonts w:ascii="Arial" w:hAnsi="Arial" w:cs="Arial"/>
          <w:sz w:val="18"/>
          <w:szCs w:val="18"/>
        </w:rPr>
      </w:pPr>
    </w:p>
    <w:p w:rsidR="001106F5" w:rsidRDefault="001106F5">
      <w:pPr>
        <w:spacing w:after="160" w:line="259" w:lineRule="auto"/>
        <w:rPr>
          <w:rFonts w:ascii="Arial" w:hAnsi="Arial" w:cs="Arial"/>
          <w:sz w:val="18"/>
          <w:szCs w:val="18"/>
        </w:rPr>
      </w:pPr>
      <w:r>
        <w:rPr>
          <w:rFonts w:ascii="Arial" w:hAnsi="Arial" w:cs="Arial"/>
          <w:sz w:val="18"/>
          <w:szCs w:val="18"/>
        </w:rPr>
        <w:br w:type="page"/>
      </w:r>
    </w:p>
    <w:p w:rsidR="00475BBF" w:rsidRPr="001106F5" w:rsidRDefault="00475BBF" w:rsidP="001106F5">
      <w:pPr>
        <w:pStyle w:val="Ttulo2"/>
        <w:spacing w:after="240"/>
        <w:rPr>
          <w:rFonts w:ascii="Arial" w:hAnsi="Arial" w:cs="Arial"/>
          <w:b/>
          <w:color w:val="auto"/>
        </w:rPr>
      </w:pPr>
      <w:bookmarkStart w:id="66" w:name="_Toc506187962"/>
      <w:bookmarkStart w:id="67" w:name="_Toc7439683"/>
      <w:r w:rsidRPr="001106F5">
        <w:rPr>
          <w:rFonts w:ascii="Arial" w:hAnsi="Arial" w:cs="Arial"/>
          <w:b/>
          <w:color w:val="auto"/>
        </w:rPr>
        <w:lastRenderedPageBreak/>
        <w:t>VIH-</w:t>
      </w:r>
      <w:r w:rsidR="00D71023" w:rsidRPr="001106F5">
        <w:rPr>
          <w:rFonts w:ascii="Arial" w:hAnsi="Arial" w:cs="Arial"/>
          <w:b/>
          <w:color w:val="auto"/>
        </w:rPr>
        <w:t>sida</w:t>
      </w:r>
      <w:bookmarkEnd w:id="66"/>
      <w:bookmarkEnd w:id="67"/>
    </w:p>
    <w:p w:rsidR="00475BBF" w:rsidRPr="002672D5" w:rsidRDefault="00475BBF" w:rsidP="001106F5">
      <w:pPr>
        <w:spacing w:after="240" w:line="276" w:lineRule="auto"/>
        <w:jc w:val="both"/>
        <w:rPr>
          <w:rFonts w:ascii="Arial" w:hAnsi="Arial" w:cs="Arial"/>
          <w:color w:val="333333"/>
          <w:shd w:val="clear" w:color="auto" w:fill="FFFFFF"/>
        </w:rPr>
      </w:pPr>
      <w:r w:rsidRPr="00083038">
        <w:rPr>
          <w:rFonts w:ascii="Arial" w:hAnsi="Arial" w:cs="Arial"/>
          <w:color w:val="333333"/>
          <w:shd w:val="clear" w:color="auto" w:fill="FFFFFF"/>
        </w:rPr>
        <w:t>El VIH/</w:t>
      </w:r>
      <w:r w:rsidR="00D71023">
        <w:rPr>
          <w:rFonts w:ascii="Arial" w:hAnsi="Arial" w:cs="Arial"/>
          <w:color w:val="333333"/>
          <w:shd w:val="clear" w:color="auto" w:fill="FFFFFF"/>
        </w:rPr>
        <w:t xml:space="preserve">sida continua </w:t>
      </w:r>
      <w:r w:rsidRPr="00083038">
        <w:rPr>
          <w:rFonts w:ascii="Arial" w:hAnsi="Arial" w:cs="Arial"/>
          <w:color w:val="333333"/>
          <w:shd w:val="clear" w:color="auto" w:fill="FFFFFF"/>
        </w:rPr>
        <w:t xml:space="preserve">siendo uno de los más graves problemas de salud pública del </w:t>
      </w:r>
      <w:r w:rsidRPr="002672D5">
        <w:rPr>
          <w:rFonts w:ascii="Arial" w:hAnsi="Arial" w:cs="Arial"/>
          <w:color w:val="333333"/>
          <w:shd w:val="clear" w:color="auto" w:fill="FFFFFF"/>
        </w:rPr>
        <w:t xml:space="preserve">mundo, especialmente en los países de </w:t>
      </w:r>
      <w:r w:rsidR="00D71023" w:rsidRPr="002672D5">
        <w:rPr>
          <w:rFonts w:ascii="Arial" w:hAnsi="Arial" w:cs="Arial"/>
          <w:color w:val="333333"/>
          <w:shd w:val="clear" w:color="auto" w:fill="FFFFFF"/>
        </w:rPr>
        <w:t xml:space="preserve">bajos o medianos </w:t>
      </w:r>
      <w:r w:rsidRPr="002672D5">
        <w:rPr>
          <w:rFonts w:ascii="Arial" w:hAnsi="Arial" w:cs="Arial"/>
          <w:color w:val="333333"/>
          <w:shd w:val="clear" w:color="auto" w:fill="FFFFFF"/>
        </w:rPr>
        <w:t>ingresos.</w:t>
      </w:r>
    </w:p>
    <w:p w:rsidR="004D5F37" w:rsidRDefault="00D71023" w:rsidP="004D5F37">
      <w:pPr>
        <w:widowControl w:val="0"/>
        <w:tabs>
          <w:tab w:val="left" w:pos="1476"/>
        </w:tabs>
        <w:spacing w:after="240" w:line="276" w:lineRule="auto"/>
        <w:jc w:val="both"/>
        <w:rPr>
          <w:rFonts w:ascii="Arial" w:eastAsia="Calibri" w:hAnsi="Arial" w:cs="Arial"/>
          <w:lang w:val="es-AR"/>
        </w:rPr>
      </w:pPr>
      <w:r>
        <w:rPr>
          <w:rFonts w:ascii="Arial" w:eastAsia="Times New Roman" w:hAnsi="Arial" w:cs="Arial"/>
          <w:color w:val="333333"/>
          <w:lang w:eastAsia="es-CR"/>
        </w:rPr>
        <w:t>L</w:t>
      </w:r>
      <w:r w:rsidR="00475BBF" w:rsidRPr="00EE0841">
        <w:rPr>
          <w:rFonts w:ascii="Arial" w:eastAsia="Calibri" w:hAnsi="Arial" w:cs="Arial"/>
          <w:lang w:val="es-AR"/>
        </w:rPr>
        <w:t xml:space="preserve">a prevalencia general de VIH </w:t>
      </w:r>
      <w:r>
        <w:rPr>
          <w:rFonts w:ascii="Arial" w:eastAsia="Calibri" w:hAnsi="Arial" w:cs="Arial"/>
          <w:lang w:val="es-AR"/>
        </w:rPr>
        <w:t xml:space="preserve">en nuestro país </w:t>
      </w:r>
      <w:r w:rsidR="00475BBF" w:rsidRPr="00EE0841">
        <w:rPr>
          <w:rFonts w:ascii="Arial" w:eastAsia="Calibri" w:hAnsi="Arial" w:cs="Arial"/>
          <w:lang w:val="es-AR"/>
        </w:rPr>
        <w:t xml:space="preserve">es </w:t>
      </w:r>
      <w:r w:rsidR="00475BBF" w:rsidRPr="009E51D7">
        <w:rPr>
          <w:rFonts w:ascii="Arial" w:eastAsia="Calibri" w:hAnsi="Arial" w:cs="Arial"/>
          <w:lang w:val="es-AR"/>
        </w:rPr>
        <w:t>de 0,1</w:t>
      </w:r>
      <w:r w:rsidR="004D5F37">
        <w:rPr>
          <w:rFonts w:ascii="Arial" w:eastAsia="Calibri" w:hAnsi="Arial" w:cs="Arial"/>
          <w:lang w:val="es-AR"/>
        </w:rPr>
        <w:t xml:space="preserve"> y se encuentra </w:t>
      </w:r>
      <w:r w:rsidR="00475BBF" w:rsidRPr="00EE0841">
        <w:rPr>
          <w:rFonts w:ascii="Arial" w:eastAsia="Calibri" w:hAnsi="Arial" w:cs="Arial"/>
          <w:lang w:val="es-AR"/>
        </w:rPr>
        <w:t>concentrada en el grupo de hombres que tienen sexo con hombres (HSH). Según estimaciones de ONUSIDA (2017), la prevalencia de VIH en personas mayores de 15 años es de 0</w:t>
      </w:r>
      <w:r w:rsidR="004D5F37">
        <w:rPr>
          <w:rFonts w:ascii="Arial" w:eastAsia="Calibri" w:hAnsi="Arial" w:cs="Arial"/>
          <w:lang w:val="es-AR"/>
        </w:rPr>
        <w:t>,</w:t>
      </w:r>
      <w:r w:rsidR="00475BBF" w:rsidRPr="00EE0841">
        <w:rPr>
          <w:rFonts w:ascii="Arial" w:eastAsia="Calibri" w:hAnsi="Arial" w:cs="Arial"/>
          <w:lang w:val="es-AR"/>
        </w:rPr>
        <w:t xml:space="preserve">34 y </w:t>
      </w:r>
      <w:r w:rsidR="004D5F37">
        <w:rPr>
          <w:rFonts w:ascii="Arial" w:eastAsia="Calibri" w:hAnsi="Arial" w:cs="Arial"/>
          <w:lang w:val="es-AR"/>
        </w:rPr>
        <w:t xml:space="preserve">existen </w:t>
      </w:r>
      <w:r w:rsidR="00475BBF" w:rsidRPr="00EE0841">
        <w:rPr>
          <w:rFonts w:ascii="Arial" w:eastAsia="Calibri" w:hAnsi="Arial" w:cs="Arial"/>
          <w:lang w:val="es-AR"/>
        </w:rPr>
        <w:t xml:space="preserve">aproximadamente 12.845 personas mayores de 15 años viviendo con </w:t>
      </w:r>
      <w:r w:rsidR="004D5F37">
        <w:rPr>
          <w:rFonts w:ascii="Arial" w:eastAsia="Calibri" w:hAnsi="Arial" w:cs="Arial"/>
          <w:lang w:val="es-AR"/>
        </w:rPr>
        <w:t>el virus</w:t>
      </w:r>
      <w:r w:rsidR="00475BBF" w:rsidRPr="00EE0841">
        <w:rPr>
          <w:rFonts w:ascii="Arial" w:eastAsia="Calibri" w:hAnsi="Arial" w:cs="Arial"/>
          <w:lang w:val="es-AR"/>
        </w:rPr>
        <w:t>.</w:t>
      </w:r>
    </w:p>
    <w:p w:rsidR="00475BBF" w:rsidRDefault="00475BBF" w:rsidP="00475BBF">
      <w:pPr>
        <w:widowControl w:val="0"/>
        <w:tabs>
          <w:tab w:val="left" w:pos="1476"/>
        </w:tabs>
        <w:spacing w:line="276" w:lineRule="auto"/>
        <w:jc w:val="both"/>
        <w:rPr>
          <w:rFonts w:ascii="Arial" w:eastAsia="Calibri" w:hAnsi="Arial" w:cs="Arial"/>
          <w:bCs/>
        </w:rPr>
      </w:pPr>
      <w:r w:rsidRPr="00EE0841">
        <w:rPr>
          <w:rFonts w:ascii="Arial" w:eastAsia="Calibri" w:hAnsi="Arial" w:cs="Arial"/>
          <w:bCs/>
        </w:rPr>
        <w:t>La prevalencia en hombres que tienen sexo con hombres (HSH) es de 15</w:t>
      </w:r>
      <w:r w:rsidR="004D5F37">
        <w:rPr>
          <w:rFonts w:ascii="Arial" w:eastAsia="Calibri" w:hAnsi="Arial" w:cs="Arial"/>
          <w:bCs/>
        </w:rPr>
        <w:t>,</w:t>
      </w:r>
      <w:r w:rsidRPr="00EE0841">
        <w:rPr>
          <w:rFonts w:ascii="Arial" w:eastAsia="Calibri" w:hAnsi="Arial" w:cs="Arial"/>
          <w:bCs/>
        </w:rPr>
        <w:t xml:space="preserve">4 (IC 95% -7.2-23.6), </w:t>
      </w:r>
      <w:r w:rsidR="004D5F37">
        <w:rPr>
          <w:rFonts w:ascii="Arial" w:eastAsia="Calibri" w:hAnsi="Arial" w:cs="Arial"/>
          <w:bCs/>
        </w:rPr>
        <w:t xml:space="preserve">en </w:t>
      </w:r>
      <w:r w:rsidRPr="00EE0841">
        <w:rPr>
          <w:rFonts w:ascii="Arial" w:eastAsia="Calibri" w:hAnsi="Arial" w:cs="Arial"/>
          <w:bCs/>
        </w:rPr>
        <w:t>mujeres trabajadoras del sexo 1</w:t>
      </w:r>
      <w:r w:rsidR="004D5F37">
        <w:rPr>
          <w:rFonts w:ascii="Arial" w:eastAsia="Calibri" w:hAnsi="Arial" w:cs="Arial"/>
          <w:bCs/>
        </w:rPr>
        <w:t>,3 (IC 95%, 0.10-2.5),</w:t>
      </w:r>
      <w:r w:rsidRPr="00EE0841">
        <w:rPr>
          <w:rFonts w:ascii="Arial" w:eastAsia="Calibri" w:hAnsi="Arial" w:cs="Arial"/>
          <w:bCs/>
        </w:rPr>
        <w:t xml:space="preserve"> </w:t>
      </w:r>
      <w:r w:rsidR="004D5F37">
        <w:rPr>
          <w:rFonts w:ascii="Arial" w:eastAsia="Calibri" w:hAnsi="Arial" w:cs="Arial"/>
          <w:bCs/>
        </w:rPr>
        <w:t xml:space="preserve">en </w:t>
      </w:r>
      <w:r w:rsidRPr="00EE0841">
        <w:rPr>
          <w:rFonts w:ascii="Arial" w:eastAsia="Calibri" w:hAnsi="Arial" w:cs="Arial"/>
          <w:bCs/>
        </w:rPr>
        <w:t>mujeres trans 24</w:t>
      </w:r>
      <w:r w:rsidR="004D5F37">
        <w:rPr>
          <w:rFonts w:ascii="Arial" w:eastAsia="Calibri" w:hAnsi="Arial" w:cs="Arial"/>
          <w:bCs/>
        </w:rPr>
        <w:t>,</w:t>
      </w:r>
      <w:r w:rsidRPr="00EE0841">
        <w:rPr>
          <w:rFonts w:ascii="Arial" w:eastAsia="Calibri" w:hAnsi="Arial" w:cs="Arial"/>
          <w:bCs/>
        </w:rPr>
        <w:t xml:space="preserve">9 (IC 95%, 19.3- 29.9), </w:t>
      </w:r>
      <w:r w:rsidR="004D5F37">
        <w:rPr>
          <w:rFonts w:ascii="Arial" w:eastAsia="Calibri" w:hAnsi="Arial" w:cs="Arial"/>
          <w:bCs/>
        </w:rPr>
        <w:t xml:space="preserve">y </w:t>
      </w:r>
      <w:r w:rsidRPr="00EE0841">
        <w:rPr>
          <w:rFonts w:ascii="Arial" w:eastAsia="Calibri" w:hAnsi="Arial" w:cs="Arial"/>
          <w:bCs/>
        </w:rPr>
        <w:t xml:space="preserve">en </w:t>
      </w:r>
      <w:r w:rsidR="004D5F37">
        <w:rPr>
          <w:rFonts w:ascii="Arial" w:eastAsia="Calibri" w:hAnsi="Arial" w:cs="Arial"/>
          <w:bCs/>
        </w:rPr>
        <w:t xml:space="preserve">mujeres </w:t>
      </w:r>
      <w:r w:rsidRPr="00EE0841">
        <w:rPr>
          <w:rFonts w:ascii="Arial" w:eastAsia="Calibri" w:hAnsi="Arial" w:cs="Arial"/>
          <w:bCs/>
        </w:rPr>
        <w:t>embarazadas 0</w:t>
      </w:r>
      <w:r w:rsidR="004D5F37">
        <w:rPr>
          <w:rFonts w:ascii="Arial" w:eastAsia="Calibri" w:hAnsi="Arial" w:cs="Arial"/>
          <w:bCs/>
        </w:rPr>
        <w:t>,</w:t>
      </w:r>
      <w:r w:rsidRPr="00EE0841">
        <w:rPr>
          <w:rFonts w:ascii="Arial" w:eastAsia="Calibri" w:hAnsi="Arial" w:cs="Arial"/>
          <w:bCs/>
        </w:rPr>
        <w:t>01</w:t>
      </w:r>
      <w:r w:rsidR="004D5F37">
        <w:rPr>
          <w:rStyle w:val="Refdenotaalpie"/>
          <w:rFonts w:ascii="Arial" w:eastAsia="Calibri" w:hAnsi="Arial" w:cs="Arial"/>
          <w:bCs/>
        </w:rPr>
        <w:footnoteReference w:id="14"/>
      </w:r>
      <w:r w:rsidR="004D5F37">
        <w:rPr>
          <w:rFonts w:ascii="Arial" w:eastAsia="Calibri" w:hAnsi="Arial" w:cs="Arial"/>
          <w:bCs/>
        </w:rPr>
        <w:t>.</w:t>
      </w:r>
    </w:p>
    <w:p w:rsidR="004D5F37" w:rsidRPr="00CB5C06" w:rsidRDefault="004D5F37" w:rsidP="00475BBF">
      <w:pPr>
        <w:widowControl w:val="0"/>
        <w:tabs>
          <w:tab w:val="left" w:pos="1476"/>
        </w:tabs>
        <w:spacing w:line="276" w:lineRule="auto"/>
        <w:jc w:val="both"/>
        <w:rPr>
          <w:rFonts w:ascii="Arial" w:eastAsia="Calibri" w:hAnsi="Arial" w:cs="Arial"/>
          <w:bCs/>
          <w:i/>
          <w:sz w:val="20"/>
          <w:szCs w:val="20"/>
        </w:rPr>
      </w:pPr>
    </w:p>
    <w:p w:rsidR="00475BBF" w:rsidRPr="00EE0841" w:rsidRDefault="00475BBF" w:rsidP="001106F5">
      <w:pPr>
        <w:widowControl w:val="0"/>
        <w:tabs>
          <w:tab w:val="left" w:pos="1476"/>
        </w:tabs>
        <w:spacing w:after="240" w:line="276" w:lineRule="auto"/>
        <w:jc w:val="both"/>
        <w:rPr>
          <w:rFonts w:ascii="Arial" w:eastAsia="Calibri" w:hAnsi="Arial" w:cs="Arial"/>
          <w:bCs/>
          <w:lang w:val="es-AR"/>
        </w:rPr>
      </w:pPr>
      <w:r w:rsidRPr="00EE0841">
        <w:rPr>
          <w:rFonts w:ascii="Arial" w:eastAsia="Calibri" w:hAnsi="Arial" w:cs="Arial"/>
          <w:bCs/>
        </w:rPr>
        <w:t xml:space="preserve">En el período 2014-2018, se registraron 3.895 nuevos diagnósticos de VIH </w:t>
      </w:r>
      <w:r>
        <w:rPr>
          <w:rFonts w:ascii="Arial" w:eastAsia="Calibri" w:hAnsi="Arial" w:cs="Arial"/>
          <w:bCs/>
        </w:rPr>
        <w:t xml:space="preserve">con una </w:t>
      </w:r>
      <w:r w:rsidRPr="00EE0841">
        <w:rPr>
          <w:rFonts w:ascii="Arial" w:eastAsia="Calibri" w:hAnsi="Arial" w:cs="Arial"/>
          <w:bCs/>
        </w:rPr>
        <w:t>tasa para el período</w:t>
      </w:r>
      <w:r>
        <w:rPr>
          <w:rFonts w:ascii="Arial" w:eastAsia="Calibri" w:hAnsi="Arial" w:cs="Arial"/>
          <w:bCs/>
        </w:rPr>
        <w:t xml:space="preserve"> de </w:t>
      </w:r>
      <w:r w:rsidRPr="00EE0841">
        <w:rPr>
          <w:rFonts w:ascii="Arial" w:eastAsia="Calibri" w:hAnsi="Arial" w:cs="Arial"/>
          <w:bCs/>
        </w:rPr>
        <w:t xml:space="preserve">15,9 </w:t>
      </w:r>
      <w:r>
        <w:rPr>
          <w:rFonts w:ascii="Arial" w:eastAsia="Calibri" w:hAnsi="Arial" w:cs="Arial"/>
          <w:bCs/>
        </w:rPr>
        <w:t xml:space="preserve">casos </w:t>
      </w:r>
      <w:r w:rsidRPr="00EE0841">
        <w:rPr>
          <w:rFonts w:ascii="Arial" w:eastAsia="Calibri" w:hAnsi="Arial" w:cs="Arial"/>
          <w:bCs/>
        </w:rPr>
        <w:t>por 100.000 habitantes.  Las tasas de nuevos diagnóstic</w:t>
      </w:r>
      <w:r w:rsidR="004D5F37">
        <w:rPr>
          <w:rFonts w:ascii="Arial" w:eastAsia="Calibri" w:hAnsi="Arial" w:cs="Arial"/>
          <w:bCs/>
        </w:rPr>
        <w:t>os se han incrementado un 26</w:t>
      </w:r>
      <w:r w:rsidR="00FE636C">
        <w:rPr>
          <w:rFonts w:ascii="Arial" w:eastAsia="Calibri" w:hAnsi="Arial" w:cs="Arial"/>
          <w:bCs/>
        </w:rPr>
        <w:t>,</w:t>
      </w:r>
      <w:r w:rsidR="004D5F37">
        <w:rPr>
          <w:rFonts w:ascii="Arial" w:eastAsia="Calibri" w:hAnsi="Arial" w:cs="Arial"/>
          <w:bCs/>
        </w:rPr>
        <w:t xml:space="preserve">4%, si se </w:t>
      </w:r>
      <w:r w:rsidRPr="00EE0841">
        <w:rPr>
          <w:rFonts w:ascii="Arial" w:eastAsia="Calibri" w:hAnsi="Arial" w:cs="Arial"/>
          <w:bCs/>
        </w:rPr>
        <w:t>en compara</w:t>
      </w:r>
      <w:r w:rsidR="004D5F37">
        <w:rPr>
          <w:rFonts w:ascii="Arial" w:eastAsia="Calibri" w:hAnsi="Arial" w:cs="Arial"/>
          <w:bCs/>
        </w:rPr>
        <w:t xml:space="preserve">n los años 2014 </w:t>
      </w:r>
      <w:r w:rsidRPr="00EE0841">
        <w:rPr>
          <w:rFonts w:ascii="Arial" w:eastAsia="Calibri" w:hAnsi="Arial" w:cs="Arial"/>
          <w:bCs/>
        </w:rPr>
        <w:t>(15</w:t>
      </w:r>
      <w:r w:rsidR="00FE636C">
        <w:rPr>
          <w:rFonts w:ascii="Arial" w:eastAsia="Calibri" w:hAnsi="Arial" w:cs="Arial"/>
          <w:bCs/>
        </w:rPr>
        <w:t>,</w:t>
      </w:r>
      <w:r w:rsidRPr="00EE0841">
        <w:rPr>
          <w:rFonts w:ascii="Arial" w:eastAsia="Calibri" w:hAnsi="Arial" w:cs="Arial"/>
          <w:bCs/>
        </w:rPr>
        <w:t>5</w:t>
      </w:r>
      <w:r>
        <w:rPr>
          <w:rFonts w:ascii="Arial" w:eastAsia="Calibri" w:hAnsi="Arial" w:cs="Arial"/>
          <w:bCs/>
        </w:rPr>
        <w:t xml:space="preserve"> casos por </w:t>
      </w:r>
      <w:r w:rsidRPr="00EE0841">
        <w:rPr>
          <w:rFonts w:ascii="Arial" w:eastAsia="Calibri" w:hAnsi="Arial" w:cs="Arial"/>
          <w:bCs/>
        </w:rPr>
        <w:t>100.000 habitantes)</w:t>
      </w:r>
      <w:r w:rsidR="004D5F37">
        <w:rPr>
          <w:rFonts w:ascii="Arial" w:eastAsia="Calibri" w:hAnsi="Arial" w:cs="Arial"/>
          <w:bCs/>
        </w:rPr>
        <w:t>,</w:t>
      </w:r>
      <w:r w:rsidRPr="00EE0841">
        <w:rPr>
          <w:rFonts w:ascii="Arial" w:eastAsia="Calibri" w:hAnsi="Arial" w:cs="Arial"/>
          <w:bCs/>
        </w:rPr>
        <w:t xml:space="preserve"> </w:t>
      </w:r>
      <w:r w:rsidR="004D5F37">
        <w:rPr>
          <w:rFonts w:ascii="Arial" w:eastAsia="Calibri" w:hAnsi="Arial" w:cs="Arial"/>
          <w:bCs/>
        </w:rPr>
        <w:t>y</w:t>
      </w:r>
      <w:r w:rsidRPr="00EE0841">
        <w:rPr>
          <w:rFonts w:ascii="Arial" w:eastAsia="Calibri" w:hAnsi="Arial" w:cs="Arial"/>
          <w:bCs/>
        </w:rPr>
        <w:t xml:space="preserve"> el 2017 (19</w:t>
      </w:r>
      <w:r w:rsidR="00FE636C">
        <w:rPr>
          <w:rFonts w:ascii="Arial" w:eastAsia="Calibri" w:hAnsi="Arial" w:cs="Arial"/>
          <w:bCs/>
        </w:rPr>
        <w:t>,</w:t>
      </w:r>
      <w:r w:rsidRPr="00EE0841">
        <w:rPr>
          <w:rFonts w:ascii="Arial" w:eastAsia="Calibri" w:hAnsi="Arial" w:cs="Arial"/>
          <w:bCs/>
        </w:rPr>
        <w:t>6</w:t>
      </w:r>
      <w:r>
        <w:rPr>
          <w:rFonts w:ascii="Arial" w:eastAsia="Calibri" w:hAnsi="Arial" w:cs="Arial"/>
          <w:bCs/>
        </w:rPr>
        <w:t xml:space="preserve"> casos por </w:t>
      </w:r>
      <w:r w:rsidRPr="00EE0841">
        <w:rPr>
          <w:rFonts w:ascii="Arial" w:eastAsia="Calibri" w:hAnsi="Arial" w:cs="Arial"/>
          <w:bCs/>
        </w:rPr>
        <w:t>100</w:t>
      </w:r>
      <w:r>
        <w:rPr>
          <w:rFonts w:ascii="Arial" w:eastAsia="Calibri" w:hAnsi="Arial" w:cs="Arial"/>
          <w:bCs/>
        </w:rPr>
        <w:t>.</w:t>
      </w:r>
      <w:r w:rsidRPr="00EE0841">
        <w:rPr>
          <w:rFonts w:ascii="Arial" w:eastAsia="Calibri" w:hAnsi="Arial" w:cs="Arial"/>
          <w:bCs/>
        </w:rPr>
        <w:t xml:space="preserve">000 habitantes), debido </w:t>
      </w:r>
      <w:r w:rsidR="00FE636C">
        <w:rPr>
          <w:rFonts w:ascii="Arial" w:eastAsia="Calibri" w:hAnsi="Arial" w:cs="Arial"/>
          <w:bCs/>
        </w:rPr>
        <w:t xml:space="preserve">al fortalecimiento de la </w:t>
      </w:r>
      <w:r w:rsidRPr="00EE0841">
        <w:rPr>
          <w:rFonts w:ascii="Arial" w:eastAsia="Calibri" w:hAnsi="Arial" w:cs="Arial"/>
          <w:bCs/>
        </w:rPr>
        <w:t xml:space="preserve">prevención y al aumento en la demanda </w:t>
      </w:r>
      <w:r w:rsidR="00FE636C">
        <w:rPr>
          <w:rFonts w:ascii="Arial" w:eastAsia="Calibri" w:hAnsi="Arial" w:cs="Arial"/>
          <w:bCs/>
        </w:rPr>
        <w:t>en</w:t>
      </w:r>
      <w:r w:rsidRPr="00EE0841">
        <w:rPr>
          <w:rFonts w:ascii="Arial" w:eastAsia="Calibri" w:hAnsi="Arial" w:cs="Arial"/>
          <w:bCs/>
        </w:rPr>
        <w:t xml:space="preserve"> la prueba de VIH.</w:t>
      </w:r>
    </w:p>
    <w:p w:rsidR="00475BBF" w:rsidRPr="00072035" w:rsidRDefault="00475BBF" w:rsidP="00FE636C">
      <w:pPr>
        <w:autoSpaceDE w:val="0"/>
        <w:autoSpaceDN w:val="0"/>
        <w:adjustRightInd w:val="0"/>
        <w:spacing w:after="240" w:line="276" w:lineRule="auto"/>
        <w:jc w:val="both"/>
        <w:rPr>
          <w:rFonts w:ascii="Arial" w:eastAsia="Calibri" w:hAnsi="Arial" w:cs="Arial"/>
          <w:lang w:val="es-ES" w:eastAsia="en-GB"/>
        </w:rPr>
      </w:pPr>
      <w:r w:rsidRPr="00EE0841">
        <w:rPr>
          <w:rFonts w:ascii="Arial" w:eastAsia="Calibri" w:hAnsi="Arial" w:cs="Arial"/>
          <w:lang w:val="es-ES" w:eastAsia="en-GB"/>
        </w:rPr>
        <w:t xml:space="preserve">En el mismo período, las provincias de San José y Alajuela presentaron la mayor incidencia de VIH por 100.000 habitantes </w:t>
      </w:r>
      <w:r w:rsidR="00FE636C">
        <w:rPr>
          <w:rFonts w:ascii="Arial" w:eastAsia="Calibri" w:hAnsi="Arial" w:cs="Arial"/>
          <w:lang w:val="es-ES" w:eastAsia="en-GB"/>
        </w:rPr>
        <w:t xml:space="preserve">de </w:t>
      </w:r>
      <w:r w:rsidRPr="00EE0841">
        <w:rPr>
          <w:rFonts w:ascii="Arial" w:eastAsia="Calibri" w:hAnsi="Arial" w:cs="Arial"/>
          <w:lang w:val="es-ES" w:eastAsia="en-GB"/>
        </w:rPr>
        <w:t>24</w:t>
      </w:r>
      <w:r w:rsidR="00FE636C">
        <w:rPr>
          <w:rFonts w:ascii="Arial" w:eastAsia="Calibri" w:hAnsi="Arial" w:cs="Arial"/>
          <w:lang w:val="es-ES" w:eastAsia="en-GB"/>
        </w:rPr>
        <w:t>,</w:t>
      </w:r>
      <w:r w:rsidRPr="00EE0841">
        <w:rPr>
          <w:rFonts w:ascii="Arial" w:eastAsia="Calibri" w:hAnsi="Arial" w:cs="Arial"/>
          <w:lang w:val="es-ES" w:eastAsia="en-GB"/>
        </w:rPr>
        <w:t>4 y 11</w:t>
      </w:r>
      <w:r w:rsidR="00FE636C">
        <w:rPr>
          <w:rFonts w:ascii="Arial" w:eastAsia="Calibri" w:hAnsi="Arial" w:cs="Arial"/>
          <w:lang w:val="es-ES" w:eastAsia="en-GB"/>
        </w:rPr>
        <w:t>,</w:t>
      </w:r>
      <w:r w:rsidRPr="00EE0841">
        <w:rPr>
          <w:rFonts w:ascii="Arial" w:eastAsia="Calibri" w:hAnsi="Arial" w:cs="Arial"/>
          <w:lang w:val="es-ES" w:eastAsia="en-GB"/>
        </w:rPr>
        <w:t>7 respectivamente</w:t>
      </w:r>
      <w:r w:rsidR="00FE636C">
        <w:rPr>
          <w:rFonts w:ascii="Arial" w:eastAsia="Calibri" w:hAnsi="Arial" w:cs="Arial"/>
          <w:lang w:val="es-ES" w:eastAsia="en-GB"/>
        </w:rPr>
        <w:t xml:space="preserve">. Ambas provincias </w:t>
      </w:r>
      <w:r w:rsidRPr="00EE0841">
        <w:rPr>
          <w:rFonts w:ascii="Arial" w:eastAsia="Calibri" w:hAnsi="Arial" w:cs="Arial"/>
          <w:lang w:val="es-ES" w:eastAsia="en-GB"/>
        </w:rPr>
        <w:t xml:space="preserve">aportan el 65.0% de los casos de país. </w:t>
      </w:r>
    </w:p>
    <w:p w:rsidR="00475BBF" w:rsidRDefault="00475BBF" w:rsidP="00475BBF">
      <w:pPr>
        <w:widowControl w:val="0"/>
        <w:tabs>
          <w:tab w:val="left" w:pos="1476"/>
        </w:tabs>
        <w:spacing w:line="276" w:lineRule="auto"/>
        <w:jc w:val="both"/>
        <w:rPr>
          <w:rFonts w:ascii="Arial" w:eastAsia="Calibri" w:hAnsi="Arial" w:cs="Arial"/>
          <w:bCs/>
        </w:rPr>
      </w:pPr>
      <w:r w:rsidRPr="00EE0841">
        <w:rPr>
          <w:rFonts w:ascii="Arial" w:eastAsia="Calibri" w:hAnsi="Arial" w:cs="Arial"/>
          <w:bCs/>
        </w:rPr>
        <w:t xml:space="preserve">Los cantones </w:t>
      </w:r>
      <w:r w:rsidR="00FE636C">
        <w:rPr>
          <w:rFonts w:ascii="Arial" w:eastAsia="Calibri" w:hAnsi="Arial" w:cs="Arial"/>
          <w:bCs/>
        </w:rPr>
        <w:t xml:space="preserve">con </w:t>
      </w:r>
      <w:r w:rsidRPr="00EE0841">
        <w:rPr>
          <w:rFonts w:ascii="Arial" w:eastAsia="Calibri" w:hAnsi="Arial" w:cs="Arial"/>
          <w:bCs/>
        </w:rPr>
        <w:t xml:space="preserve">las tasas </w:t>
      </w:r>
      <w:r w:rsidR="00FE636C">
        <w:rPr>
          <w:rFonts w:ascii="Arial" w:eastAsia="Calibri" w:hAnsi="Arial" w:cs="Arial"/>
          <w:bCs/>
        </w:rPr>
        <w:t xml:space="preserve">más altas </w:t>
      </w:r>
      <w:r w:rsidRPr="00EE0841">
        <w:rPr>
          <w:rFonts w:ascii="Arial" w:eastAsia="Calibri" w:hAnsi="Arial" w:cs="Arial"/>
          <w:bCs/>
        </w:rPr>
        <w:t>de nuevos diagnósticos por 100.000 habitantes fueron: San José (52</w:t>
      </w:r>
      <w:r w:rsidR="00FE636C">
        <w:rPr>
          <w:rFonts w:ascii="Arial" w:eastAsia="Calibri" w:hAnsi="Arial" w:cs="Arial"/>
          <w:bCs/>
        </w:rPr>
        <w:t>,</w:t>
      </w:r>
      <w:r w:rsidRPr="00EE0841">
        <w:rPr>
          <w:rFonts w:ascii="Arial" w:eastAsia="Calibri" w:hAnsi="Arial" w:cs="Arial"/>
          <w:bCs/>
        </w:rPr>
        <w:t>0), Montes de Oca (36</w:t>
      </w:r>
      <w:r w:rsidR="00FE636C">
        <w:rPr>
          <w:rFonts w:ascii="Arial" w:eastAsia="Calibri" w:hAnsi="Arial" w:cs="Arial"/>
          <w:bCs/>
        </w:rPr>
        <w:t>,</w:t>
      </w:r>
      <w:r w:rsidRPr="00EE0841">
        <w:rPr>
          <w:rFonts w:ascii="Arial" w:eastAsia="Calibri" w:hAnsi="Arial" w:cs="Arial"/>
          <w:bCs/>
        </w:rPr>
        <w:t>3), Limón (25</w:t>
      </w:r>
      <w:r w:rsidR="00FE636C">
        <w:rPr>
          <w:rFonts w:ascii="Arial" w:eastAsia="Calibri" w:hAnsi="Arial" w:cs="Arial"/>
          <w:bCs/>
        </w:rPr>
        <w:t>,</w:t>
      </w:r>
      <w:r w:rsidRPr="00EE0841">
        <w:rPr>
          <w:rFonts w:ascii="Arial" w:eastAsia="Calibri" w:hAnsi="Arial" w:cs="Arial"/>
          <w:bCs/>
        </w:rPr>
        <w:t>2), Heredia (23</w:t>
      </w:r>
      <w:r w:rsidR="00FE636C">
        <w:rPr>
          <w:rFonts w:ascii="Arial" w:eastAsia="Calibri" w:hAnsi="Arial" w:cs="Arial"/>
          <w:bCs/>
        </w:rPr>
        <w:t>,</w:t>
      </w:r>
      <w:r w:rsidRPr="00EE0841">
        <w:rPr>
          <w:rFonts w:ascii="Arial" w:eastAsia="Calibri" w:hAnsi="Arial" w:cs="Arial"/>
          <w:bCs/>
        </w:rPr>
        <w:t>6), Desamparados (20</w:t>
      </w:r>
      <w:r w:rsidR="00FE636C">
        <w:rPr>
          <w:rFonts w:ascii="Arial" w:eastAsia="Calibri" w:hAnsi="Arial" w:cs="Arial"/>
          <w:bCs/>
        </w:rPr>
        <w:t>,</w:t>
      </w:r>
      <w:r w:rsidRPr="00EE0841">
        <w:rPr>
          <w:rFonts w:ascii="Arial" w:eastAsia="Calibri" w:hAnsi="Arial" w:cs="Arial"/>
          <w:bCs/>
        </w:rPr>
        <w:t>9), Goicoechea (22</w:t>
      </w:r>
      <w:r w:rsidR="00FE636C">
        <w:rPr>
          <w:rFonts w:ascii="Arial" w:eastAsia="Calibri" w:hAnsi="Arial" w:cs="Arial"/>
          <w:bCs/>
        </w:rPr>
        <w:t>,</w:t>
      </w:r>
      <w:r w:rsidRPr="00EE0841">
        <w:rPr>
          <w:rFonts w:ascii="Arial" w:eastAsia="Calibri" w:hAnsi="Arial" w:cs="Arial"/>
          <w:bCs/>
        </w:rPr>
        <w:t>6), Tibás (19</w:t>
      </w:r>
      <w:r w:rsidR="00FE636C">
        <w:rPr>
          <w:rFonts w:ascii="Arial" w:eastAsia="Calibri" w:hAnsi="Arial" w:cs="Arial"/>
          <w:bCs/>
        </w:rPr>
        <w:t>,</w:t>
      </w:r>
      <w:r w:rsidRPr="00EE0841">
        <w:rPr>
          <w:rFonts w:ascii="Arial" w:eastAsia="Calibri" w:hAnsi="Arial" w:cs="Arial"/>
          <w:bCs/>
        </w:rPr>
        <w:t>9), Curridabat (17</w:t>
      </w:r>
      <w:r w:rsidR="00FE636C">
        <w:rPr>
          <w:rFonts w:ascii="Arial" w:eastAsia="Calibri" w:hAnsi="Arial" w:cs="Arial"/>
          <w:bCs/>
        </w:rPr>
        <w:t>,</w:t>
      </w:r>
      <w:r w:rsidRPr="00EE0841">
        <w:rPr>
          <w:rFonts w:ascii="Arial" w:eastAsia="Calibri" w:hAnsi="Arial" w:cs="Arial"/>
          <w:bCs/>
        </w:rPr>
        <w:t>1) y La Unión (19</w:t>
      </w:r>
      <w:r w:rsidR="00FE636C">
        <w:rPr>
          <w:rFonts w:ascii="Arial" w:eastAsia="Calibri" w:hAnsi="Arial" w:cs="Arial"/>
          <w:bCs/>
        </w:rPr>
        <w:t>,</w:t>
      </w:r>
      <w:r w:rsidRPr="00EE0841">
        <w:rPr>
          <w:rFonts w:ascii="Arial" w:eastAsia="Calibri" w:hAnsi="Arial" w:cs="Arial"/>
          <w:bCs/>
        </w:rPr>
        <w:t xml:space="preserve">1), aportando </w:t>
      </w:r>
      <w:r>
        <w:rPr>
          <w:rFonts w:ascii="Arial" w:eastAsia="Calibri" w:hAnsi="Arial" w:cs="Arial"/>
          <w:bCs/>
        </w:rPr>
        <w:t>el 49</w:t>
      </w:r>
      <w:r w:rsidR="00FE636C">
        <w:rPr>
          <w:rFonts w:ascii="Arial" w:eastAsia="Calibri" w:hAnsi="Arial" w:cs="Arial"/>
          <w:bCs/>
        </w:rPr>
        <w:t>,</w:t>
      </w:r>
      <w:r>
        <w:rPr>
          <w:rFonts w:ascii="Arial" w:eastAsia="Calibri" w:hAnsi="Arial" w:cs="Arial"/>
          <w:bCs/>
        </w:rPr>
        <w:t>4% de los casos del país.</w:t>
      </w:r>
    </w:p>
    <w:p w:rsidR="001106F5" w:rsidRDefault="001106F5">
      <w:pPr>
        <w:spacing w:after="160" w:line="259" w:lineRule="auto"/>
        <w:rPr>
          <w:rFonts w:ascii="Arial" w:eastAsia="Calibri" w:hAnsi="Arial" w:cs="Arial"/>
          <w:bCs/>
        </w:rPr>
      </w:pPr>
      <w:r>
        <w:rPr>
          <w:rFonts w:ascii="Arial" w:eastAsia="Calibri" w:hAnsi="Arial" w:cs="Arial"/>
          <w:bCs/>
        </w:rPr>
        <w:br w:type="page"/>
      </w:r>
    </w:p>
    <w:p w:rsidR="00475BBF" w:rsidRDefault="00475BBF" w:rsidP="00475BBF">
      <w:pPr>
        <w:widowControl w:val="0"/>
        <w:tabs>
          <w:tab w:val="left" w:pos="1476"/>
        </w:tabs>
        <w:spacing w:line="276" w:lineRule="auto"/>
        <w:jc w:val="both"/>
        <w:rPr>
          <w:rFonts w:ascii="Arial" w:eastAsia="Calibri" w:hAnsi="Arial" w:cs="Arial"/>
          <w:bCs/>
        </w:rPr>
      </w:pPr>
    </w:p>
    <w:p w:rsidR="00475BBF" w:rsidRPr="00EE0841" w:rsidRDefault="00FE636C" w:rsidP="00475BBF">
      <w:pPr>
        <w:widowControl w:val="0"/>
        <w:tabs>
          <w:tab w:val="left" w:pos="1476"/>
        </w:tabs>
        <w:spacing w:line="276" w:lineRule="auto"/>
        <w:jc w:val="center"/>
        <w:rPr>
          <w:rFonts w:ascii="Arial" w:eastAsia="Calibri" w:hAnsi="Arial" w:cs="Arial"/>
          <w:b/>
          <w:bCs/>
        </w:rPr>
      </w:pPr>
      <w:r>
        <w:rPr>
          <w:rFonts w:ascii="Arial" w:eastAsia="Calibri" w:hAnsi="Arial" w:cs="Arial"/>
          <w:b/>
          <w:bCs/>
        </w:rPr>
        <w:t>Gráfico 3</w:t>
      </w:r>
      <w:r w:rsidR="009E51D7">
        <w:rPr>
          <w:rFonts w:ascii="Arial" w:eastAsia="Calibri" w:hAnsi="Arial" w:cs="Arial"/>
          <w:b/>
          <w:bCs/>
        </w:rPr>
        <w:t>8</w:t>
      </w:r>
    </w:p>
    <w:p w:rsidR="00475BBF" w:rsidRDefault="00475BBF" w:rsidP="00475BBF">
      <w:pPr>
        <w:widowControl w:val="0"/>
        <w:tabs>
          <w:tab w:val="left" w:pos="1476"/>
        </w:tabs>
        <w:spacing w:line="276" w:lineRule="auto"/>
        <w:jc w:val="center"/>
        <w:rPr>
          <w:rFonts w:ascii="Arial" w:eastAsia="Calibri" w:hAnsi="Arial" w:cs="Arial"/>
          <w:b/>
          <w:bCs/>
        </w:rPr>
      </w:pPr>
      <w:r w:rsidRPr="00EE0841">
        <w:rPr>
          <w:rFonts w:ascii="Arial" w:eastAsia="Calibri" w:hAnsi="Arial" w:cs="Arial"/>
          <w:b/>
          <w:bCs/>
        </w:rPr>
        <w:t>Costa Rica</w:t>
      </w:r>
      <w:r w:rsidR="00FE636C">
        <w:rPr>
          <w:rFonts w:ascii="Arial" w:eastAsia="Calibri" w:hAnsi="Arial" w:cs="Arial"/>
          <w:b/>
          <w:bCs/>
        </w:rPr>
        <w:t>:</w:t>
      </w:r>
      <w:r w:rsidRPr="00EE0841">
        <w:rPr>
          <w:rFonts w:ascii="Arial" w:eastAsia="Calibri" w:hAnsi="Arial" w:cs="Arial"/>
          <w:b/>
          <w:bCs/>
        </w:rPr>
        <w:t xml:space="preserve"> Incidencia de nuevos diagnósticos de VIH</w:t>
      </w:r>
      <w:r w:rsidR="00FE636C">
        <w:rPr>
          <w:rFonts w:ascii="Arial" w:eastAsia="Calibri" w:hAnsi="Arial" w:cs="Arial"/>
          <w:b/>
          <w:bCs/>
        </w:rPr>
        <w:t>,</w:t>
      </w:r>
      <w:r w:rsidRPr="00EE0841">
        <w:rPr>
          <w:rFonts w:ascii="Arial" w:eastAsia="Calibri" w:hAnsi="Arial" w:cs="Arial"/>
          <w:b/>
          <w:bCs/>
        </w:rPr>
        <w:t xml:space="preserve"> 2014-2018</w:t>
      </w:r>
      <w:r w:rsidR="00FE636C">
        <w:rPr>
          <w:rStyle w:val="Refdenotaalpie"/>
          <w:rFonts w:ascii="Arial" w:eastAsia="Calibri" w:hAnsi="Arial" w:cs="Arial"/>
          <w:b/>
          <w:bCs/>
        </w:rPr>
        <w:footnoteReference w:id="15"/>
      </w:r>
    </w:p>
    <w:p w:rsidR="00475BBF" w:rsidRDefault="00475BBF" w:rsidP="00475BBF">
      <w:pPr>
        <w:widowControl w:val="0"/>
        <w:tabs>
          <w:tab w:val="left" w:pos="1476"/>
        </w:tabs>
        <w:spacing w:line="276" w:lineRule="auto"/>
        <w:jc w:val="both"/>
        <w:rPr>
          <w:rFonts w:ascii="Arial" w:eastAsia="Calibri" w:hAnsi="Arial" w:cs="Arial"/>
          <w:b/>
          <w:bCs/>
        </w:rPr>
      </w:pPr>
    </w:p>
    <w:p w:rsidR="00475BBF" w:rsidRDefault="00475BBF" w:rsidP="00475BBF">
      <w:pPr>
        <w:widowControl w:val="0"/>
        <w:tabs>
          <w:tab w:val="left" w:pos="1476"/>
        </w:tabs>
        <w:jc w:val="center"/>
        <w:rPr>
          <w:rFonts w:ascii="Arial" w:eastAsia="Calibri" w:hAnsi="Arial" w:cs="Arial"/>
          <w:b/>
          <w:bCs/>
        </w:rPr>
      </w:pPr>
      <w:r>
        <w:rPr>
          <w:rFonts w:ascii="Times New Roman" w:hAnsi="Times New Roman"/>
          <w:noProof/>
          <w:lang w:val="es-CR" w:eastAsia="es-CR"/>
        </w:rPr>
        <w:drawing>
          <wp:inline distT="0" distB="0" distL="0" distR="0" wp14:anchorId="041BEA1A" wp14:editId="3DF08B09">
            <wp:extent cx="5099538" cy="2770785"/>
            <wp:effectExtent l="0" t="0" r="0" b="0"/>
            <wp:docPr id="9" name="Gráfico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475BBF" w:rsidRDefault="00475BBF" w:rsidP="00475BBF">
      <w:pPr>
        <w:widowControl w:val="0"/>
        <w:tabs>
          <w:tab w:val="left" w:pos="1476"/>
        </w:tabs>
        <w:rPr>
          <w:rFonts w:ascii="Arial" w:eastAsia="Calibri" w:hAnsi="Arial" w:cs="Arial"/>
          <w:b/>
          <w:bCs/>
        </w:rPr>
      </w:pPr>
    </w:p>
    <w:p w:rsidR="00475BBF" w:rsidRDefault="00475BBF" w:rsidP="001106F5">
      <w:pPr>
        <w:widowControl w:val="0"/>
        <w:tabs>
          <w:tab w:val="left" w:pos="1476"/>
        </w:tabs>
        <w:spacing w:after="240" w:line="276" w:lineRule="auto"/>
        <w:jc w:val="both"/>
        <w:rPr>
          <w:rFonts w:ascii="Arial" w:eastAsia="Calibri" w:hAnsi="Arial" w:cs="Arial"/>
          <w:bCs/>
        </w:rPr>
      </w:pPr>
      <w:r w:rsidRPr="00073112">
        <w:rPr>
          <w:rFonts w:ascii="Arial" w:eastAsia="Calibri" w:hAnsi="Arial" w:cs="Arial"/>
          <w:bCs/>
          <w:shd w:val="clear" w:color="auto" w:fill="FFFFFF" w:themeFill="background1"/>
        </w:rPr>
        <w:t xml:space="preserve">Los </w:t>
      </w:r>
      <w:r w:rsidR="00FE636C">
        <w:rPr>
          <w:rFonts w:ascii="Arial" w:eastAsia="Calibri" w:hAnsi="Arial" w:cs="Arial"/>
          <w:bCs/>
          <w:shd w:val="clear" w:color="auto" w:fill="FFFFFF" w:themeFill="background1"/>
        </w:rPr>
        <w:t xml:space="preserve">casos nuevos </w:t>
      </w:r>
      <w:r w:rsidRPr="00073112">
        <w:rPr>
          <w:rFonts w:ascii="Arial" w:eastAsia="Calibri" w:hAnsi="Arial" w:cs="Arial"/>
          <w:bCs/>
          <w:shd w:val="clear" w:color="auto" w:fill="FFFFFF" w:themeFill="background1"/>
        </w:rPr>
        <w:t>de VIH se presentaron básicamente en el sexo masculino (86,3%) siendo la razón hombre/mujer para el periodo de 6:1 (</w:t>
      </w:r>
      <w:r w:rsidR="00FE636C">
        <w:rPr>
          <w:rFonts w:ascii="Arial" w:eastAsia="Calibri" w:hAnsi="Arial" w:cs="Arial"/>
          <w:bCs/>
          <w:shd w:val="clear" w:color="auto" w:fill="FFFFFF" w:themeFill="background1"/>
        </w:rPr>
        <w:t xml:space="preserve">seis </w:t>
      </w:r>
      <w:r w:rsidRPr="00073112">
        <w:rPr>
          <w:rFonts w:ascii="Arial" w:eastAsia="Calibri" w:hAnsi="Arial" w:cs="Arial"/>
          <w:bCs/>
          <w:shd w:val="clear" w:color="auto" w:fill="FFFFFF" w:themeFill="background1"/>
        </w:rPr>
        <w:t>hombres por cada mujer).</w:t>
      </w:r>
      <w:r w:rsidRPr="00073112">
        <w:rPr>
          <w:rFonts w:ascii="Arial" w:eastAsia="Calibri" w:hAnsi="Arial" w:cs="Arial"/>
          <w:bCs/>
          <w:color w:val="FF0000"/>
        </w:rPr>
        <w:t xml:space="preserve"> </w:t>
      </w:r>
      <w:r w:rsidRPr="00073112">
        <w:rPr>
          <w:rFonts w:ascii="Arial" w:eastAsia="Calibri" w:hAnsi="Arial" w:cs="Arial"/>
          <w:bCs/>
        </w:rPr>
        <w:t xml:space="preserve">El grupo de edad </w:t>
      </w:r>
      <w:r w:rsidR="00FE636C">
        <w:rPr>
          <w:rFonts w:ascii="Arial" w:eastAsia="Calibri" w:hAnsi="Arial" w:cs="Arial"/>
          <w:bCs/>
        </w:rPr>
        <w:t xml:space="preserve">más afectado </w:t>
      </w:r>
      <w:r w:rsidRPr="00073112">
        <w:rPr>
          <w:rFonts w:ascii="Arial" w:eastAsia="Calibri" w:hAnsi="Arial" w:cs="Arial"/>
          <w:bCs/>
        </w:rPr>
        <w:t xml:space="preserve">(ambos sexos) fue </w:t>
      </w:r>
      <w:r w:rsidR="00FE636C">
        <w:rPr>
          <w:rFonts w:ascii="Arial" w:eastAsia="Calibri" w:hAnsi="Arial" w:cs="Arial"/>
          <w:bCs/>
        </w:rPr>
        <w:t xml:space="preserve">el </w:t>
      </w:r>
      <w:r w:rsidRPr="00073112">
        <w:rPr>
          <w:rFonts w:ascii="Arial" w:eastAsia="Calibri" w:hAnsi="Arial" w:cs="Arial"/>
          <w:bCs/>
        </w:rPr>
        <w:t xml:space="preserve">de 20 a 34 años, </w:t>
      </w:r>
      <w:r w:rsidR="00FE636C">
        <w:rPr>
          <w:rFonts w:ascii="Arial" w:eastAsia="Calibri" w:hAnsi="Arial" w:cs="Arial"/>
          <w:bCs/>
        </w:rPr>
        <w:t>el cual aporta</w:t>
      </w:r>
      <w:r w:rsidRPr="00073112">
        <w:rPr>
          <w:rFonts w:ascii="Arial" w:eastAsia="Calibri" w:hAnsi="Arial" w:cs="Arial"/>
          <w:bCs/>
        </w:rPr>
        <w:t xml:space="preserve"> el 55,1% de lo</w:t>
      </w:r>
      <w:r w:rsidRPr="00E71617">
        <w:rPr>
          <w:rFonts w:ascii="Arial" w:eastAsia="Calibri" w:hAnsi="Arial" w:cs="Arial"/>
          <w:bCs/>
        </w:rPr>
        <w:t>s casos del período.</w:t>
      </w:r>
    </w:p>
    <w:p w:rsidR="00475BBF" w:rsidRPr="004E56DB" w:rsidRDefault="00475BBF" w:rsidP="001106F5">
      <w:pPr>
        <w:widowControl w:val="0"/>
        <w:tabs>
          <w:tab w:val="left" w:pos="1476"/>
        </w:tabs>
        <w:spacing w:after="240" w:line="276" w:lineRule="auto"/>
        <w:jc w:val="both"/>
        <w:rPr>
          <w:rFonts w:ascii="Arial" w:eastAsia="Calibri" w:hAnsi="Arial" w:cs="Arial"/>
          <w:sz w:val="20"/>
          <w:szCs w:val="20"/>
          <w:highlight w:val="yellow"/>
          <w:lang w:val="es-ES" w:eastAsia="en-GB"/>
        </w:rPr>
      </w:pPr>
      <w:r w:rsidRPr="004E56DB">
        <w:rPr>
          <w:rFonts w:ascii="Arial" w:eastAsia="Calibri" w:hAnsi="Arial" w:cs="Arial"/>
          <w:bCs/>
          <w:color w:val="000000" w:themeColor="text1"/>
        </w:rPr>
        <w:t>En cuanto al binomio sida/tuberculosis, en el 2018 se diagnosticaron 41 personas coinfectadas. De éstas</w:t>
      </w:r>
      <w:r w:rsidR="00383BB3">
        <w:rPr>
          <w:rFonts w:ascii="Arial" w:eastAsia="Calibri" w:hAnsi="Arial" w:cs="Arial"/>
          <w:bCs/>
          <w:color w:val="000000" w:themeColor="text1"/>
        </w:rPr>
        <w:t>,</w:t>
      </w:r>
      <w:r w:rsidRPr="004E56DB">
        <w:rPr>
          <w:rFonts w:ascii="Arial" w:eastAsia="Calibri" w:hAnsi="Arial" w:cs="Arial"/>
          <w:bCs/>
          <w:color w:val="000000" w:themeColor="text1"/>
        </w:rPr>
        <w:t xml:space="preserve"> el 90% fueron del sexo masculino y el grupo de edad con más casos fue el de 30 a 39 años (ambos sexos) </w:t>
      </w:r>
      <w:r w:rsidR="00383BB3">
        <w:rPr>
          <w:rFonts w:ascii="Arial" w:eastAsia="Calibri" w:hAnsi="Arial" w:cs="Arial"/>
          <w:bCs/>
          <w:color w:val="000000" w:themeColor="text1"/>
        </w:rPr>
        <w:t>con</w:t>
      </w:r>
      <w:r w:rsidRPr="004E56DB">
        <w:rPr>
          <w:rFonts w:ascii="Arial" w:eastAsia="Calibri" w:hAnsi="Arial" w:cs="Arial"/>
          <w:bCs/>
          <w:color w:val="000000" w:themeColor="text1"/>
        </w:rPr>
        <w:t xml:space="preserve"> el 42</w:t>
      </w:r>
      <w:r w:rsidR="00383BB3">
        <w:rPr>
          <w:rFonts w:ascii="Arial" w:eastAsia="Calibri" w:hAnsi="Arial" w:cs="Arial"/>
          <w:bCs/>
          <w:color w:val="000000" w:themeColor="text1"/>
        </w:rPr>
        <w:t>,</w:t>
      </w:r>
      <w:r w:rsidRPr="004E56DB">
        <w:rPr>
          <w:rFonts w:ascii="Arial" w:eastAsia="Calibri" w:hAnsi="Arial" w:cs="Arial"/>
          <w:bCs/>
          <w:color w:val="000000" w:themeColor="text1"/>
        </w:rPr>
        <w:t>8% de los casos coinfectados.</w:t>
      </w:r>
    </w:p>
    <w:p w:rsidR="00475BBF" w:rsidRPr="007C2921" w:rsidRDefault="00475BBF" w:rsidP="00383BB3">
      <w:pPr>
        <w:widowControl w:val="0"/>
        <w:tabs>
          <w:tab w:val="left" w:pos="1476"/>
        </w:tabs>
        <w:spacing w:after="240" w:line="276" w:lineRule="auto"/>
        <w:jc w:val="both"/>
        <w:rPr>
          <w:rFonts w:ascii="Arial" w:eastAsia="Calibri" w:hAnsi="Arial" w:cs="Arial"/>
          <w:bCs/>
        </w:rPr>
      </w:pPr>
      <w:r w:rsidRPr="007C2921">
        <w:rPr>
          <w:rFonts w:ascii="Arial" w:eastAsia="Calibri" w:hAnsi="Arial" w:cs="Arial"/>
          <w:bCs/>
        </w:rPr>
        <w:t>A partir del año 1985</w:t>
      </w:r>
      <w:r w:rsidR="00383BB3">
        <w:rPr>
          <w:rFonts w:ascii="Arial" w:eastAsia="Calibri" w:hAnsi="Arial" w:cs="Arial"/>
          <w:bCs/>
        </w:rPr>
        <w:t>,</w:t>
      </w:r>
      <w:r w:rsidRPr="007C2921">
        <w:rPr>
          <w:rFonts w:ascii="Arial" w:eastAsia="Calibri" w:hAnsi="Arial" w:cs="Arial"/>
          <w:bCs/>
        </w:rPr>
        <w:t xml:space="preserve"> la tendencia de la mortalidad por sida presentó un incremento sostenido. En 1997, debido a la introducción de la terapia antirretroviral y al aumento gradual de su cobertura, se observ</w:t>
      </w:r>
      <w:r w:rsidR="00383BB3">
        <w:rPr>
          <w:rFonts w:ascii="Arial" w:eastAsia="Calibri" w:hAnsi="Arial" w:cs="Arial"/>
          <w:bCs/>
        </w:rPr>
        <w:t>ó</w:t>
      </w:r>
      <w:r w:rsidRPr="007C2921">
        <w:rPr>
          <w:rFonts w:ascii="Arial" w:eastAsia="Calibri" w:hAnsi="Arial" w:cs="Arial"/>
          <w:bCs/>
        </w:rPr>
        <w:t xml:space="preserve"> un</w:t>
      </w:r>
      <w:r w:rsidR="00383BB3">
        <w:rPr>
          <w:rFonts w:ascii="Arial" w:eastAsia="Calibri" w:hAnsi="Arial" w:cs="Arial"/>
          <w:bCs/>
        </w:rPr>
        <w:t>a</w:t>
      </w:r>
      <w:r w:rsidRPr="007C2921">
        <w:rPr>
          <w:rFonts w:ascii="Arial" w:eastAsia="Calibri" w:hAnsi="Arial" w:cs="Arial"/>
          <w:bCs/>
        </w:rPr>
        <w:t xml:space="preserve"> </w:t>
      </w:r>
      <w:r w:rsidR="00383BB3">
        <w:rPr>
          <w:rFonts w:ascii="Arial" w:eastAsia="Calibri" w:hAnsi="Arial" w:cs="Arial"/>
          <w:bCs/>
        </w:rPr>
        <w:t xml:space="preserve">disminución </w:t>
      </w:r>
      <w:r w:rsidRPr="007C2921">
        <w:rPr>
          <w:rFonts w:ascii="Arial" w:eastAsia="Calibri" w:hAnsi="Arial" w:cs="Arial"/>
          <w:bCs/>
        </w:rPr>
        <w:t xml:space="preserve">de </w:t>
      </w:r>
      <w:r w:rsidR="00383BB3">
        <w:rPr>
          <w:rFonts w:ascii="Arial" w:eastAsia="Calibri" w:hAnsi="Arial" w:cs="Arial"/>
          <w:bCs/>
        </w:rPr>
        <w:t xml:space="preserve">los </w:t>
      </w:r>
      <w:r w:rsidRPr="007C2921">
        <w:rPr>
          <w:rFonts w:ascii="Arial" w:eastAsia="Calibri" w:hAnsi="Arial" w:cs="Arial"/>
          <w:bCs/>
        </w:rPr>
        <w:t xml:space="preserve">casos y </w:t>
      </w:r>
      <w:r w:rsidR="00383BB3">
        <w:rPr>
          <w:rFonts w:ascii="Arial" w:eastAsia="Calibri" w:hAnsi="Arial" w:cs="Arial"/>
          <w:bCs/>
        </w:rPr>
        <w:t xml:space="preserve">una </w:t>
      </w:r>
      <w:r w:rsidRPr="007C2921">
        <w:rPr>
          <w:rFonts w:ascii="Arial" w:eastAsia="Calibri" w:hAnsi="Arial" w:cs="Arial"/>
          <w:bCs/>
        </w:rPr>
        <w:t xml:space="preserve">estabilización de la mortalidad. </w:t>
      </w:r>
    </w:p>
    <w:p w:rsidR="00475BBF" w:rsidRPr="004E56DB" w:rsidRDefault="00475BBF" w:rsidP="001106F5">
      <w:pPr>
        <w:widowControl w:val="0"/>
        <w:tabs>
          <w:tab w:val="left" w:pos="1476"/>
        </w:tabs>
        <w:spacing w:after="240" w:line="276" w:lineRule="auto"/>
        <w:jc w:val="both"/>
        <w:rPr>
          <w:rFonts w:ascii="Arial" w:eastAsia="Calibri" w:hAnsi="Arial" w:cs="Arial"/>
          <w:b/>
          <w:bCs/>
          <w:highlight w:val="yellow"/>
        </w:rPr>
      </w:pPr>
      <w:r w:rsidRPr="007C2921">
        <w:rPr>
          <w:rFonts w:ascii="Arial" w:eastAsia="Calibri" w:hAnsi="Arial" w:cs="Arial"/>
          <w:bCs/>
        </w:rPr>
        <w:t xml:space="preserve">Para el período </w:t>
      </w:r>
      <w:r w:rsidR="00383BB3">
        <w:rPr>
          <w:rFonts w:ascii="Arial" w:eastAsia="Calibri" w:hAnsi="Arial" w:cs="Arial"/>
          <w:bCs/>
        </w:rPr>
        <w:t xml:space="preserve">del </w:t>
      </w:r>
      <w:r w:rsidRPr="007C2921">
        <w:rPr>
          <w:rFonts w:ascii="Arial" w:eastAsia="Calibri" w:hAnsi="Arial" w:cs="Arial"/>
          <w:bCs/>
        </w:rPr>
        <w:t>2013 al 2017, las tasas de mortalidad masculina, se mant</w:t>
      </w:r>
      <w:r w:rsidR="00383BB3">
        <w:rPr>
          <w:rFonts w:ascii="Arial" w:eastAsia="Calibri" w:hAnsi="Arial" w:cs="Arial"/>
          <w:bCs/>
        </w:rPr>
        <w:t>uvieron</w:t>
      </w:r>
      <w:r w:rsidRPr="007C2921">
        <w:rPr>
          <w:rFonts w:ascii="Arial" w:eastAsia="Calibri" w:hAnsi="Arial" w:cs="Arial"/>
          <w:bCs/>
        </w:rPr>
        <w:t xml:space="preserve"> por encima de las tasas nacionales durante todo el período de análisis.</w:t>
      </w:r>
    </w:p>
    <w:p w:rsidR="00475BBF" w:rsidRPr="004A7630" w:rsidRDefault="00475BBF" w:rsidP="00475BBF">
      <w:pPr>
        <w:widowControl w:val="0"/>
        <w:tabs>
          <w:tab w:val="left" w:pos="1476"/>
        </w:tabs>
        <w:spacing w:line="276" w:lineRule="auto"/>
        <w:jc w:val="both"/>
        <w:rPr>
          <w:rFonts w:ascii="Arial" w:eastAsia="Calibri" w:hAnsi="Arial" w:cs="Arial"/>
          <w:bCs/>
        </w:rPr>
      </w:pPr>
      <w:r w:rsidRPr="007C2921">
        <w:rPr>
          <w:rFonts w:ascii="Arial" w:eastAsia="Calibri" w:hAnsi="Arial" w:cs="Arial"/>
          <w:bCs/>
        </w:rPr>
        <w:t>El 81</w:t>
      </w:r>
      <w:r w:rsidR="00383BB3">
        <w:rPr>
          <w:rFonts w:ascii="Arial" w:eastAsia="Calibri" w:hAnsi="Arial" w:cs="Arial"/>
          <w:bCs/>
        </w:rPr>
        <w:t>,</w:t>
      </w:r>
      <w:r w:rsidRPr="007C2921">
        <w:rPr>
          <w:rFonts w:ascii="Arial" w:eastAsia="Calibri" w:hAnsi="Arial" w:cs="Arial"/>
          <w:bCs/>
        </w:rPr>
        <w:t xml:space="preserve">5% de las defunciones fueron del sexo masculino (5.0 por 100.000 </w:t>
      </w:r>
      <w:r w:rsidRPr="00B65BD4">
        <w:rPr>
          <w:rFonts w:ascii="Arial" w:eastAsia="Calibri" w:hAnsi="Arial" w:cs="Arial"/>
          <w:bCs/>
        </w:rPr>
        <w:t xml:space="preserve">habitantes). El grupo de edad donde se registró el mayor número de defunciones fue el de 30 a 54 años, representando </w:t>
      </w:r>
      <w:r w:rsidRPr="00941AD7">
        <w:rPr>
          <w:rFonts w:ascii="Arial" w:eastAsia="Calibri" w:hAnsi="Arial" w:cs="Arial"/>
          <w:bCs/>
        </w:rPr>
        <w:t>el 68</w:t>
      </w:r>
      <w:r w:rsidR="00383BB3">
        <w:rPr>
          <w:rFonts w:ascii="Arial" w:eastAsia="Calibri" w:hAnsi="Arial" w:cs="Arial"/>
          <w:bCs/>
        </w:rPr>
        <w:t>,</w:t>
      </w:r>
      <w:r w:rsidRPr="00941AD7">
        <w:rPr>
          <w:rFonts w:ascii="Arial" w:eastAsia="Calibri" w:hAnsi="Arial" w:cs="Arial"/>
          <w:bCs/>
        </w:rPr>
        <w:t xml:space="preserve">7% del total de muertes por esta causa, con una tasa </w:t>
      </w:r>
      <w:r w:rsidRPr="00941AD7">
        <w:rPr>
          <w:rFonts w:ascii="Arial" w:eastAsia="Calibri" w:hAnsi="Arial" w:cs="Arial"/>
          <w:bCs/>
        </w:rPr>
        <w:lastRenderedPageBreak/>
        <w:t>de mortalidad de 8</w:t>
      </w:r>
      <w:r w:rsidR="00383BB3">
        <w:rPr>
          <w:rFonts w:ascii="Arial" w:eastAsia="Calibri" w:hAnsi="Arial" w:cs="Arial"/>
          <w:bCs/>
        </w:rPr>
        <w:t>,</w:t>
      </w:r>
      <w:r w:rsidRPr="00941AD7">
        <w:rPr>
          <w:rFonts w:ascii="Arial" w:eastAsia="Calibri" w:hAnsi="Arial" w:cs="Arial"/>
          <w:bCs/>
        </w:rPr>
        <w:t>9 por 100</w:t>
      </w:r>
      <w:r w:rsidR="00383BB3">
        <w:rPr>
          <w:rFonts w:ascii="Arial" w:eastAsia="Calibri" w:hAnsi="Arial" w:cs="Arial"/>
          <w:bCs/>
        </w:rPr>
        <w:t>.</w:t>
      </w:r>
      <w:r w:rsidRPr="00941AD7">
        <w:rPr>
          <w:rFonts w:ascii="Arial" w:eastAsia="Calibri" w:hAnsi="Arial" w:cs="Arial"/>
          <w:bCs/>
        </w:rPr>
        <w:t>000 habitantes.</w:t>
      </w:r>
    </w:p>
    <w:p w:rsidR="00475BBF" w:rsidRDefault="00475BBF" w:rsidP="00475BBF">
      <w:pPr>
        <w:widowControl w:val="0"/>
        <w:tabs>
          <w:tab w:val="left" w:pos="1476"/>
        </w:tabs>
        <w:spacing w:line="276" w:lineRule="auto"/>
        <w:jc w:val="both"/>
        <w:rPr>
          <w:rFonts w:ascii="Arial" w:eastAsia="Calibri" w:hAnsi="Arial" w:cs="Arial"/>
          <w:b/>
          <w:bCs/>
        </w:rPr>
      </w:pPr>
    </w:p>
    <w:p w:rsidR="00475BBF" w:rsidRDefault="00475BBF" w:rsidP="00475BBF">
      <w:pPr>
        <w:widowControl w:val="0"/>
        <w:tabs>
          <w:tab w:val="left" w:pos="1476"/>
        </w:tabs>
        <w:spacing w:line="276" w:lineRule="auto"/>
        <w:jc w:val="center"/>
        <w:rPr>
          <w:rFonts w:ascii="Arial" w:eastAsia="Calibri" w:hAnsi="Arial" w:cs="Arial"/>
          <w:b/>
          <w:bCs/>
        </w:rPr>
      </w:pPr>
      <w:r w:rsidRPr="00383BB3">
        <w:rPr>
          <w:rFonts w:ascii="Arial" w:eastAsia="Calibri" w:hAnsi="Arial" w:cs="Arial"/>
          <w:b/>
          <w:bCs/>
        </w:rPr>
        <w:t xml:space="preserve">Gráfico </w:t>
      </w:r>
      <w:r w:rsidR="00383BB3">
        <w:rPr>
          <w:rFonts w:ascii="Arial" w:eastAsia="Calibri" w:hAnsi="Arial" w:cs="Arial"/>
          <w:b/>
          <w:bCs/>
        </w:rPr>
        <w:t>3</w:t>
      </w:r>
      <w:r w:rsidR="009E51D7">
        <w:rPr>
          <w:rFonts w:ascii="Arial" w:eastAsia="Calibri" w:hAnsi="Arial" w:cs="Arial"/>
          <w:b/>
          <w:bCs/>
        </w:rPr>
        <w:t>9</w:t>
      </w:r>
    </w:p>
    <w:p w:rsidR="00475BBF" w:rsidRPr="007D75A0" w:rsidRDefault="00475BBF" w:rsidP="00475BBF">
      <w:pPr>
        <w:widowControl w:val="0"/>
        <w:tabs>
          <w:tab w:val="left" w:pos="1476"/>
        </w:tabs>
        <w:spacing w:line="276" w:lineRule="auto"/>
        <w:jc w:val="center"/>
        <w:rPr>
          <w:rFonts w:ascii="Arial" w:eastAsia="Calibri" w:hAnsi="Arial" w:cs="Arial"/>
          <w:b/>
          <w:bCs/>
        </w:rPr>
      </w:pPr>
      <w:r>
        <w:rPr>
          <w:rFonts w:ascii="Arial" w:eastAsia="Calibri" w:hAnsi="Arial" w:cs="Arial"/>
          <w:b/>
          <w:bCs/>
        </w:rPr>
        <w:t>Costa Rica</w:t>
      </w:r>
      <w:r w:rsidR="00383BB3">
        <w:rPr>
          <w:rFonts w:ascii="Arial" w:eastAsia="Calibri" w:hAnsi="Arial" w:cs="Arial"/>
          <w:b/>
          <w:bCs/>
        </w:rPr>
        <w:t>:</w:t>
      </w:r>
      <w:r>
        <w:rPr>
          <w:rFonts w:ascii="Arial" w:eastAsia="Calibri" w:hAnsi="Arial" w:cs="Arial"/>
          <w:b/>
          <w:bCs/>
        </w:rPr>
        <w:t xml:space="preserve"> Tasa de m</w:t>
      </w:r>
      <w:r w:rsidRPr="007D75A0">
        <w:rPr>
          <w:rFonts w:ascii="Arial" w:eastAsia="Calibri" w:hAnsi="Arial" w:cs="Arial"/>
          <w:b/>
          <w:bCs/>
        </w:rPr>
        <w:t xml:space="preserve">ortalidad por sida según </w:t>
      </w:r>
      <w:r>
        <w:rPr>
          <w:rFonts w:ascii="Arial" w:eastAsia="Calibri" w:hAnsi="Arial" w:cs="Arial"/>
          <w:b/>
          <w:bCs/>
        </w:rPr>
        <w:t>sexo, 2014-2018</w:t>
      </w:r>
    </w:p>
    <w:p w:rsidR="00475BBF" w:rsidRPr="00383BB3" w:rsidRDefault="00383BB3" w:rsidP="00475BBF">
      <w:pPr>
        <w:widowControl w:val="0"/>
        <w:tabs>
          <w:tab w:val="left" w:pos="1476"/>
        </w:tabs>
        <w:spacing w:line="276" w:lineRule="auto"/>
        <w:jc w:val="center"/>
        <w:rPr>
          <w:rFonts w:ascii="Arial" w:eastAsia="Calibri" w:hAnsi="Arial" w:cs="Arial"/>
          <w:bCs/>
        </w:rPr>
      </w:pPr>
      <w:r w:rsidRPr="00383BB3">
        <w:rPr>
          <w:rFonts w:ascii="Arial" w:eastAsia="Calibri" w:hAnsi="Arial" w:cs="Arial"/>
          <w:bCs/>
          <w:sz w:val="20"/>
          <w:szCs w:val="20"/>
        </w:rPr>
        <w:t>(t</w:t>
      </w:r>
      <w:r w:rsidR="00475BBF" w:rsidRPr="00383BB3">
        <w:rPr>
          <w:rFonts w:ascii="Arial" w:eastAsia="Calibri" w:hAnsi="Arial" w:cs="Arial"/>
          <w:bCs/>
          <w:sz w:val="20"/>
          <w:szCs w:val="20"/>
        </w:rPr>
        <w:t>asa por 100.000 habitantes</w:t>
      </w:r>
      <w:r w:rsidRPr="00383BB3">
        <w:rPr>
          <w:rFonts w:ascii="Arial" w:eastAsia="Calibri" w:hAnsi="Arial" w:cs="Arial"/>
          <w:bCs/>
          <w:sz w:val="20"/>
          <w:szCs w:val="20"/>
        </w:rPr>
        <w:t>)</w:t>
      </w:r>
    </w:p>
    <w:p w:rsidR="00475BBF" w:rsidRPr="009A14F4" w:rsidRDefault="00475BBF" w:rsidP="00475BBF">
      <w:pPr>
        <w:widowControl w:val="0"/>
        <w:tabs>
          <w:tab w:val="left" w:pos="1476"/>
        </w:tabs>
        <w:jc w:val="center"/>
        <w:rPr>
          <w:rFonts w:ascii="Arial" w:eastAsia="Calibri" w:hAnsi="Arial" w:cs="Arial"/>
          <w:b/>
          <w:bCs/>
        </w:rPr>
      </w:pPr>
    </w:p>
    <w:p w:rsidR="00475BBF" w:rsidRPr="00A65308" w:rsidRDefault="00475BBF" w:rsidP="00475BBF">
      <w:pPr>
        <w:widowControl w:val="0"/>
        <w:tabs>
          <w:tab w:val="left" w:pos="1476"/>
        </w:tabs>
        <w:jc w:val="center"/>
        <w:rPr>
          <w:rFonts w:ascii="Arial" w:eastAsia="Calibri" w:hAnsi="Arial" w:cs="Arial"/>
          <w:bCs/>
        </w:rPr>
      </w:pPr>
      <w:r w:rsidRPr="00A65308">
        <w:rPr>
          <w:rFonts w:ascii="Arial" w:eastAsia="Calibri" w:hAnsi="Arial" w:cs="Arial"/>
          <w:bCs/>
          <w:noProof/>
          <w:lang w:val="es-CR" w:eastAsia="es-CR"/>
        </w:rPr>
        <w:drawing>
          <wp:inline distT="0" distB="0" distL="0" distR="0" wp14:anchorId="0A3A373A" wp14:editId="76656324">
            <wp:extent cx="5581650" cy="2371725"/>
            <wp:effectExtent l="0" t="0" r="0" b="0"/>
            <wp:docPr id="39" name="Gráfico 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1106F5" w:rsidRDefault="001106F5" w:rsidP="00383BB3">
      <w:pPr>
        <w:widowControl w:val="0"/>
        <w:tabs>
          <w:tab w:val="left" w:pos="1476"/>
        </w:tabs>
        <w:jc w:val="right"/>
        <w:rPr>
          <w:rFonts w:ascii="Arial" w:eastAsia="Calibri" w:hAnsi="Arial" w:cs="Arial"/>
          <w:b/>
          <w:bCs/>
          <w:sz w:val="18"/>
          <w:szCs w:val="18"/>
        </w:rPr>
      </w:pPr>
    </w:p>
    <w:p w:rsidR="00475BBF" w:rsidRPr="00383BB3" w:rsidRDefault="00475BBF" w:rsidP="00383BB3">
      <w:pPr>
        <w:widowControl w:val="0"/>
        <w:tabs>
          <w:tab w:val="left" w:pos="1476"/>
        </w:tabs>
        <w:jc w:val="right"/>
        <w:rPr>
          <w:rFonts w:ascii="Arial" w:eastAsia="Calibri" w:hAnsi="Arial" w:cs="Arial"/>
          <w:bCs/>
          <w:sz w:val="18"/>
          <w:szCs w:val="18"/>
        </w:rPr>
      </w:pPr>
      <w:r w:rsidRPr="00383BB3">
        <w:rPr>
          <w:rFonts w:ascii="Arial" w:eastAsia="Calibri" w:hAnsi="Arial" w:cs="Arial"/>
          <w:b/>
          <w:bCs/>
          <w:sz w:val="18"/>
          <w:szCs w:val="18"/>
        </w:rPr>
        <w:t>Fuente:</w:t>
      </w:r>
      <w:r w:rsidRPr="00383BB3">
        <w:rPr>
          <w:rFonts w:ascii="Arial" w:eastAsia="Calibri" w:hAnsi="Arial" w:cs="Arial"/>
          <w:bCs/>
          <w:sz w:val="18"/>
          <w:szCs w:val="18"/>
        </w:rPr>
        <w:t xml:space="preserve"> INEC</w:t>
      </w:r>
      <w:r w:rsidR="00383BB3" w:rsidRPr="00383BB3">
        <w:rPr>
          <w:rFonts w:ascii="Arial" w:eastAsia="Calibri" w:hAnsi="Arial" w:cs="Arial"/>
          <w:bCs/>
          <w:sz w:val="18"/>
          <w:szCs w:val="18"/>
        </w:rPr>
        <w:t xml:space="preserve">, </w:t>
      </w:r>
      <w:r w:rsidRPr="00383BB3">
        <w:rPr>
          <w:rFonts w:ascii="Arial" w:eastAsia="Calibri" w:hAnsi="Arial" w:cs="Arial"/>
          <w:sz w:val="18"/>
          <w:szCs w:val="18"/>
        </w:rPr>
        <w:t>Ministerio de Salud</w:t>
      </w:r>
      <w:r w:rsidR="00383BB3" w:rsidRPr="00383BB3">
        <w:rPr>
          <w:rFonts w:ascii="Arial" w:eastAsia="Calibri" w:hAnsi="Arial" w:cs="Arial"/>
          <w:sz w:val="18"/>
          <w:szCs w:val="18"/>
        </w:rPr>
        <w:t>, 2019</w:t>
      </w:r>
      <w:r w:rsidRPr="00383BB3">
        <w:rPr>
          <w:rFonts w:ascii="Arial" w:eastAsia="Calibri" w:hAnsi="Arial" w:cs="Arial"/>
          <w:sz w:val="18"/>
          <w:szCs w:val="18"/>
        </w:rPr>
        <w:t>.</w:t>
      </w:r>
    </w:p>
    <w:p w:rsidR="00475BBF" w:rsidRDefault="00475BBF" w:rsidP="00475BBF">
      <w:pPr>
        <w:widowControl w:val="0"/>
        <w:tabs>
          <w:tab w:val="left" w:pos="1476"/>
        </w:tabs>
        <w:jc w:val="both"/>
        <w:rPr>
          <w:rFonts w:ascii="Arial" w:eastAsia="Calibri" w:hAnsi="Arial" w:cs="Arial"/>
          <w:bCs/>
        </w:rPr>
      </w:pPr>
    </w:p>
    <w:p w:rsidR="00475BBF" w:rsidRPr="00383BB3" w:rsidRDefault="00383BB3" w:rsidP="00383BB3">
      <w:pPr>
        <w:pStyle w:val="Ttulo2"/>
        <w:spacing w:after="240" w:line="276" w:lineRule="auto"/>
        <w:rPr>
          <w:rFonts w:ascii="Arial" w:hAnsi="Arial" w:cs="Arial"/>
          <w:b/>
          <w:color w:val="auto"/>
          <w:sz w:val="24"/>
          <w:szCs w:val="24"/>
        </w:rPr>
      </w:pPr>
      <w:bookmarkStart w:id="68" w:name="_Toc506187964"/>
      <w:bookmarkStart w:id="69" w:name="_Toc7439684"/>
      <w:r w:rsidRPr="001106F5">
        <w:rPr>
          <w:rFonts w:ascii="Arial" w:hAnsi="Arial" w:cs="Arial"/>
          <w:b/>
          <w:color w:val="auto"/>
        </w:rPr>
        <w:t xml:space="preserve">Enfermedad diarreica aguda </w:t>
      </w:r>
      <w:r w:rsidR="00475BBF" w:rsidRPr="001106F5">
        <w:rPr>
          <w:rFonts w:ascii="Arial" w:hAnsi="Arial" w:cs="Arial"/>
          <w:b/>
          <w:color w:val="auto"/>
        </w:rPr>
        <w:t>(EDA</w:t>
      </w:r>
      <w:r w:rsidR="00475BBF" w:rsidRPr="00383BB3">
        <w:rPr>
          <w:rFonts w:ascii="Arial" w:hAnsi="Arial" w:cs="Arial"/>
          <w:b/>
          <w:color w:val="auto"/>
          <w:sz w:val="24"/>
          <w:szCs w:val="24"/>
        </w:rPr>
        <w:t>)</w:t>
      </w:r>
      <w:bookmarkEnd w:id="68"/>
      <w:bookmarkEnd w:id="69"/>
      <w:r w:rsidR="00475BBF" w:rsidRPr="00383BB3">
        <w:rPr>
          <w:rFonts w:ascii="Arial" w:hAnsi="Arial" w:cs="Arial"/>
          <w:b/>
          <w:color w:val="auto"/>
          <w:sz w:val="24"/>
          <w:szCs w:val="24"/>
        </w:rPr>
        <w:t xml:space="preserve"> </w:t>
      </w:r>
    </w:p>
    <w:p w:rsidR="00475BBF" w:rsidRDefault="00475BBF" w:rsidP="00383BB3">
      <w:pPr>
        <w:autoSpaceDE w:val="0"/>
        <w:autoSpaceDN w:val="0"/>
        <w:adjustRightInd w:val="0"/>
        <w:spacing w:line="276" w:lineRule="auto"/>
        <w:jc w:val="both"/>
        <w:rPr>
          <w:rFonts w:ascii="Arial" w:hAnsi="Arial" w:cs="Arial"/>
          <w:color w:val="241F1F"/>
        </w:rPr>
      </w:pPr>
      <w:r w:rsidRPr="00367512">
        <w:rPr>
          <w:rFonts w:ascii="Arial" w:hAnsi="Arial" w:cs="Arial"/>
          <w:color w:val="241F1F"/>
        </w:rPr>
        <w:t>Según la Organización Mundial de la Salud, la enfermedad diarreica (EDA) es la segunda causa de muerte en niños menores de cinco años, produci</w:t>
      </w:r>
      <w:r w:rsidR="003B0AF0">
        <w:rPr>
          <w:rFonts w:ascii="Arial" w:hAnsi="Arial" w:cs="Arial"/>
          <w:color w:val="241F1F"/>
        </w:rPr>
        <w:t>é</w:t>
      </w:r>
      <w:r w:rsidRPr="00367512">
        <w:rPr>
          <w:rFonts w:ascii="Arial" w:hAnsi="Arial" w:cs="Arial"/>
          <w:color w:val="241F1F"/>
        </w:rPr>
        <w:t>ndo</w:t>
      </w:r>
      <w:r w:rsidR="003B0AF0">
        <w:rPr>
          <w:rFonts w:ascii="Arial" w:hAnsi="Arial" w:cs="Arial"/>
          <w:color w:val="241F1F"/>
        </w:rPr>
        <w:t>se</w:t>
      </w:r>
      <w:r w:rsidRPr="00367512">
        <w:rPr>
          <w:rFonts w:ascii="Arial" w:hAnsi="Arial" w:cs="Arial"/>
          <w:color w:val="241F1F"/>
        </w:rPr>
        <w:t xml:space="preserve"> en este grupo de edad alrededor de 1.700 millones de casos en el mundo y 525.000 muertes cada año. </w:t>
      </w:r>
    </w:p>
    <w:p w:rsidR="00475BBF" w:rsidRDefault="00475BBF" w:rsidP="00475BBF">
      <w:pPr>
        <w:autoSpaceDE w:val="0"/>
        <w:autoSpaceDN w:val="0"/>
        <w:adjustRightInd w:val="0"/>
        <w:spacing w:line="276" w:lineRule="auto"/>
        <w:rPr>
          <w:rFonts w:ascii="Arial" w:hAnsi="Arial" w:cs="Arial"/>
          <w:color w:val="241F1F"/>
        </w:rPr>
      </w:pPr>
    </w:p>
    <w:p w:rsidR="003B0AF0" w:rsidRDefault="00475BBF" w:rsidP="003B0AF0">
      <w:pPr>
        <w:autoSpaceDE w:val="0"/>
        <w:autoSpaceDN w:val="0"/>
        <w:adjustRightInd w:val="0"/>
        <w:spacing w:after="240" w:line="276" w:lineRule="auto"/>
        <w:jc w:val="both"/>
        <w:rPr>
          <w:rFonts w:ascii="Arial" w:eastAsia="ArialMT" w:hAnsi="Arial" w:cs="Arial"/>
          <w:color w:val="241F1F"/>
        </w:rPr>
      </w:pPr>
      <w:r>
        <w:rPr>
          <w:rFonts w:ascii="Arial" w:hAnsi="Arial" w:cs="Arial"/>
          <w:color w:val="241F1F"/>
        </w:rPr>
        <w:t xml:space="preserve">En </w:t>
      </w:r>
      <w:r w:rsidR="003B0AF0">
        <w:rPr>
          <w:rFonts w:ascii="Arial" w:hAnsi="Arial" w:cs="Arial"/>
          <w:color w:val="241F1F"/>
        </w:rPr>
        <w:t xml:space="preserve">Costa Rica la EDA constituye </w:t>
      </w:r>
      <w:r w:rsidRPr="00367512">
        <w:rPr>
          <w:rFonts w:ascii="Arial" w:hAnsi="Arial" w:cs="Arial"/>
          <w:color w:val="241F1F"/>
        </w:rPr>
        <w:t xml:space="preserve">la segunda causa de morbilidad del grupo de enfermedades </w:t>
      </w:r>
      <w:r w:rsidRPr="00367512">
        <w:rPr>
          <w:rFonts w:ascii="Arial" w:eastAsia="ArialMT" w:hAnsi="Arial" w:cs="Arial"/>
          <w:color w:val="241F1F"/>
        </w:rPr>
        <w:t>infecciosas que se notifican colectivamente al Ministerio de Salud. Debido a las características</w:t>
      </w:r>
      <w:r w:rsidRPr="00367512">
        <w:rPr>
          <w:rFonts w:ascii="Arial" w:hAnsi="Arial" w:cs="Arial"/>
          <w:color w:val="241F1F"/>
        </w:rPr>
        <w:t xml:space="preserve"> epidemiológicas, los agentes etiológicos involuc</w:t>
      </w:r>
      <w:r w:rsidR="003B0AF0">
        <w:rPr>
          <w:rFonts w:ascii="Arial" w:hAnsi="Arial" w:cs="Arial"/>
          <w:color w:val="241F1F"/>
        </w:rPr>
        <w:t>rados y la presentación clínica</w:t>
      </w:r>
      <w:r w:rsidRPr="00367512">
        <w:rPr>
          <w:rFonts w:ascii="Arial" w:hAnsi="Arial" w:cs="Arial"/>
          <w:color w:val="241F1F"/>
        </w:rPr>
        <w:t xml:space="preserve"> son de </w:t>
      </w:r>
      <w:r w:rsidRPr="00367512">
        <w:rPr>
          <w:rFonts w:ascii="Arial" w:eastAsia="ArialMT" w:hAnsi="Arial" w:cs="Arial"/>
          <w:color w:val="241F1F"/>
        </w:rPr>
        <w:t xml:space="preserve">índole </w:t>
      </w:r>
      <w:r>
        <w:rPr>
          <w:rFonts w:ascii="Arial" w:eastAsia="ArialMT" w:hAnsi="Arial" w:cs="Arial"/>
          <w:color w:val="241F1F"/>
        </w:rPr>
        <w:t>y gravedad</w:t>
      </w:r>
      <w:r w:rsidR="003B0AF0">
        <w:rPr>
          <w:rFonts w:ascii="Arial" w:eastAsia="ArialMT" w:hAnsi="Arial" w:cs="Arial"/>
          <w:color w:val="241F1F"/>
        </w:rPr>
        <w:t xml:space="preserve"> variadas</w:t>
      </w:r>
      <w:r w:rsidRPr="00367512">
        <w:rPr>
          <w:rFonts w:ascii="Arial" w:eastAsia="ArialMT" w:hAnsi="Arial" w:cs="Arial"/>
          <w:color w:val="241F1F"/>
        </w:rPr>
        <w:t xml:space="preserve">. </w:t>
      </w:r>
    </w:p>
    <w:p w:rsidR="00475BBF" w:rsidRDefault="00475BBF" w:rsidP="003B0AF0">
      <w:pPr>
        <w:autoSpaceDE w:val="0"/>
        <w:autoSpaceDN w:val="0"/>
        <w:adjustRightInd w:val="0"/>
        <w:spacing w:after="240" w:line="276" w:lineRule="auto"/>
        <w:jc w:val="both"/>
        <w:rPr>
          <w:rFonts w:ascii="Arial" w:hAnsi="Arial" w:cs="Arial"/>
          <w:color w:val="241F1F"/>
        </w:rPr>
      </w:pPr>
      <w:r w:rsidRPr="00367512">
        <w:rPr>
          <w:rFonts w:ascii="Arial" w:hAnsi="Arial" w:cs="Arial"/>
          <w:color w:val="241F1F"/>
        </w:rPr>
        <w:t xml:space="preserve">En </w:t>
      </w:r>
      <w:r w:rsidR="003B0AF0">
        <w:rPr>
          <w:rFonts w:ascii="Arial" w:hAnsi="Arial" w:cs="Arial"/>
          <w:color w:val="241F1F"/>
        </w:rPr>
        <w:t>nuestro</w:t>
      </w:r>
      <w:r w:rsidRPr="00367512">
        <w:rPr>
          <w:rFonts w:ascii="Arial" w:hAnsi="Arial" w:cs="Arial"/>
          <w:color w:val="241F1F"/>
        </w:rPr>
        <w:t xml:space="preserve"> país, el 40% de las diarreas infecciosas son de origen alimentario</w:t>
      </w:r>
      <w:r w:rsidR="003B0AF0">
        <w:rPr>
          <w:rStyle w:val="Refdenotaalpie"/>
          <w:rFonts w:ascii="Arial" w:hAnsi="Arial" w:cs="Arial"/>
          <w:color w:val="241F1F"/>
        </w:rPr>
        <w:footnoteReference w:id="16"/>
      </w:r>
      <w:r w:rsidR="003B0AF0">
        <w:rPr>
          <w:rFonts w:ascii="Arial" w:hAnsi="Arial" w:cs="Arial"/>
          <w:color w:val="241F1F"/>
        </w:rPr>
        <w:t xml:space="preserve">. </w:t>
      </w:r>
      <w:r w:rsidRPr="00367512">
        <w:rPr>
          <w:rFonts w:ascii="Arial" w:hAnsi="Arial" w:cs="Arial"/>
          <w:color w:val="241F1F"/>
        </w:rPr>
        <w:t>Por su rápida trasmisión, modo de ocurrencia, síntomas y signos presentados producen un g</w:t>
      </w:r>
      <w:r>
        <w:rPr>
          <w:rFonts w:ascii="Arial" w:hAnsi="Arial" w:cs="Arial"/>
          <w:color w:val="241F1F"/>
        </w:rPr>
        <w:t>ran impacto en la salud pública;</w:t>
      </w:r>
      <w:r w:rsidRPr="00367512">
        <w:rPr>
          <w:rFonts w:ascii="Arial" w:hAnsi="Arial" w:cs="Arial"/>
          <w:color w:val="241F1F"/>
        </w:rPr>
        <w:t xml:space="preserve"> </w:t>
      </w:r>
      <w:r w:rsidR="003B0AF0">
        <w:rPr>
          <w:rFonts w:ascii="Arial" w:hAnsi="Arial" w:cs="Arial"/>
          <w:color w:val="241F1F"/>
        </w:rPr>
        <w:t xml:space="preserve">ya que </w:t>
      </w:r>
      <w:r w:rsidRPr="00367512">
        <w:rPr>
          <w:rFonts w:ascii="Arial" w:hAnsi="Arial" w:cs="Arial"/>
          <w:color w:val="241F1F"/>
        </w:rPr>
        <w:t>afectan</w:t>
      </w:r>
      <w:r w:rsidR="003B0AF0">
        <w:rPr>
          <w:rFonts w:ascii="Arial" w:hAnsi="Arial" w:cs="Arial"/>
          <w:color w:val="241F1F"/>
        </w:rPr>
        <w:t xml:space="preserve"> a</w:t>
      </w:r>
      <w:r w:rsidRPr="00367512">
        <w:rPr>
          <w:rFonts w:ascii="Arial" w:hAnsi="Arial" w:cs="Arial"/>
          <w:color w:val="241F1F"/>
        </w:rPr>
        <w:t xml:space="preserve"> un gran número de personas y </w:t>
      </w:r>
      <w:r w:rsidR="003B0AF0">
        <w:rPr>
          <w:rFonts w:ascii="Arial" w:hAnsi="Arial" w:cs="Arial"/>
          <w:color w:val="241F1F"/>
        </w:rPr>
        <w:t xml:space="preserve">por ende a </w:t>
      </w:r>
      <w:r w:rsidRPr="00367512">
        <w:rPr>
          <w:rFonts w:ascii="Arial" w:hAnsi="Arial" w:cs="Arial"/>
          <w:color w:val="241F1F"/>
        </w:rPr>
        <w:t xml:space="preserve">la economía de los países. </w:t>
      </w:r>
    </w:p>
    <w:p w:rsidR="00475BBF" w:rsidRPr="00E64D4D" w:rsidRDefault="00475BBF" w:rsidP="00475BBF">
      <w:pPr>
        <w:autoSpaceDE w:val="0"/>
        <w:autoSpaceDN w:val="0"/>
        <w:adjustRightInd w:val="0"/>
        <w:spacing w:line="276" w:lineRule="auto"/>
        <w:jc w:val="both"/>
        <w:rPr>
          <w:rFonts w:ascii="Arial" w:hAnsi="Arial" w:cs="Arial"/>
          <w:color w:val="241F1F"/>
        </w:rPr>
      </w:pPr>
      <w:r w:rsidRPr="00367512">
        <w:rPr>
          <w:rFonts w:ascii="Arial" w:hAnsi="Arial" w:cs="Arial"/>
          <w:color w:val="241F1F"/>
        </w:rPr>
        <w:t>Como u</w:t>
      </w:r>
      <w:r w:rsidRPr="00BE49BF">
        <w:rPr>
          <w:rFonts w:ascii="Arial" w:hAnsi="Arial" w:cs="Arial"/>
          <w:color w:val="241F1F"/>
        </w:rPr>
        <w:t xml:space="preserve">na proporción significativa de las enfermedades diarreicas </w:t>
      </w:r>
      <w:r w:rsidR="003B0AF0">
        <w:rPr>
          <w:rFonts w:ascii="Arial" w:hAnsi="Arial" w:cs="Arial"/>
          <w:color w:val="241F1F"/>
        </w:rPr>
        <w:t xml:space="preserve">son de origen hídrico, </w:t>
      </w:r>
      <w:r w:rsidRPr="00BE49BF">
        <w:rPr>
          <w:rFonts w:ascii="Arial" w:hAnsi="Arial" w:cs="Arial"/>
          <w:color w:val="241F1F"/>
        </w:rPr>
        <w:t>se puede</w:t>
      </w:r>
      <w:r w:rsidR="003B0AF0">
        <w:rPr>
          <w:rFonts w:ascii="Arial" w:hAnsi="Arial" w:cs="Arial"/>
          <w:color w:val="241F1F"/>
        </w:rPr>
        <w:t>n</w:t>
      </w:r>
      <w:r w:rsidRPr="00BE49BF">
        <w:rPr>
          <w:rFonts w:ascii="Arial" w:hAnsi="Arial" w:cs="Arial"/>
          <w:color w:val="241F1F"/>
        </w:rPr>
        <w:t xml:space="preserve"> prevenir mediante el acceso al agua </w:t>
      </w:r>
      <w:r w:rsidRPr="00367512">
        <w:rPr>
          <w:rFonts w:ascii="Arial" w:hAnsi="Arial" w:cs="Arial"/>
          <w:color w:val="241F1F"/>
        </w:rPr>
        <w:t xml:space="preserve">apta para el consumo </w:t>
      </w:r>
      <w:r w:rsidRPr="00367512">
        <w:rPr>
          <w:rFonts w:ascii="Arial" w:hAnsi="Arial" w:cs="Arial"/>
          <w:color w:val="241F1F"/>
        </w:rPr>
        <w:lastRenderedPageBreak/>
        <w:t xml:space="preserve">humano, </w:t>
      </w:r>
      <w:r w:rsidRPr="00BE49BF">
        <w:rPr>
          <w:rFonts w:ascii="Arial" w:hAnsi="Arial" w:cs="Arial"/>
          <w:color w:val="241F1F"/>
        </w:rPr>
        <w:t>servicios ade</w:t>
      </w:r>
      <w:r w:rsidRPr="00367512">
        <w:rPr>
          <w:rFonts w:ascii="Arial" w:hAnsi="Arial" w:cs="Arial"/>
          <w:color w:val="241F1F"/>
        </w:rPr>
        <w:t>cuados de saneamiento e higiene,</w:t>
      </w:r>
      <w:r>
        <w:rPr>
          <w:rFonts w:ascii="Arial" w:hAnsi="Arial" w:cs="Arial"/>
          <w:color w:val="241F1F"/>
        </w:rPr>
        <w:t xml:space="preserve"> y consumo de alimentos inocuos. </w:t>
      </w:r>
    </w:p>
    <w:p w:rsidR="00475BBF" w:rsidRDefault="00475BBF" w:rsidP="00475BBF">
      <w:pPr>
        <w:pStyle w:val="Default"/>
        <w:spacing w:line="276" w:lineRule="auto"/>
        <w:rPr>
          <w:b/>
          <w:color w:val="241F1F"/>
        </w:rPr>
      </w:pPr>
    </w:p>
    <w:p w:rsidR="00475BBF" w:rsidRPr="003B0AF0" w:rsidRDefault="00475BBF" w:rsidP="00475BBF">
      <w:pPr>
        <w:pStyle w:val="Default"/>
        <w:spacing w:line="276" w:lineRule="auto"/>
        <w:jc w:val="both"/>
        <w:rPr>
          <w:rFonts w:ascii="Arial" w:eastAsia="ArialMT" w:hAnsi="Arial" w:cs="Arial"/>
          <w:color w:val="241F1F"/>
        </w:rPr>
      </w:pPr>
      <w:r w:rsidRPr="003B0AF0">
        <w:rPr>
          <w:rFonts w:ascii="Arial" w:hAnsi="Arial" w:cs="Arial"/>
          <w:color w:val="241F1F"/>
        </w:rPr>
        <w:t xml:space="preserve">En el cuadro </w:t>
      </w:r>
      <w:r w:rsidR="009E51D7">
        <w:rPr>
          <w:rFonts w:ascii="Arial" w:hAnsi="Arial" w:cs="Arial"/>
          <w:color w:val="241F1F"/>
        </w:rPr>
        <w:t>37</w:t>
      </w:r>
      <w:r w:rsidRPr="003B0AF0">
        <w:rPr>
          <w:rFonts w:ascii="Arial" w:hAnsi="Arial" w:cs="Arial"/>
          <w:color w:val="241F1F"/>
        </w:rPr>
        <w:t xml:space="preserve">, se observan los episodios diarreicos notificados </w:t>
      </w:r>
      <w:r w:rsidRPr="003B0AF0">
        <w:rPr>
          <w:rFonts w:ascii="Arial" w:eastAsia="ArialMT" w:hAnsi="Arial" w:cs="Arial"/>
          <w:color w:val="241F1F"/>
        </w:rPr>
        <w:t>en el periodo 2014</w:t>
      </w:r>
      <w:r w:rsidR="003B0AF0">
        <w:rPr>
          <w:rFonts w:ascii="Arial" w:eastAsia="ArialMT" w:hAnsi="Arial" w:cs="Arial"/>
          <w:color w:val="241F1F"/>
        </w:rPr>
        <w:t>-</w:t>
      </w:r>
      <w:r w:rsidRPr="003B0AF0">
        <w:rPr>
          <w:rFonts w:ascii="Arial" w:eastAsia="ArialMT" w:hAnsi="Arial" w:cs="Arial"/>
          <w:color w:val="241F1F"/>
        </w:rPr>
        <w:t xml:space="preserve">  2018 y las tasas de incidencia por diez mil habitantes</w:t>
      </w:r>
      <w:r w:rsidR="009E196F">
        <w:rPr>
          <w:rFonts w:ascii="Arial" w:eastAsia="ArialMT" w:hAnsi="Arial" w:cs="Arial"/>
          <w:color w:val="241F1F"/>
        </w:rPr>
        <w:t>, así como las consultas notificadas de EDA.</w:t>
      </w:r>
    </w:p>
    <w:p w:rsidR="00475BBF" w:rsidRPr="003B0AF0" w:rsidRDefault="00475BBF" w:rsidP="00475BBF">
      <w:pPr>
        <w:autoSpaceDE w:val="0"/>
        <w:autoSpaceDN w:val="0"/>
        <w:adjustRightInd w:val="0"/>
        <w:jc w:val="both"/>
        <w:rPr>
          <w:rFonts w:ascii="Arial" w:hAnsi="Arial" w:cs="Arial"/>
          <w:color w:val="241F1F"/>
        </w:rPr>
      </w:pPr>
    </w:p>
    <w:p w:rsidR="00475BBF" w:rsidRPr="009E196F" w:rsidRDefault="009E196F" w:rsidP="00475BBF">
      <w:pPr>
        <w:autoSpaceDE w:val="0"/>
        <w:autoSpaceDN w:val="0"/>
        <w:adjustRightInd w:val="0"/>
        <w:jc w:val="center"/>
        <w:rPr>
          <w:rFonts w:ascii="Arial" w:hAnsi="Arial" w:cs="Arial"/>
          <w:b/>
          <w:color w:val="241F1F"/>
        </w:rPr>
      </w:pPr>
      <w:r w:rsidRPr="009E196F">
        <w:rPr>
          <w:rFonts w:ascii="Arial" w:hAnsi="Arial" w:cs="Arial"/>
          <w:b/>
          <w:color w:val="241F1F"/>
        </w:rPr>
        <w:t xml:space="preserve">Cuadro </w:t>
      </w:r>
      <w:r w:rsidR="009E51D7">
        <w:rPr>
          <w:rFonts w:ascii="Arial" w:hAnsi="Arial" w:cs="Arial"/>
          <w:b/>
          <w:color w:val="241F1F"/>
        </w:rPr>
        <w:t>37</w:t>
      </w:r>
    </w:p>
    <w:p w:rsidR="009E196F" w:rsidRDefault="00475BBF" w:rsidP="00475BBF">
      <w:pPr>
        <w:autoSpaceDE w:val="0"/>
        <w:autoSpaceDN w:val="0"/>
        <w:adjustRightInd w:val="0"/>
        <w:jc w:val="center"/>
        <w:rPr>
          <w:rFonts w:ascii="Arial" w:hAnsi="Arial" w:cs="Arial"/>
          <w:b/>
          <w:color w:val="241F1F"/>
        </w:rPr>
      </w:pPr>
      <w:r w:rsidRPr="009E196F">
        <w:rPr>
          <w:rFonts w:ascii="Arial" w:hAnsi="Arial" w:cs="Arial"/>
          <w:b/>
          <w:color w:val="241F1F"/>
        </w:rPr>
        <w:t>Costa Rica</w:t>
      </w:r>
      <w:r w:rsidR="009E196F">
        <w:rPr>
          <w:rFonts w:ascii="Arial" w:hAnsi="Arial" w:cs="Arial"/>
          <w:b/>
          <w:color w:val="241F1F"/>
        </w:rPr>
        <w:t>:</w:t>
      </w:r>
      <w:r w:rsidRPr="009E196F">
        <w:rPr>
          <w:rFonts w:ascii="Arial" w:hAnsi="Arial" w:cs="Arial"/>
          <w:b/>
          <w:color w:val="241F1F"/>
        </w:rPr>
        <w:t xml:space="preserve"> Consulta</w:t>
      </w:r>
      <w:r w:rsidR="009E196F">
        <w:rPr>
          <w:rFonts w:ascii="Arial" w:hAnsi="Arial" w:cs="Arial"/>
          <w:b/>
          <w:color w:val="241F1F"/>
        </w:rPr>
        <w:t>s</w:t>
      </w:r>
      <w:r w:rsidRPr="009E196F">
        <w:rPr>
          <w:rFonts w:ascii="Arial" w:hAnsi="Arial" w:cs="Arial"/>
          <w:b/>
          <w:color w:val="241F1F"/>
        </w:rPr>
        <w:t xml:space="preserve"> notificadas </w:t>
      </w:r>
      <w:r w:rsidR="009E196F">
        <w:rPr>
          <w:rFonts w:ascii="Arial" w:hAnsi="Arial" w:cs="Arial"/>
          <w:b/>
          <w:color w:val="241F1F"/>
        </w:rPr>
        <w:t xml:space="preserve">e incidencia de </w:t>
      </w:r>
      <w:r w:rsidRPr="009E196F">
        <w:rPr>
          <w:rFonts w:ascii="Arial" w:hAnsi="Arial" w:cs="Arial"/>
          <w:b/>
          <w:color w:val="241F1F"/>
        </w:rPr>
        <w:t>EDA</w:t>
      </w:r>
      <w:r w:rsidR="009E196F">
        <w:rPr>
          <w:rFonts w:ascii="Arial" w:hAnsi="Arial" w:cs="Arial"/>
          <w:b/>
          <w:color w:val="241F1F"/>
        </w:rPr>
        <w:t xml:space="preserve">, </w:t>
      </w:r>
      <w:r w:rsidR="009E196F" w:rsidRPr="009E196F">
        <w:rPr>
          <w:rFonts w:ascii="Arial" w:hAnsi="Arial" w:cs="Arial"/>
          <w:b/>
          <w:color w:val="241F1F"/>
        </w:rPr>
        <w:t>2014</w:t>
      </w:r>
      <w:r w:rsidR="009E196F">
        <w:rPr>
          <w:rFonts w:ascii="Arial" w:hAnsi="Arial" w:cs="Arial"/>
          <w:b/>
          <w:color w:val="241F1F"/>
        </w:rPr>
        <w:t>-</w:t>
      </w:r>
      <w:r w:rsidR="009E196F" w:rsidRPr="009E196F">
        <w:rPr>
          <w:rFonts w:ascii="Arial" w:hAnsi="Arial" w:cs="Arial"/>
          <w:b/>
          <w:color w:val="241F1F"/>
        </w:rPr>
        <w:t>2018</w:t>
      </w:r>
      <w:r w:rsidR="009E196F">
        <w:rPr>
          <w:rFonts w:ascii="Arial" w:hAnsi="Arial" w:cs="Arial"/>
          <w:color w:val="241F1F"/>
        </w:rPr>
        <w:t>.</w:t>
      </w:r>
    </w:p>
    <w:p w:rsidR="00475BBF" w:rsidRPr="009E196F" w:rsidRDefault="009E196F" w:rsidP="00475BBF">
      <w:pPr>
        <w:autoSpaceDE w:val="0"/>
        <w:autoSpaceDN w:val="0"/>
        <w:adjustRightInd w:val="0"/>
        <w:jc w:val="center"/>
        <w:rPr>
          <w:rFonts w:ascii="Arial" w:hAnsi="Arial" w:cs="Arial"/>
          <w:color w:val="241F1F"/>
          <w:sz w:val="20"/>
          <w:szCs w:val="20"/>
        </w:rPr>
      </w:pPr>
      <w:r w:rsidRPr="009E196F">
        <w:rPr>
          <w:rFonts w:ascii="Arial" w:hAnsi="Arial" w:cs="Arial"/>
          <w:color w:val="241F1F"/>
          <w:sz w:val="20"/>
          <w:szCs w:val="20"/>
        </w:rPr>
        <w:t xml:space="preserve">(tasa </w:t>
      </w:r>
      <w:r w:rsidR="00475BBF" w:rsidRPr="009E196F">
        <w:rPr>
          <w:rFonts w:ascii="Arial" w:hAnsi="Arial" w:cs="Arial"/>
          <w:color w:val="241F1F"/>
          <w:sz w:val="20"/>
          <w:szCs w:val="20"/>
        </w:rPr>
        <w:t xml:space="preserve">por </w:t>
      </w:r>
      <w:r w:rsidRPr="009E196F">
        <w:rPr>
          <w:rFonts w:ascii="Arial" w:hAnsi="Arial" w:cs="Arial"/>
          <w:color w:val="241F1F"/>
          <w:sz w:val="20"/>
          <w:szCs w:val="20"/>
        </w:rPr>
        <w:t>diez</w:t>
      </w:r>
      <w:r w:rsidR="00475BBF" w:rsidRPr="009E196F">
        <w:rPr>
          <w:rFonts w:ascii="Arial" w:hAnsi="Arial" w:cs="Arial"/>
          <w:color w:val="241F1F"/>
          <w:sz w:val="20"/>
          <w:szCs w:val="20"/>
        </w:rPr>
        <w:t xml:space="preserve"> mil </w:t>
      </w:r>
      <w:r w:rsidRPr="009E196F">
        <w:rPr>
          <w:rFonts w:ascii="Arial" w:hAnsi="Arial" w:cs="Arial"/>
          <w:color w:val="241F1F"/>
          <w:sz w:val="20"/>
          <w:szCs w:val="20"/>
        </w:rPr>
        <w:t>habitantes)</w:t>
      </w:r>
      <w:r w:rsidR="00475BBF" w:rsidRPr="009E196F">
        <w:rPr>
          <w:rFonts w:ascii="Arial" w:hAnsi="Arial" w:cs="Arial"/>
          <w:color w:val="241F1F"/>
          <w:sz w:val="20"/>
          <w:szCs w:val="20"/>
        </w:rPr>
        <w:t xml:space="preserve"> </w:t>
      </w:r>
    </w:p>
    <w:p w:rsidR="00475BBF" w:rsidRDefault="00475BBF" w:rsidP="00475BBF">
      <w:pPr>
        <w:autoSpaceDE w:val="0"/>
        <w:autoSpaceDN w:val="0"/>
        <w:adjustRightInd w:val="0"/>
        <w:rPr>
          <w:rFonts w:ascii="Arial" w:hAnsi="Arial" w:cs="Arial"/>
          <w:color w:val="241F1F"/>
        </w:rPr>
      </w:pPr>
    </w:p>
    <w:tbl>
      <w:tblPr>
        <w:tblStyle w:val="Tablanormal2"/>
        <w:tblW w:w="7397" w:type="dxa"/>
        <w:jc w:val="center"/>
        <w:tblLook w:val="04A0" w:firstRow="1" w:lastRow="0" w:firstColumn="1" w:lastColumn="0" w:noHBand="0" w:noVBand="1"/>
      </w:tblPr>
      <w:tblGrid>
        <w:gridCol w:w="2268"/>
        <w:gridCol w:w="2456"/>
        <w:gridCol w:w="2673"/>
      </w:tblGrid>
      <w:tr w:rsidR="00475BBF" w:rsidRPr="001106F5" w:rsidTr="009E196F">
        <w:trPr>
          <w:cnfStyle w:val="100000000000" w:firstRow="1" w:lastRow="0" w:firstColumn="0" w:lastColumn="0" w:oddVBand="0" w:evenVBand="0" w:oddHBand="0" w:evenHBand="0" w:firstRowFirstColumn="0" w:firstRowLastColumn="0" w:lastRowFirstColumn="0" w:lastRowLastColumn="0"/>
          <w:trHeight w:val="543"/>
          <w:jc w:val="center"/>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bottom w:val="single" w:sz="4" w:space="0" w:color="auto"/>
            </w:tcBorders>
            <w:shd w:val="clear" w:color="auto" w:fill="D5DCE4" w:themeFill="text2" w:themeFillTint="33"/>
            <w:hideMark/>
          </w:tcPr>
          <w:p w:rsidR="00475BBF" w:rsidRPr="001106F5" w:rsidRDefault="00475BBF" w:rsidP="009E196F">
            <w:pPr>
              <w:jc w:val="center"/>
              <w:rPr>
                <w:rFonts w:ascii="Arial" w:hAnsi="Arial" w:cs="Arial"/>
                <w:color w:val="000000"/>
                <w:sz w:val="20"/>
                <w:szCs w:val="20"/>
              </w:rPr>
            </w:pPr>
            <w:r w:rsidRPr="001106F5">
              <w:rPr>
                <w:rFonts w:ascii="Arial" w:hAnsi="Arial" w:cs="Arial"/>
                <w:color w:val="000000"/>
                <w:sz w:val="20"/>
                <w:szCs w:val="20"/>
              </w:rPr>
              <w:t xml:space="preserve">Año </w:t>
            </w:r>
          </w:p>
        </w:tc>
        <w:tc>
          <w:tcPr>
            <w:tcW w:w="2456" w:type="dxa"/>
            <w:tcBorders>
              <w:top w:val="single" w:sz="4" w:space="0" w:color="auto"/>
              <w:bottom w:val="single" w:sz="4" w:space="0" w:color="auto"/>
            </w:tcBorders>
            <w:shd w:val="clear" w:color="auto" w:fill="D5DCE4" w:themeFill="text2" w:themeFillTint="33"/>
            <w:hideMark/>
          </w:tcPr>
          <w:p w:rsidR="00475BBF" w:rsidRPr="001106F5" w:rsidRDefault="00475BBF" w:rsidP="00475BB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Consultas notificadas</w:t>
            </w:r>
          </w:p>
        </w:tc>
        <w:tc>
          <w:tcPr>
            <w:tcW w:w="2673" w:type="dxa"/>
            <w:tcBorders>
              <w:top w:val="single" w:sz="4" w:space="0" w:color="auto"/>
              <w:bottom w:val="single" w:sz="4" w:space="0" w:color="auto"/>
            </w:tcBorders>
            <w:shd w:val="clear" w:color="auto" w:fill="D5DCE4" w:themeFill="text2" w:themeFillTint="33"/>
            <w:hideMark/>
          </w:tcPr>
          <w:p w:rsidR="00475BBF" w:rsidRPr="001106F5" w:rsidRDefault="00475BBF" w:rsidP="009E196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 xml:space="preserve">Tasa </w:t>
            </w:r>
          </w:p>
        </w:tc>
      </w:tr>
      <w:tr w:rsidR="00475BBF" w:rsidRPr="001106F5" w:rsidTr="009E196F">
        <w:trPr>
          <w:cnfStyle w:val="000000100000" w:firstRow="0" w:lastRow="0" w:firstColumn="0" w:lastColumn="0" w:oddVBand="0" w:evenVBand="0" w:oddHBand="1" w:evenHBand="0" w:firstRowFirstColumn="0" w:firstRowLastColumn="0" w:lastRowFirstColumn="0" w:lastRowLastColumn="0"/>
          <w:trHeight w:val="278"/>
          <w:jc w:val="center"/>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bottom w:val="nil"/>
            </w:tcBorders>
            <w:noWrap/>
            <w:hideMark/>
          </w:tcPr>
          <w:p w:rsidR="00475BBF" w:rsidRPr="001106F5" w:rsidRDefault="00475BBF" w:rsidP="00475BBF">
            <w:pPr>
              <w:jc w:val="center"/>
              <w:rPr>
                <w:rFonts w:ascii="Arial" w:hAnsi="Arial" w:cs="Arial"/>
                <w:b w:val="0"/>
                <w:color w:val="000000"/>
                <w:sz w:val="20"/>
                <w:szCs w:val="20"/>
              </w:rPr>
            </w:pPr>
            <w:r w:rsidRPr="001106F5">
              <w:rPr>
                <w:rFonts w:ascii="Arial" w:hAnsi="Arial" w:cs="Arial"/>
                <w:b w:val="0"/>
                <w:color w:val="000000"/>
                <w:sz w:val="20"/>
                <w:szCs w:val="20"/>
              </w:rPr>
              <w:t>2014</w:t>
            </w:r>
          </w:p>
        </w:tc>
        <w:tc>
          <w:tcPr>
            <w:tcW w:w="2456" w:type="dxa"/>
            <w:tcBorders>
              <w:top w:val="single" w:sz="4" w:space="0" w:color="auto"/>
              <w:bottom w:val="nil"/>
            </w:tcBorders>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319.175</w:t>
            </w:r>
          </w:p>
        </w:tc>
        <w:tc>
          <w:tcPr>
            <w:tcW w:w="2673" w:type="dxa"/>
            <w:tcBorders>
              <w:top w:val="single" w:sz="4" w:space="0" w:color="auto"/>
              <w:bottom w:val="nil"/>
            </w:tcBorders>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6</w:t>
            </w:r>
            <w:r w:rsidR="009E196F" w:rsidRPr="001106F5">
              <w:rPr>
                <w:rFonts w:ascii="Arial" w:hAnsi="Arial" w:cs="Arial"/>
                <w:color w:val="000000"/>
                <w:sz w:val="20"/>
                <w:szCs w:val="20"/>
              </w:rPr>
              <w:t>.</w:t>
            </w:r>
            <w:r w:rsidRPr="001106F5">
              <w:rPr>
                <w:rFonts w:ascii="Arial" w:hAnsi="Arial" w:cs="Arial"/>
                <w:color w:val="000000"/>
                <w:sz w:val="20"/>
                <w:szCs w:val="20"/>
              </w:rPr>
              <w:t>687</w:t>
            </w:r>
          </w:p>
        </w:tc>
      </w:tr>
      <w:tr w:rsidR="00475BBF" w:rsidRPr="001106F5" w:rsidTr="00475BBF">
        <w:trPr>
          <w:trHeight w:val="278"/>
          <w:jc w:val="center"/>
        </w:trPr>
        <w:tc>
          <w:tcPr>
            <w:cnfStyle w:val="001000000000" w:firstRow="0" w:lastRow="0" w:firstColumn="1" w:lastColumn="0" w:oddVBand="0" w:evenVBand="0" w:oddHBand="0" w:evenHBand="0" w:firstRowFirstColumn="0" w:firstRowLastColumn="0" w:lastRowFirstColumn="0" w:lastRowLastColumn="0"/>
            <w:tcW w:w="2268" w:type="dxa"/>
            <w:tcBorders>
              <w:top w:val="nil"/>
              <w:bottom w:val="nil"/>
            </w:tcBorders>
            <w:noWrap/>
            <w:hideMark/>
          </w:tcPr>
          <w:p w:rsidR="00475BBF" w:rsidRPr="001106F5" w:rsidRDefault="00475BBF" w:rsidP="00475BBF">
            <w:pPr>
              <w:jc w:val="center"/>
              <w:rPr>
                <w:rFonts w:ascii="Arial" w:hAnsi="Arial" w:cs="Arial"/>
                <w:b w:val="0"/>
                <w:color w:val="000000"/>
                <w:sz w:val="20"/>
                <w:szCs w:val="20"/>
              </w:rPr>
            </w:pPr>
            <w:r w:rsidRPr="001106F5">
              <w:rPr>
                <w:rFonts w:ascii="Arial" w:hAnsi="Arial" w:cs="Arial"/>
                <w:b w:val="0"/>
                <w:color w:val="000000"/>
                <w:sz w:val="20"/>
                <w:szCs w:val="20"/>
              </w:rPr>
              <w:t>2015</w:t>
            </w:r>
          </w:p>
        </w:tc>
        <w:tc>
          <w:tcPr>
            <w:tcW w:w="2456" w:type="dxa"/>
            <w:tcBorders>
              <w:top w:val="nil"/>
              <w:bottom w:val="nil"/>
            </w:tcBorders>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297.782</w:t>
            </w:r>
          </w:p>
        </w:tc>
        <w:tc>
          <w:tcPr>
            <w:tcW w:w="2673" w:type="dxa"/>
            <w:tcBorders>
              <w:top w:val="nil"/>
              <w:bottom w:val="nil"/>
            </w:tcBorders>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6</w:t>
            </w:r>
            <w:r w:rsidR="009E196F" w:rsidRPr="001106F5">
              <w:rPr>
                <w:rFonts w:ascii="Arial" w:hAnsi="Arial" w:cs="Arial"/>
                <w:color w:val="000000"/>
                <w:sz w:val="20"/>
                <w:szCs w:val="20"/>
              </w:rPr>
              <w:t>.</w:t>
            </w:r>
            <w:r w:rsidRPr="001106F5">
              <w:rPr>
                <w:rFonts w:ascii="Arial" w:hAnsi="Arial" w:cs="Arial"/>
                <w:color w:val="000000"/>
                <w:sz w:val="20"/>
                <w:szCs w:val="20"/>
              </w:rPr>
              <w:t>162</w:t>
            </w:r>
          </w:p>
        </w:tc>
      </w:tr>
      <w:tr w:rsidR="00475BBF" w:rsidRPr="001106F5" w:rsidTr="00475BBF">
        <w:trPr>
          <w:cnfStyle w:val="000000100000" w:firstRow="0" w:lastRow="0" w:firstColumn="0" w:lastColumn="0" w:oddVBand="0" w:evenVBand="0" w:oddHBand="1" w:evenHBand="0" w:firstRowFirstColumn="0" w:firstRowLastColumn="0" w:lastRowFirstColumn="0" w:lastRowLastColumn="0"/>
          <w:trHeight w:val="278"/>
          <w:jc w:val="center"/>
        </w:trPr>
        <w:tc>
          <w:tcPr>
            <w:cnfStyle w:val="001000000000" w:firstRow="0" w:lastRow="0" w:firstColumn="1" w:lastColumn="0" w:oddVBand="0" w:evenVBand="0" w:oddHBand="0" w:evenHBand="0" w:firstRowFirstColumn="0" w:firstRowLastColumn="0" w:lastRowFirstColumn="0" w:lastRowLastColumn="0"/>
            <w:tcW w:w="2268" w:type="dxa"/>
            <w:tcBorders>
              <w:top w:val="nil"/>
              <w:bottom w:val="nil"/>
            </w:tcBorders>
            <w:noWrap/>
            <w:hideMark/>
          </w:tcPr>
          <w:p w:rsidR="00475BBF" w:rsidRPr="001106F5" w:rsidRDefault="00475BBF" w:rsidP="00475BBF">
            <w:pPr>
              <w:jc w:val="center"/>
              <w:rPr>
                <w:rFonts w:ascii="Arial" w:hAnsi="Arial" w:cs="Arial"/>
                <w:b w:val="0"/>
                <w:color w:val="000000"/>
                <w:sz w:val="20"/>
                <w:szCs w:val="20"/>
              </w:rPr>
            </w:pPr>
            <w:r w:rsidRPr="001106F5">
              <w:rPr>
                <w:rFonts w:ascii="Arial" w:hAnsi="Arial" w:cs="Arial"/>
                <w:b w:val="0"/>
                <w:color w:val="000000"/>
                <w:sz w:val="20"/>
                <w:szCs w:val="20"/>
              </w:rPr>
              <w:t>2016</w:t>
            </w:r>
          </w:p>
        </w:tc>
        <w:tc>
          <w:tcPr>
            <w:tcW w:w="2456" w:type="dxa"/>
            <w:tcBorders>
              <w:top w:val="nil"/>
              <w:bottom w:val="nil"/>
            </w:tcBorders>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297.782</w:t>
            </w:r>
          </w:p>
        </w:tc>
        <w:tc>
          <w:tcPr>
            <w:tcW w:w="2673" w:type="dxa"/>
            <w:tcBorders>
              <w:top w:val="nil"/>
              <w:bottom w:val="nil"/>
            </w:tcBorders>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5</w:t>
            </w:r>
            <w:r w:rsidR="009E196F" w:rsidRPr="001106F5">
              <w:rPr>
                <w:rFonts w:ascii="Arial" w:hAnsi="Arial" w:cs="Arial"/>
                <w:color w:val="000000"/>
                <w:sz w:val="20"/>
                <w:szCs w:val="20"/>
              </w:rPr>
              <w:t>.</w:t>
            </w:r>
            <w:r w:rsidRPr="001106F5">
              <w:rPr>
                <w:rFonts w:ascii="Arial" w:hAnsi="Arial" w:cs="Arial"/>
                <w:color w:val="000000"/>
                <w:sz w:val="20"/>
                <w:szCs w:val="20"/>
              </w:rPr>
              <w:t>956</w:t>
            </w:r>
          </w:p>
        </w:tc>
      </w:tr>
      <w:tr w:rsidR="00475BBF" w:rsidRPr="001106F5" w:rsidTr="00475BBF">
        <w:trPr>
          <w:trHeight w:val="278"/>
          <w:jc w:val="center"/>
        </w:trPr>
        <w:tc>
          <w:tcPr>
            <w:cnfStyle w:val="001000000000" w:firstRow="0" w:lastRow="0" w:firstColumn="1" w:lastColumn="0" w:oddVBand="0" w:evenVBand="0" w:oddHBand="0" w:evenHBand="0" w:firstRowFirstColumn="0" w:firstRowLastColumn="0" w:lastRowFirstColumn="0" w:lastRowLastColumn="0"/>
            <w:tcW w:w="2268" w:type="dxa"/>
            <w:tcBorders>
              <w:top w:val="nil"/>
              <w:bottom w:val="nil"/>
            </w:tcBorders>
            <w:noWrap/>
            <w:hideMark/>
          </w:tcPr>
          <w:p w:rsidR="00475BBF" w:rsidRPr="001106F5" w:rsidRDefault="00475BBF" w:rsidP="00475BBF">
            <w:pPr>
              <w:jc w:val="center"/>
              <w:rPr>
                <w:rFonts w:ascii="Arial" w:hAnsi="Arial" w:cs="Arial"/>
                <w:b w:val="0"/>
                <w:color w:val="000000"/>
                <w:sz w:val="20"/>
                <w:szCs w:val="20"/>
              </w:rPr>
            </w:pPr>
            <w:r w:rsidRPr="001106F5">
              <w:rPr>
                <w:rFonts w:ascii="Arial" w:hAnsi="Arial" w:cs="Arial"/>
                <w:b w:val="0"/>
                <w:color w:val="000000"/>
                <w:sz w:val="20"/>
                <w:szCs w:val="20"/>
              </w:rPr>
              <w:t>2017</w:t>
            </w:r>
          </w:p>
        </w:tc>
        <w:tc>
          <w:tcPr>
            <w:tcW w:w="2456" w:type="dxa"/>
            <w:tcBorders>
              <w:top w:val="nil"/>
              <w:bottom w:val="nil"/>
            </w:tcBorders>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264.028</w:t>
            </w:r>
          </w:p>
        </w:tc>
        <w:tc>
          <w:tcPr>
            <w:tcW w:w="2673" w:type="dxa"/>
            <w:tcBorders>
              <w:top w:val="nil"/>
              <w:bottom w:val="nil"/>
            </w:tcBorders>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5</w:t>
            </w:r>
            <w:r w:rsidR="009E196F" w:rsidRPr="001106F5">
              <w:rPr>
                <w:rFonts w:ascii="Arial" w:hAnsi="Arial" w:cs="Arial"/>
                <w:color w:val="000000"/>
                <w:sz w:val="20"/>
                <w:szCs w:val="20"/>
              </w:rPr>
              <w:t>.</w:t>
            </w:r>
            <w:r w:rsidRPr="001106F5">
              <w:rPr>
                <w:rFonts w:ascii="Arial" w:hAnsi="Arial" w:cs="Arial"/>
                <w:color w:val="000000"/>
                <w:sz w:val="20"/>
                <w:szCs w:val="20"/>
              </w:rPr>
              <w:t>337</w:t>
            </w:r>
          </w:p>
        </w:tc>
      </w:tr>
      <w:tr w:rsidR="00475BBF" w:rsidRPr="001106F5" w:rsidTr="00475BBF">
        <w:trPr>
          <w:cnfStyle w:val="000000100000" w:firstRow="0" w:lastRow="0" w:firstColumn="0" w:lastColumn="0" w:oddVBand="0" w:evenVBand="0" w:oddHBand="1" w:evenHBand="0" w:firstRowFirstColumn="0" w:firstRowLastColumn="0" w:lastRowFirstColumn="0" w:lastRowLastColumn="0"/>
          <w:trHeight w:val="278"/>
          <w:jc w:val="center"/>
        </w:trPr>
        <w:tc>
          <w:tcPr>
            <w:cnfStyle w:val="001000000000" w:firstRow="0" w:lastRow="0" w:firstColumn="1" w:lastColumn="0" w:oddVBand="0" w:evenVBand="0" w:oddHBand="0" w:evenHBand="0" w:firstRowFirstColumn="0" w:firstRowLastColumn="0" w:lastRowFirstColumn="0" w:lastRowLastColumn="0"/>
            <w:tcW w:w="2268" w:type="dxa"/>
            <w:tcBorders>
              <w:top w:val="nil"/>
              <w:bottom w:val="single" w:sz="4" w:space="0" w:color="auto"/>
            </w:tcBorders>
            <w:noWrap/>
            <w:hideMark/>
          </w:tcPr>
          <w:p w:rsidR="00475BBF" w:rsidRPr="001106F5" w:rsidRDefault="00475BBF" w:rsidP="00475BBF">
            <w:pPr>
              <w:jc w:val="center"/>
              <w:rPr>
                <w:rFonts w:ascii="Arial" w:hAnsi="Arial" w:cs="Arial"/>
                <w:b w:val="0"/>
                <w:color w:val="000000"/>
                <w:sz w:val="20"/>
                <w:szCs w:val="20"/>
              </w:rPr>
            </w:pPr>
            <w:r w:rsidRPr="001106F5">
              <w:rPr>
                <w:rFonts w:ascii="Arial" w:hAnsi="Arial" w:cs="Arial"/>
                <w:b w:val="0"/>
                <w:color w:val="000000"/>
                <w:sz w:val="20"/>
                <w:szCs w:val="20"/>
              </w:rPr>
              <w:t>2018</w:t>
            </w:r>
          </w:p>
        </w:tc>
        <w:tc>
          <w:tcPr>
            <w:tcW w:w="2456" w:type="dxa"/>
            <w:tcBorders>
              <w:top w:val="nil"/>
              <w:bottom w:val="single" w:sz="4" w:space="0" w:color="auto"/>
            </w:tcBorders>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251.595</w:t>
            </w:r>
          </w:p>
        </w:tc>
        <w:tc>
          <w:tcPr>
            <w:tcW w:w="2673" w:type="dxa"/>
            <w:tcBorders>
              <w:top w:val="nil"/>
              <w:bottom w:val="single" w:sz="4" w:space="0" w:color="auto"/>
            </w:tcBorders>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5</w:t>
            </w:r>
            <w:r w:rsidR="009E196F" w:rsidRPr="001106F5">
              <w:rPr>
                <w:rFonts w:ascii="Arial" w:hAnsi="Arial" w:cs="Arial"/>
                <w:color w:val="000000"/>
                <w:sz w:val="20"/>
                <w:szCs w:val="20"/>
              </w:rPr>
              <w:t>.</w:t>
            </w:r>
            <w:r w:rsidRPr="001106F5">
              <w:rPr>
                <w:rFonts w:ascii="Arial" w:hAnsi="Arial" w:cs="Arial"/>
                <w:color w:val="000000"/>
                <w:sz w:val="20"/>
                <w:szCs w:val="20"/>
              </w:rPr>
              <w:t>029</w:t>
            </w:r>
          </w:p>
        </w:tc>
      </w:tr>
      <w:tr w:rsidR="00475BBF" w:rsidRPr="001106F5" w:rsidTr="00475BBF">
        <w:trPr>
          <w:trHeight w:val="278"/>
          <w:jc w:val="center"/>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auto"/>
            </w:tcBorders>
            <w:noWrap/>
            <w:hideMark/>
          </w:tcPr>
          <w:p w:rsidR="00475BBF" w:rsidRPr="001106F5" w:rsidRDefault="00475BBF" w:rsidP="00475BBF">
            <w:pPr>
              <w:jc w:val="center"/>
              <w:rPr>
                <w:rFonts w:ascii="Calibri" w:hAnsi="Calibri" w:cs="Calibri"/>
                <w:color w:val="000000"/>
                <w:sz w:val="20"/>
                <w:szCs w:val="20"/>
              </w:rPr>
            </w:pPr>
            <w:r w:rsidRPr="001106F5">
              <w:rPr>
                <w:rFonts w:ascii="Arial" w:hAnsi="Arial" w:cs="Arial"/>
                <w:color w:val="000000"/>
                <w:sz w:val="20"/>
                <w:szCs w:val="20"/>
              </w:rPr>
              <w:t>Promedio</w:t>
            </w:r>
          </w:p>
        </w:tc>
        <w:tc>
          <w:tcPr>
            <w:tcW w:w="2456" w:type="dxa"/>
            <w:tcBorders>
              <w:top w:val="single" w:sz="4" w:space="0" w:color="auto"/>
            </w:tcBorders>
            <w:noWrap/>
            <w:hideMark/>
          </w:tcPr>
          <w:p w:rsidR="00475BBF" w:rsidRPr="001106F5" w:rsidRDefault="00475BBF" w:rsidP="009E196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286.0</w:t>
            </w:r>
            <w:r w:rsidR="009E196F" w:rsidRPr="001106F5">
              <w:rPr>
                <w:rFonts w:ascii="Arial" w:hAnsi="Arial" w:cs="Arial"/>
                <w:color w:val="000000"/>
                <w:sz w:val="20"/>
                <w:szCs w:val="20"/>
              </w:rPr>
              <w:t>72</w:t>
            </w:r>
          </w:p>
        </w:tc>
        <w:tc>
          <w:tcPr>
            <w:tcW w:w="2673" w:type="dxa"/>
            <w:tcBorders>
              <w:top w:val="single" w:sz="4" w:space="0" w:color="auto"/>
            </w:tcBorders>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5</w:t>
            </w:r>
            <w:r w:rsidR="009E196F" w:rsidRPr="001106F5">
              <w:rPr>
                <w:rFonts w:ascii="Arial" w:hAnsi="Arial" w:cs="Arial"/>
                <w:color w:val="000000"/>
                <w:sz w:val="20"/>
                <w:szCs w:val="20"/>
              </w:rPr>
              <w:t>.</w:t>
            </w:r>
            <w:r w:rsidRPr="001106F5">
              <w:rPr>
                <w:rFonts w:ascii="Arial" w:hAnsi="Arial" w:cs="Arial"/>
                <w:color w:val="000000"/>
                <w:sz w:val="20"/>
                <w:szCs w:val="20"/>
              </w:rPr>
              <w:t>851</w:t>
            </w:r>
          </w:p>
        </w:tc>
      </w:tr>
    </w:tbl>
    <w:p w:rsidR="00475BBF" w:rsidRPr="009E196F" w:rsidRDefault="00475BBF" w:rsidP="009E196F">
      <w:pPr>
        <w:jc w:val="center"/>
        <w:rPr>
          <w:rFonts w:ascii="Arial" w:hAnsi="Arial" w:cs="Arial"/>
          <w:color w:val="000000"/>
          <w:sz w:val="18"/>
          <w:szCs w:val="18"/>
        </w:rPr>
      </w:pPr>
      <w:r w:rsidRPr="009E196F">
        <w:rPr>
          <w:rFonts w:ascii="Arial" w:hAnsi="Arial" w:cs="Arial"/>
          <w:b/>
          <w:color w:val="000000"/>
          <w:sz w:val="18"/>
          <w:szCs w:val="18"/>
        </w:rPr>
        <w:t>Fuente:</w:t>
      </w:r>
      <w:r w:rsidRPr="009E196F">
        <w:rPr>
          <w:rFonts w:ascii="Arial" w:hAnsi="Arial" w:cs="Arial"/>
          <w:color w:val="000000"/>
          <w:sz w:val="18"/>
          <w:szCs w:val="18"/>
        </w:rPr>
        <w:t xml:space="preserve"> Dirección Vigilancia de la Salud, Ministerio de Salud</w:t>
      </w:r>
      <w:r w:rsidR="009E196F">
        <w:rPr>
          <w:rFonts w:ascii="Arial" w:hAnsi="Arial" w:cs="Arial"/>
          <w:color w:val="000000"/>
          <w:sz w:val="18"/>
          <w:szCs w:val="18"/>
        </w:rPr>
        <w:t>, 2019.</w:t>
      </w:r>
    </w:p>
    <w:p w:rsidR="00475BBF" w:rsidRDefault="00475BBF" w:rsidP="00475BBF">
      <w:pPr>
        <w:rPr>
          <w:rFonts w:ascii="Arial" w:hAnsi="Arial" w:cs="Arial"/>
        </w:rPr>
      </w:pPr>
    </w:p>
    <w:p w:rsidR="001106F5" w:rsidRPr="001106F5" w:rsidRDefault="001106F5" w:rsidP="00475BBF">
      <w:pPr>
        <w:rPr>
          <w:rFonts w:ascii="Arial" w:hAnsi="Arial" w:cs="Arial"/>
        </w:rPr>
      </w:pPr>
    </w:p>
    <w:p w:rsidR="00475BBF" w:rsidRPr="00BA371C" w:rsidRDefault="009E51D7" w:rsidP="00475BBF">
      <w:pPr>
        <w:rPr>
          <w:rFonts w:ascii="Arial" w:hAnsi="Arial" w:cs="Arial"/>
          <w:color w:val="241F1F"/>
        </w:rPr>
      </w:pPr>
      <w:r>
        <w:rPr>
          <w:rFonts w:ascii="Arial" w:hAnsi="Arial" w:cs="Arial"/>
          <w:color w:val="241F1F"/>
        </w:rPr>
        <w:t xml:space="preserve">La EDA presenta la mayor </w:t>
      </w:r>
      <w:r w:rsidR="00475BBF" w:rsidRPr="009E51D7">
        <w:rPr>
          <w:rFonts w:ascii="Arial" w:hAnsi="Arial" w:cs="Arial"/>
          <w:color w:val="241F1F"/>
        </w:rPr>
        <w:t xml:space="preserve">incidencia en los grupos de 20 a 64 años y los menores de un año (Cuadro </w:t>
      </w:r>
      <w:r w:rsidR="0085323B">
        <w:rPr>
          <w:rFonts w:ascii="Arial" w:hAnsi="Arial" w:cs="Arial"/>
          <w:color w:val="241F1F"/>
        </w:rPr>
        <w:t>38</w:t>
      </w:r>
      <w:r w:rsidR="00475BBF" w:rsidRPr="009E51D7">
        <w:rPr>
          <w:rFonts w:ascii="Arial" w:hAnsi="Arial" w:cs="Arial"/>
          <w:color w:val="241F1F"/>
        </w:rPr>
        <w:t>).</w:t>
      </w:r>
      <w:r w:rsidR="00475BBF">
        <w:rPr>
          <w:rFonts w:ascii="Arial" w:hAnsi="Arial" w:cs="Arial"/>
          <w:color w:val="241F1F"/>
        </w:rPr>
        <w:t xml:space="preserve"> </w:t>
      </w:r>
    </w:p>
    <w:p w:rsidR="00475BBF" w:rsidRDefault="00475BBF" w:rsidP="00475BBF">
      <w:pPr>
        <w:autoSpaceDE w:val="0"/>
        <w:autoSpaceDN w:val="0"/>
        <w:adjustRightInd w:val="0"/>
        <w:rPr>
          <w:rFonts w:ascii="Arial" w:hAnsi="Arial" w:cs="Arial"/>
          <w:color w:val="241F1F"/>
        </w:rPr>
      </w:pPr>
    </w:p>
    <w:p w:rsidR="001106F5" w:rsidRDefault="001106F5" w:rsidP="00475BBF">
      <w:pPr>
        <w:autoSpaceDE w:val="0"/>
        <w:autoSpaceDN w:val="0"/>
        <w:adjustRightInd w:val="0"/>
        <w:rPr>
          <w:rFonts w:ascii="Arial" w:hAnsi="Arial" w:cs="Arial"/>
          <w:color w:val="241F1F"/>
        </w:rPr>
      </w:pPr>
    </w:p>
    <w:p w:rsidR="00475BBF" w:rsidRPr="0085323B" w:rsidRDefault="009E51D7" w:rsidP="00475BBF">
      <w:pPr>
        <w:autoSpaceDE w:val="0"/>
        <w:autoSpaceDN w:val="0"/>
        <w:adjustRightInd w:val="0"/>
        <w:jc w:val="center"/>
        <w:rPr>
          <w:rFonts w:ascii="Arial" w:hAnsi="Arial" w:cs="Arial"/>
          <w:b/>
          <w:color w:val="241F1F"/>
        </w:rPr>
      </w:pPr>
      <w:r w:rsidRPr="0085323B">
        <w:rPr>
          <w:rFonts w:ascii="Arial" w:hAnsi="Arial" w:cs="Arial"/>
          <w:b/>
          <w:color w:val="241F1F"/>
        </w:rPr>
        <w:t>Cuadro 38</w:t>
      </w:r>
    </w:p>
    <w:p w:rsidR="0085323B" w:rsidRDefault="00475BBF" w:rsidP="00475BBF">
      <w:pPr>
        <w:jc w:val="center"/>
        <w:rPr>
          <w:rFonts w:ascii="Arial" w:hAnsi="Arial" w:cs="Arial"/>
          <w:b/>
          <w:color w:val="241F1F"/>
        </w:rPr>
      </w:pPr>
      <w:r w:rsidRPr="0085323B">
        <w:rPr>
          <w:rFonts w:ascii="Arial" w:hAnsi="Arial" w:cs="Arial"/>
          <w:b/>
          <w:color w:val="241F1F"/>
        </w:rPr>
        <w:t>Costa Rica</w:t>
      </w:r>
      <w:r w:rsidR="0085323B">
        <w:rPr>
          <w:rFonts w:ascii="Arial" w:hAnsi="Arial" w:cs="Arial"/>
          <w:b/>
          <w:color w:val="241F1F"/>
        </w:rPr>
        <w:t>:</w:t>
      </w:r>
      <w:r w:rsidRPr="0085323B">
        <w:rPr>
          <w:rFonts w:ascii="Arial" w:hAnsi="Arial" w:cs="Arial"/>
          <w:b/>
          <w:color w:val="241F1F"/>
        </w:rPr>
        <w:t xml:space="preserve"> </w:t>
      </w:r>
      <w:r w:rsidR="0085323B">
        <w:rPr>
          <w:rFonts w:ascii="Arial" w:hAnsi="Arial" w:cs="Arial"/>
          <w:b/>
          <w:color w:val="241F1F"/>
        </w:rPr>
        <w:t>Tasa de i</w:t>
      </w:r>
      <w:r w:rsidRPr="0085323B">
        <w:rPr>
          <w:rFonts w:ascii="Arial" w:hAnsi="Arial" w:cs="Arial"/>
          <w:b/>
          <w:color w:val="241F1F"/>
        </w:rPr>
        <w:t xml:space="preserve">ncidencia de episodios diarreicos </w:t>
      </w:r>
    </w:p>
    <w:p w:rsidR="0085323B" w:rsidRDefault="00475BBF" w:rsidP="00475BBF">
      <w:pPr>
        <w:jc w:val="center"/>
        <w:rPr>
          <w:rFonts w:ascii="Arial" w:hAnsi="Arial" w:cs="Arial"/>
          <w:b/>
          <w:color w:val="241F1F"/>
        </w:rPr>
      </w:pPr>
      <w:r w:rsidRPr="0085323B">
        <w:rPr>
          <w:rFonts w:ascii="Arial" w:hAnsi="Arial" w:cs="Arial"/>
          <w:b/>
          <w:color w:val="241F1F"/>
        </w:rPr>
        <w:t>según sexo y grupo de edad, 2014-2018.</w:t>
      </w:r>
      <w:r w:rsidR="0085323B" w:rsidRPr="0085323B">
        <w:rPr>
          <w:rFonts w:ascii="Arial" w:hAnsi="Arial" w:cs="Arial"/>
          <w:b/>
          <w:color w:val="241F1F"/>
        </w:rPr>
        <w:t xml:space="preserve"> </w:t>
      </w:r>
    </w:p>
    <w:p w:rsidR="00475BBF" w:rsidRPr="0085323B" w:rsidRDefault="0085323B" w:rsidP="00475BBF">
      <w:pPr>
        <w:jc w:val="center"/>
        <w:rPr>
          <w:rFonts w:ascii="Arial" w:hAnsi="Arial" w:cs="Arial"/>
          <w:color w:val="241F1F"/>
          <w:sz w:val="20"/>
          <w:szCs w:val="20"/>
        </w:rPr>
      </w:pPr>
      <w:r w:rsidRPr="0085323B">
        <w:rPr>
          <w:rFonts w:ascii="Arial" w:hAnsi="Arial" w:cs="Arial"/>
          <w:color w:val="241F1F"/>
          <w:sz w:val="20"/>
          <w:szCs w:val="20"/>
        </w:rPr>
        <w:t>(por cien mil habitant</w:t>
      </w:r>
      <w:r>
        <w:rPr>
          <w:rFonts w:ascii="Arial" w:hAnsi="Arial" w:cs="Arial"/>
          <w:color w:val="241F1F"/>
          <w:sz w:val="20"/>
          <w:szCs w:val="20"/>
        </w:rPr>
        <w:t>e</w:t>
      </w:r>
      <w:r w:rsidRPr="0085323B">
        <w:rPr>
          <w:rFonts w:ascii="Arial" w:hAnsi="Arial" w:cs="Arial"/>
          <w:color w:val="241F1F"/>
          <w:sz w:val="20"/>
          <w:szCs w:val="20"/>
        </w:rPr>
        <w:t>s)</w:t>
      </w:r>
    </w:p>
    <w:p w:rsidR="00475BBF" w:rsidRDefault="00475BBF" w:rsidP="00475BBF">
      <w:pPr>
        <w:spacing w:line="360" w:lineRule="auto"/>
        <w:rPr>
          <w:rFonts w:ascii="Arial" w:hAnsi="Arial" w:cs="Arial"/>
          <w:color w:val="241F1F"/>
        </w:rPr>
      </w:pPr>
    </w:p>
    <w:tbl>
      <w:tblPr>
        <w:tblStyle w:val="Tablanormal2"/>
        <w:tblW w:w="9869" w:type="dxa"/>
        <w:jc w:val="center"/>
        <w:tblLook w:val="04A0" w:firstRow="1" w:lastRow="0" w:firstColumn="1" w:lastColumn="0" w:noHBand="0" w:noVBand="1"/>
      </w:tblPr>
      <w:tblGrid>
        <w:gridCol w:w="1130"/>
        <w:gridCol w:w="917"/>
        <w:gridCol w:w="917"/>
        <w:gridCol w:w="917"/>
        <w:gridCol w:w="917"/>
        <w:gridCol w:w="917"/>
        <w:gridCol w:w="917"/>
        <w:gridCol w:w="917"/>
        <w:gridCol w:w="917"/>
        <w:gridCol w:w="917"/>
        <w:gridCol w:w="917"/>
      </w:tblGrid>
      <w:tr w:rsidR="00475BBF" w:rsidRPr="00B839D1" w:rsidTr="009E51D7">
        <w:trPr>
          <w:cnfStyle w:val="100000000000" w:firstRow="1" w:lastRow="0" w:firstColumn="0" w:lastColumn="0" w:oddVBand="0" w:evenVBand="0" w:oddHBand="0"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130" w:type="dxa"/>
            <w:vMerge w:val="restart"/>
            <w:shd w:val="clear" w:color="auto" w:fill="D5DCE4" w:themeFill="text2" w:themeFillTint="33"/>
            <w:hideMark/>
          </w:tcPr>
          <w:p w:rsidR="00475BBF" w:rsidRPr="00B839D1" w:rsidRDefault="00475BBF" w:rsidP="00475BBF">
            <w:pPr>
              <w:jc w:val="center"/>
              <w:rPr>
                <w:rFonts w:ascii="Arial" w:hAnsi="Arial" w:cs="Arial"/>
                <w:color w:val="000000"/>
                <w:sz w:val="18"/>
                <w:szCs w:val="20"/>
              </w:rPr>
            </w:pPr>
            <w:r w:rsidRPr="00B839D1">
              <w:rPr>
                <w:rFonts w:ascii="Arial" w:hAnsi="Arial" w:cs="Arial"/>
                <w:color w:val="000000"/>
                <w:sz w:val="18"/>
                <w:szCs w:val="20"/>
              </w:rPr>
              <w:t>Grupos de edad (Años)</w:t>
            </w:r>
          </w:p>
        </w:tc>
        <w:tc>
          <w:tcPr>
            <w:tcW w:w="8739" w:type="dxa"/>
            <w:gridSpan w:val="10"/>
            <w:shd w:val="clear" w:color="auto" w:fill="D5DCE4" w:themeFill="text2" w:themeFillTint="33"/>
            <w:noWrap/>
            <w:hideMark/>
          </w:tcPr>
          <w:p w:rsidR="00475BBF" w:rsidRPr="00B839D1" w:rsidRDefault="00475BBF" w:rsidP="00475BB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18"/>
                <w:szCs w:val="20"/>
              </w:rPr>
            </w:pPr>
            <w:r w:rsidRPr="00B839D1">
              <w:rPr>
                <w:rFonts w:ascii="Arial" w:hAnsi="Arial" w:cs="Arial"/>
                <w:color w:val="000000"/>
                <w:sz w:val="18"/>
                <w:szCs w:val="20"/>
              </w:rPr>
              <w:t xml:space="preserve">Años de notificación </w:t>
            </w:r>
          </w:p>
        </w:tc>
      </w:tr>
      <w:tr w:rsidR="00475BBF" w:rsidRPr="00B839D1" w:rsidTr="009E51D7">
        <w:trPr>
          <w:cnfStyle w:val="000000100000" w:firstRow="0" w:lastRow="0" w:firstColumn="0" w:lastColumn="0" w:oddVBand="0" w:evenVBand="0" w:oddHBand="1"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130" w:type="dxa"/>
            <w:vMerge/>
            <w:shd w:val="clear" w:color="auto" w:fill="D5DCE4" w:themeFill="text2" w:themeFillTint="33"/>
            <w:hideMark/>
          </w:tcPr>
          <w:p w:rsidR="00475BBF" w:rsidRPr="00B839D1" w:rsidRDefault="00475BBF" w:rsidP="00475BBF">
            <w:pPr>
              <w:rPr>
                <w:rFonts w:ascii="Arial" w:hAnsi="Arial" w:cs="Arial"/>
                <w:color w:val="000000"/>
                <w:sz w:val="18"/>
                <w:szCs w:val="20"/>
              </w:rPr>
            </w:pPr>
          </w:p>
        </w:tc>
        <w:tc>
          <w:tcPr>
            <w:tcW w:w="1747" w:type="dxa"/>
            <w:gridSpan w:val="2"/>
            <w:shd w:val="clear" w:color="auto" w:fill="D5DCE4" w:themeFill="text2" w:themeFillTint="33"/>
            <w:noWrap/>
            <w:hideMark/>
          </w:tcPr>
          <w:p w:rsidR="00475BBF" w:rsidRPr="00B839D1"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2014</w:t>
            </w:r>
          </w:p>
        </w:tc>
        <w:tc>
          <w:tcPr>
            <w:tcW w:w="1747" w:type="dxa"/>
            <w:gridSpan w:val="2"/>
            <w:shd w:val="clear" w:color="auto" w:fill="D5DCE4" w:themeFill="text2" w:themeFillTint="33"/>
            <w:noWrap/>
            <w:hideMark/>
          </w:tcPr>
          <w:p w:rsidR="00475BBF" w:rsidRPr="00B839D1"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2015</w:t>
            </w:r>
          </w:p>
        </w:tc>
        <w:tc>
          <w:tcPr>
            <w:tcW w:w="1747" w:type="dxa"/>
            <w:gridSpan w:val="2"/>
            <w:shd w:val="clear" w:color="auto" w:fill="D5DCE4" w:themeFill="text2" w:themeFillTint="33"/>
            <w:noWrap/>
            <w:hideMark/>
          </w:tcPr>
          <w:p w:rsidR="00475BBF" w:rsidRPr="00B839D1"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2016</w:t>
            </w:r>
          </w:p>
        </w:tc>
        <w:tc>
          <w:tcPr>
            <w:tcW w:w="1747" w:type="dxa"/>
            <w:gridSpan w:val="2"/>
            <w:shd w:val="clear" w:color="auto" w:fill="D5DCE4" w:themeFill="text2" w:themeFillTint="33"/>
            <w:noWrap/>
            <w:hideMark/>
          </w:tcPr>
          <w:p w:rsidR="00475BBF" w:rsidRPr="00B839D1"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2017</w:t>
            </w:r>
          </w:p>
        </w:tc>
        <w:tc>
          <w:tcPr>
            <w:tcW w:w="1747" w:type="dxa"/>
            <w:gridSpan w:val="2"/>
            <w:shd w:val="clear" w:color="auto" w:fill="D5DCE4" w:themeFill="text2" w:themeFillTint="33"/>
            <w:noWrap/>
            <w:hideMark/>
          </w:tcPr>
          <w:p w:rsidR="00475BBF" w:rsidRPr="00B839D1"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2018</w:t>
            </w:r>
          </w:p>
        </w:tc>
      </w:tr>
      <w:tr w:rsidR="00475BBF" w:rsidRPr="00B839D1" w:rsidTr="009E51D7">
        <w:trPr>
          <w:trHeight w:val="260"/>
          <w:jc w:val="center"/>
        </w:trPr>
        <w:tc>
          <w:tcPr>
            <w:cnfStyle w:val="001000000000" w:firstRow="0" w:lastRow="0" w:firstColumn="1" w:lastColumn="0" w:oddVBand="0" w:evenVBand="0" w:oddHBand="0" w:evenHBand="0" w:firstRowFirstColumn="0" w:firstRowLastColumn="0" w:lastRowFirstColumn="0" w:lastRowLastColumn="0"/>
            <w:tcW w:w="1130" w:type="dxa"/>
            <w:vMerge/>
            <w:shd w:val="clear" w:color="auto" w:fill="D5DCE4" w:themeFill="text2" w:themeFillTint="33"/>
            <w:hideMark/>
          </w:tcPr>
          <w:p w:rsidR="00475BBF" w:rsidRPr="00B839D1" w:rsidRDefault="00475BBF" w:rsidP="00475BBF">
            <w:pPr>
              <w:rPr>
                <w:rFonts w:ascii="Arial" w:hAnsi="Arial" w:cs="Arial"/>
                <w:color w:val="000000"/>
                <w:sz w:val="18"/>
                <w:szCs w:val="20"/>
              </w:rPr>
            </w:pP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F</w:t>
            </w: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M</w:t>
            </w: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F</w:t>
            </w: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M</w:t>
            </w: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F</w:t>
            </w: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M</w:t>
            </w: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F</w:t>
            </w: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M</w:t>
            </w: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F</w:t>
            </w:r>
          </w:p>
        </w:tc>
        <w:tc>
          <w:tcPr>
            <w:tcW w:w="873" w:type="dxa"/>
            <w:shd w:val="clear" w:color="auto" w:fill="D5DCE4" w:themeFill="text2" w:themeFillTint="33"/>
            <w:noWrap/>
            <w:hideMark/>
          </w:tcPr>
          <w:p w:rsidR="00475BBF" w:rsidRPr="00B839D1"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sz w:val="18"/>
                <w:szCs w:val="20"/>
              </w:rPr>
            </w:pPr>
            <w:r w:rsidRPr="00B839D1">
              <w:rPr>
                <w:rFonts w:ascii="Arial" w:hAnsi="Arial" w:cs="Arial"/>
                <w:b/>
                <w:color w:val="000000"/>
                <w:sz w:val="18"/>
                <w:szCs w:val="20"/>
              </w:rPr>
              <w:t>M</w:t>
            </w:r>
          </w:p>
        </w:tc>
      </w:tr>
      <w:tr w:rsidR="00475BBF" w:rsidRPr="00B839D1" w:rsidTr="0085323B">
        <w:trPr>
          <w:cnfStyle w:val="000000100000" w:firstRow="0" w:lastRow="0" w:firstColumn="0" w:lastColumn="0" w:oddVBand="0" w:evenVBand="0" w:oddHBand="1" w:evenHBand="0" w:firstRowFirstColumn="0" w:firstRowLastColumn="0" w:lastRowFirstColumn="0" w:lastRowLastColumn="0"/>
          <w:trHeight w:val="404"/>
          <w:jc w:val="center"/>
        </w:trPr>
        <w:tc>
          <w:tcPr>
            <w:cnfStyle w:val="001000000000" w:firstRow="0" w:lastRow="0" w:firstColumn="1" w:lastColumn="0" w:oddVBand="0" w:evenVBand="0" w:oddHBand="0" w:evenHBand="0" w:firstRowFirstColumn="0" w:firstRowLastColumn="0" w:lastRowFirstColumn="0" w:lastRowLastColumn="0"/>
            <w:tcW w:w="1130" w:type="dxa"/>
            <w:noWrap/>
            <w:hideMark/>
          </w:tcPr>
          <w:p w:rsidR="00475BBF" w:rsidRPr="001106F5" w:rsidRDefault="00475BBF" w:rsidP="00475BBF">
            <w:pPr>
              <w:rPr>
                <w:rFonts w:ascii="Arial" w:hAnsi="Arial" w:cs="Arial"/>
                <w:color w:val="000000"/>
                <w:sz w:val="18"/>
                <w:szCs w:val="20"/>
              </w:rPr>
            </w:pPr>
            <w:r w:rsidRPr="001106F5">
              <w:rPr>
                <w:rFonts w:ascii="Arial" w:hAnsi="Arial" w:cs="Arial"/>
                <w:color w:val="000000"/>
                <w:sz w:val="18"/>
                <w:szCs w:val="20"/>
              </w:rPr>
              <w:t xml:space="preserve">menos 1 </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14</w:t>
            </w:r>
            <w:r w:rsidR="0085323B">
              <w:rPr>
                <w:rFonts w:ascii="Arial" w:hAnsi="Arial" w:cs="Arial"/>
                <w:color w:val="000000"/>
                <w:sz w:val="18"/>
                <w:szCs w:val="20"/>
              </w:rPr>
              <w:t>.</w:t>
            </w:r>
            <w:r w:rsidRPr="0085323B">
              <w:rPr>
                <w:rFonts w:ascii="Arial" w:hAnsi="Arial" w:cs="Arial"/>
                <w:color w:val="000000"/>
                <w:sz w:val="18"/>
                <w:szCs w:val="20"/>
              </w:rPr>
              <w:t>663,3</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17</w:t>
            </w:r>
            <w:r w:rsidR="0085323B">
              <w:rPr>
                <w:rFonts w:ascii="Arial" w:hAnsi="Arial" w:cs="Arial"/>
                <w:color w:val="000000"/>
                <w:sz w:val="18"/>
                <w:szCs w:val="20"/>
              </w:rPr>
              <w:t>.</w:t>
            </w:r>
            <w:r w:rsidRPr="0085323B">
              <w:rPr>
                <w:rFonts w:ascii="Arial" w:hAnsi="Arial" w:cs="Arial"/>
                <w:color w:val="000000"/>
                <w:sz w:val="18"/>
                <w:szCs w:val="20"/>
              </w:rPr>
              <w:t>230,9</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15</w:t>
            </w:r>
            <w:r w:rsidR="0085323B">
              <w:rPr>
                <w:rFonts w:ascii="Arial" w:hAnsi="Arial" w:cs="Arial"/>
                <w:color w:val="000000"/>
                <w:sz w:val="18"/>
                <w:szCs w:val="20"/>
              </w:rPr>
              <w:t>.</w:t>
            </w:r>
            <w:r w:rsidRPr="0085323B">
              <w:rPr>
                <w:rFonts w:ascii="Arial" w:hAnsi="Arial" w:cs="Arial"/>
                <w:color w:val="000000"/>
                <w:sz w:val="18"/>
                <w:szCs w:val="20"/>
              </w:rPr>
              <w:t>112,1</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17</w:t>
            </w:r>
            <w:r w:rsidR="0085323B">
              <w:rPr>
                <w:rFonts w:ascii="Arial" w:hAnsi="Arial" w:cs="Arial"/>
                <w:color w:val="000000"/>
                <w:sz w:val="18"/>
                <w:szCs w:val="20"/>
              </w:rPr>
              <w:t>.</w:t>
            </w:r>
            <w:r w:rsidRPr="0085323B">
              <w:rPr>
                <w:rFonts w:ascii="Arial" w:hAnsi="Arial" w:cs="Arial"/>
                <w:color w:val="000000"/>
                <w:sz w:val="18"/>
                <w:szCs w:val="20"/>
              </w:rPr>
              <w:t>603,0</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13</w:t>
            </w:r>
            <w:r w:rsidR="0085323B">
              <w:rPr>
                <w:rFonts w:ascii="Arial" w:hAnsi="Arial" w:cs="Arial"/>
                <w:color w:val="000000"/>
                <w:sz w:val="18"/>
                <w:szCs w:val="20"/>
              </w:rPr>
              <w:t>.</w:t>
            </w:r>
            <w:r w:rsidRPr="0085323B">
              <w:rPr>
                <w:rFonts w:ascii="Arial" w:hAnsi="Arial" w:cs="Arial"/>
                <w:color w:val="000000"/>
                <w:sz w:val="18"/>
                <w:szCs w:val="20"/>
              </w:rPr>
              <w:t>653,7</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16</w:t>
            </w:r>
            <w:r w:rsidR="0085323B">
              <w:rPr>
                <w:rFonts w:ascii="Arial" w:hAnsi="Arial" w:cs="Arial"/>
                <w:color w:val="000000"/>
                <w:sz w:val="18"/>
                <w:szCs w:val="20"/>
              </w:rPr>
              <w:t>.</w:t>
            </w:r>
            <w:r w:rsidRPr="0085323B">
              <w:rPr>
                <w:rFonts w:ascii="Arial" w:hAnsi="Arial" w:cs="Arial"/>
                <w:color w:val="000000"/>
                <w:sz w:val="18"/>
                <w:szCs w:val="20"/>
              </w:rPr>
              <w:t>926,4</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12</w:t>
            </w:r>
            <w:r w:rsidR="0085323B">
              <w:rPr>
                <w:rFonts w:ascii="Arial" w:hAnsi="Arial" w:cs="Arial"/>
                <w:color w:val="000000"/>
                <w:sz w:val="18"/>
                <w:szCs w:val="20"/>
              </w:rPr>
              <w:t>.</w:t>
            </w:r>
            <w:r w:rsidRPr="0085323B">
              <w:rPr>
                <w:rFonts w:ascii="Arial" w:hAnsi="Arial" w:cs="Arial"/>
                <w:color w:val="000000"/>
                <w:sz w:val="18"/>
                <w:szCs w:val="20"/>
              </w:rPr>
              <w:t>567,2</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14</w:t>
            </w:r>
            <w:r w:rsidR="0085323B">
              <w:rPr>
                <w:rFonts w:ascii="Arial" w:hAnsi="Arial" w:cs="Arial"/>
                <w:color w:val="000000"/>
                <w:sz w:val="18"/>
                <w:szCs w:val="20"/>
              </w:rPr>
              <w:t>.</w:t>
            </w:r>
            <w:r w:rsidRPr="0085323B">
              <w:rPr>
                <w:rFonts w:ascii="Arial" w:hAnsi="Arial" w:cs="Arial"/>
                <w:color w:val="000000"/>
                <w:sz w:val="18"/>
                <w:szCs w:val="20"/>
              </w:rPr>
              <w:t>572,1</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12</w:t>
            </w:r>
            <w:r w:rsidR="0085323B">
              <w:rPr>
                <w:rFonts w:ascii="Arial" w:hAnsi="Arial" w:cs="Arial"/>
                <w:color w:val="000000"/>
                <w:sz w:val="18"/>
                <w:szCs w:val="20"/>
              </w:rPr>
              <w:t>.</w:t>
            </w:r>
            <w:r w:rsidRPr="0085323B">
              <w:rPr>
                <w:rFonts w:ascii="Arial" w:hAnsi="Arial" w:cs="Arial"/>
                <w:color w:val="000000"/>
                <w:sz w:val="18"/>
                <w:szCs w:val="20"/>
              </w:rPr>
              <w:t>567,2</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14</w:t>
            </w:r>
            <w:r w:rsidR="0085323B">
              <w:rPr>
                <w:rFonts w:ascii="Arial" w:hAnsi="Arial" w:cs="Arial"/>
                <w:color w:val="000000"/>
                <w:sz w:val="18"/>
                <w:szCs w:val="20"/>
              </w:rPr>
              <w:t>.</w:t>
            </w:r>
            <w:r w:rsidRPr="0085323B">
              <w:rPr>
                <w:rFonts w:ascii="Arial" w:hAnsi="Arial" w:cs="Arial"/>
                <w:color w:val="000000"/>
                <w:sz w:val="18"/>
                <w:szCs w:val="20"/>
              </w:rPr>
              <w:t>572,1</w:t>
            </w:r>
          </w:p>
        </w:tc>
      </w:tr>
      <w:tr w:rsidR="00475BBF" w:rsidRPr="00B839D1" w:rsidTr="0085323B">
        <w:trPr>
          <w:trHeight w:val="410"/>
          <w:jc w:val="center"/>
        </w:trPr>
        <w:tc>
          <w:tcPr>
            <w:cnfStyle w:val="001000000000" w:firstRow="0" w:lastRow="0" w:firstColumn="1" w:lastColumn="0" w:oddVBand="0" w:evenVBand="0" w:oddHBand="0" w:evenHBand="0" w:firstRowFirstColumn="0" w:firstRowLastColumn="0" w:lastRowFirstColumn="0" w:lastRowLastColumn="0"/>
            <w:tcW w:w="1130" w:type="dxa"/>
            <w:noWrap/>
            <w:hideMark/>
          </w:tcPr>
          <w:p w:rsidR="00475BBF" w:rsidRPr="001106F5" w:rsidRDefault="00475BBF" w:rsidP="00475BBF">
            <w:pPr>
              <w:rPr>
                <w:rFonts w:ascii="Arial" w:hAnsi="Arial" w:cs="Arial"/>
                <w:color w:val="000000"/>
                <w:sz w:val="18"/>
                <w:szCs w:val="20"/>
              </w:rPr>
            </w:pPr>
            <w:r w:rsidRPr="001106F5">
              <w:rPr>
                <w:rFonts w:ascii="Arial" w:hAnsi="Arial" w:cs="Arial"/>
                <w:color w:val="000000"/>
                <w:sz w:val="18"/>
                <w:szCs w:val="20"/>
              </w:rPr>
              <w:t xml:space="preserve">1 a 9 </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10</w:t>
            </w:r>
            <w:r w:rsidR="0085323B">
              <w:rPr>
                <w:rFonts w:ascii="Arial" w:hAnsi="Arial" w:cs="Arial"/>
                <w:color w:val="000000"/>
                <w:sz w:val="18"/>
                <w:szCs w:val="20"/>
              </w:rPr>
              <w:t>.</w:t>
            </w:r>
            <w:r w:rsidRPr="0085323B">
              <w:rPr>
                <w:rFonts w:ascii="Arial" w:hAnsi="Arial" w:cs="Arial"/>
                <w:color w:val="000000"/>
                <w:sz w:val="18"/>
                <w:szCs w:val="20"/>
              </w:rPr>
              <w:t>314,7</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11</w:t>
            </w:r>
            <w:r w:rsidR="0085323B">
              <w:rPr>
                <w:rFonts w:ascii="Arial" w:hAnsi="Arial" w:cs="Arial"/>
                <w:color w:val="000000"/>
                <w:sz w:val="18"/>
                <w:szCs w:val="20"/>
              </w:rPr>
              <w:t>.</w:t>
            </w:r>
            <w:r w:rsidRPr="0085323B">
              <w:rPr>
                <w:rFonts w:ascii="Arial" w:hAnsi="Arial" w:cs="Arial"/>
                <w:color w:val="000000"/>
                <w:sz w:val="18"/>
                <w:szCs w:val="20"/>
              </w:rPr>
              <w:t>148,8</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10</w:t>
            </w:r>
            <w:r w:rsidR="0085323B">
              <w:rPr>
                <w:rFonts w:ascii="Arial" w:hAnsi="Arial" w:cs="Arial"/>
                <w:color w:val="000000"/>
                <w:sz w:val="18"/>
                <w:szCs w:val="20"/>
              </w:rPr>
              <w:t>.</w:t>
            </w:r>
            <w:r w:rsidRPr="0085323B">
              <w:rPr>
                <w:rFonts w:ascii="Arial" w:hAnsi="Arial" w:cs="Arial"/>
                <w:color w:val="000000"/>
                <w:sz w:val="18"/>
                <w:szCs w:val="20"/>
              </w:rPr>
              <w:t>517,1</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11</w:t>
            </w:r>
            <w:r w:rsidR="0085323B">
              <w:rPr>
                <w:rFonts w:ascii="Arial" w:hAnsi="Arial" w:cs="Arial"/>
                <w:color w:val="000000"/>
                <w:sz w:val="18"/>
                <w:szCs w:val="20"/>
              </w:rPr>
              <w:t>.</w:t>
            </w:r>
            <w:r w:rsidRPr="0085323B">
              <w:rPr>
                <w:rFonts w:ascii="Arial" w:hAnsi="Arial" w:cs="Arial"/>
                <w:color w:val="000000"/>
                <w:sz w:val="18"/>
                <w:szCs w:val="20"/>
              </w:rPr>
              <w:t>344,8</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8</w:t>
            </w:r>
            <w:r w:rsidR="0085323B">
              <w:rPr>
                <w:rFonts w:ascii="Arial" w:hAnsi="Arial" w:cs="Arial"/>
                <w:color w:val="000000"/>
                <w:sz w:val="18"/>
                <w:szCs w:val="20"/>
              </w:rPr>
              <w:t>.</w:t>
            </w:r>
            <w:r w:rsidRPr="0085323B">
              <w:rPr>
                <w:rFonts w:ascii="Arial" w:hAnsi="Arial" w:cs="Arial"/>
                <w:color w:val="000000"/>
                <w:sz w:val="18"/>
                <w:szCs w:val="20"/>
              </w:rPr>
              <w:t>989,2</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10</w:t>
            </w:r>
            <w:r w:rsidR="0085323B">
              <w:rPr>
                <w:rFonts w:ascii="Arial" w:hAnsi="Arial" w:cs="Arial"/>
                <w:color w:val="000000"/>
                <w:sz w:val="18"/>
                <w:szCs w:val="20"/>
              </w:rPr>
              <w:t>.</w:t>
            </w:r>
            <w:r w:rsidRPr="0085323B">
              <w:rPr>
                <w:rFonts w:ascii="Arial" w:hAnsi="Arial" w:cs="Arial"/>
                <w:color w:val="000000"/>
                <w:sz w:val="18"/>
                <w:szCs w:val="20"/>
              </w:rPr>
              <w:t>709,2</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8</w:t>
            </w:r>
            <w:r w:rsidR="0085323B">
              <w:rPr>
                <w:rFonts w:ascii="Arial" w:hAnsi="Arial" w:cs="Arial"/>
                <w:color w:val="000000"/>
                <w:sz w:val="18"/>
                <w:szCs w:val="20"/>
              </w:rPr>
              <w:t>.</w:t>
            </w:r>
            <w:r w:rsidRPr="0085323B">
              <w:rPr>
                <w:rFonts w:ascii="Arial" w:hAnsi="Arial" w:cs="Arial"/>
                <w:color w:val="000000"/>
                <w:sz w:val="18"/>
                <w:szCs w:val="20"/>
              </w:rPr>
              <w:t>541,9</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9</w:t>
            </w:r>
            <w:r w:rsidR="0085323B">
              <w:rPr>
                <w:rFonts w:ascii="Arial" w:hAnsi="Arial" w:cs="Arial"/>
                <w:color w:val="000000"/>
                <w:sz w:val="18"/>
                <w:szCs w:val="20"/>
              </w:rPr>
              <w:t>.</w:t>
            </w:r>
            <w:r w:rsidRPr="0085323B">
              <w:rPr>
                <w:rFonts w:ascii="Arial" w:hAnsi="Arial" w:cs="Arial"/>
                <w:color w:val="000000"/>
                <w:sz w:val="18"/>
                <w:szCs w:val="20"/>
              </w:rPr>
              <w:t>074,0</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8</w:t>
            </w:r>
            <w:r w:rsidR="0085323B">
              <w:rPr>
                <w:rFonts w:ascii="Arial" w:hAnsi="Arial" w:cs="Arial"/>
                <w:color w:val="000000"/>
                <w:sz w:val="18"/>
                <w:szCs w:val="20"/>
              </w:rPr>
              <w:t>.</w:t>
            </w:r>
            <w:r w:rsidRPr="0085323B">
              <w:rPr>
                <w:rFonts w:ascii="Arial" w:hAnsi="Arial" w:cs="Arial"/>
                <w:color w:val="000000"/>
                <w:sz w:val="18"/>
                <w:szCs w:val="20"/>
              </w:rPr>
              <w:t>541,9</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9</w:t>
            </w:r>
            <w:r w:rsidR="0085323B">
              <w:rPr>
                <w:rFonts w:ascii="Arial" w:hAnsi="Arial" w:cs="Arial"/>
                <w:color w:val="000000"/>
                <w:sz w:val="18"/>
                <w:szCs w:val="20"/>
              </w:rPr>
              <w:t>.</w:t>
            </w:r>
            <w:r w:rsidRPr="0085323B">
              <w:rPr>
                <w:rFonts w:ascii="Arial" w:hAnsi="Arial" w:cs="Arial"/>
                <w:color w:val="000000"/>
                <w:sz w:val="18"/>
                <w:szCs w:val="20"/>
              </w:rPr>
              <w:t>074,0</w:t>
            </w:r>
          </w:p>
        </w:tc>
      </w:tr>
      <w:tr w:rsidR="00475BBF" w:rsidRPr="00B839D1" w:rsidTr="0085323B">
        <w:trPr>
          <w:cnfStyle w:val="000000100000" w:firstRow="0" w:lastRow="0" w:firstColumn="0" w:lastColumn="0" w:oddVBand="0" w:evenVBand="0" w:oddHBand="1" w:evenHBand="0" w:firstRowFirstColumn="0" w:firstRowLastColumn="0" w:lastRowFirstColumn="0" w:lastRowLastColumn="0"/>
          <w:trHeight w:val="430"/>
          <w:jc w:val="center"/>
        </w:trPr>
        <w:tc>
          <w:tcPr>
            <w:cnfStyle w:val="001000000000" w:firstRow="0" w:lastRow="0" w:firstColumn="1" w:lastColumn="0" w:oddVBand="0" w:evenVBand="0" w:oddHBand="0" w:evenHBand="0" w:firstRowFirstColumn="0" w:firstRowLastColumn="0" w:lastRowFirstColumn="0" w:lastRowLastColumn="0"/>
            <w:tcW w:w="1130" w:type="dxa"/>
            <w:noWrap/>
            <w:hideMark/>
          </w:tcPr>
          <w:p w:rsidR="00475BBF" w:rsidRPr="001106F5" w:rsidRDefault="00475BBF" w:rsidP="00475BBF">
            <w:pPr>
              <w:rPr>
                <w:rFonts w:ascii="Arial" w:hAnsi="Arial" w:cs="Arial"/>
                <w:color w:val="000000"/>
                <w:sz w:val="18"/>
                <w:szCs w:val="20"/>
              </w:rPr>
            </w:pPr>
            <w:r w:rsidRPr="001106F5">
              <w:rPr>
                <w:rFonts w:ascii="Arial" w:hAnsi="Arial" w:cs="Arial"/>
                <w:color w:val="000000"/>
                <w:sz w:val="18"/>
                <w:szCs w:val="20"/>
              </w:rPr>
              <w:t>10 a 19</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w:t>
            </w:r>
            <w:r w:rsidR="0085323B">
              <w:rPr>
                <w:rFonts w:ascii="Arial" w:hAnsi="Arial" w:cs="Arial"/>
                <w:color w:val="000000"/>
                <w:sz w:val="18"/>
                <w:szCs w:val="20"/>
              </w:rPr>
              <w:t>.</w:t>
            </w:r>
            <w:r w:rsidRPr="0085323B">
              <w:rPr>
                <w:rFonts w:ascii="Arial" w:hAnsi="Arial" w:cs="Arial"/>
                <w:color w:val="000000"/>
                <w:sz w:val="18"/>
                <w:szCs w:val="20"/>
              </w:rPr>
              <w:t>066,1</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w:t>
            </w:r>
            <w:r w:rsidR="0085323B">
              <w:rPr>
                <w:rFonts w:ascii="Arial" w:hAnsi="Arial" w:cs="Arial"/>
                <w:color w:val="000000"/>
                <w:sz w:val="18"/>
                <w:szCs w:val="20"/>
              </w:rPr>
              <w:t>.</w:t>
            </w:r>
            <w:r w:rsidRPr="0085323B">
              <w:rPr>
                <w:rFonts w:ascii="Arial" w:hAnsi="Arial" w:cs="Arial"/>
                <w:color w:val="000000"/>
                <w:sz w:val="18"/>
                <w:szCs w:val="20"/>
              </w:rPr>
              <w:t>339,3</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w:t>
            </w:r>
            <w:r w:rsidR="0085323B">
              <w:rPr>
                <w:rFonts w:ascii="Arial" w:hAnsi="Arial" w:cs="Arial"/>
                <w:color w:val="000000"/>
                <w:sz w:val="18"/>
                <w:szCs w:val="20"/>
              </w:rPr>
              <w:t>.</w:t>
            </w:r>
            <w:r w:rsidRPr="0085323B">
              <w:rPr>
                <w:rFonts w:ascii="Arial" w:hAnsi="Arial" w:cs="Arial"/>
                <w:color w:val="000000"/>
                <w:sz w:val="18"/>
                <w:szCs w:val="20"/>
              </w:rPr>
              <w:t>531,7</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3</w:t>
            </w:r>
            <w:r w:rsidR="0085323B">
              <w:rPr>
                <w:rFonts w:ascii="Arial" w:hAnsi="Arial" w:cs="Arial"/>
                <w:color w:val="000000"/>
                <w:sz w:val="18"/>
                <w:szCs w:val="20"/>
              </w:rPr>
              <w:t>.</w:t>
            </w:r>
            <w:r w:rsidRPr="0085323B">
              <w:rPr>
                <w:rFonts w:ascii="Arial" w:hAnsi="Arial" w:cs="Arial"/>
                <w:color w:val="000000"/>
                <w:sz w:val="18"/>
                <w:szCs w:val="20"/>
              </w:rPr>
              <w:t>907,8</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w:t>
            </w:r>
            <w:r w:rsidR="0085323B">
              <w:rPr>
                <w:rFonts w:ascii="Arial" w:hAnsi="Arial" w:cs="Arial"/>
                <w:color w:val="000000"/>
                <w:sz w:val="18"/>
                <w:szCs w:val="20"/>
              </w:rPr>
              <w:t>.</w:t>
            </w:r>
            <w:r w:rsidRPr="0085323B">
              <w:rPr>
                <w:rFonts w:ascii="Arial" w:hAnsi="Arial" w:cs="Arial"/>
                <w:color w:val="000000"/>
                <w:sz w:val="18"/>
                <w:szCs w:val="20"/>
              </w:rPr>
              <w:t>232,1</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3</w:t>
            </w:r>
            <w:r w:rsidR="0085323B">
              <w:rPr>
                <w:rFonts w:ascii="Arial" w:hAnsi="Arial" w:cs="Arial"/>
                <w:color w:val="000000"/>
                <w:sz w:val="18"/>
                <w:szCs w:val="20"/>
              </w:rPr>
              <w:t>.</w:t>
            </w:r>
            <w:r w:rsidRPr="0085323B">
              <w:rPr>
                <w:rFonts w:ascii="Arial" w:hAnsi="Arial" w:cs="Arial"/>
                <w:color w:val="000000"/>
                <w:sz w:val="18"/>
                <w:szCs w:val="20"/>
              </w:rPr>
              <w:t>950,9</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3</w:t>
            </w:r>
            <w:r w:rsidR="0085323B">
              <w:rPr>
                <w:rFonts w:ascii="Arial" w:hAnsi="Arial" w:cs="Arial"/>
                <w:color w:val="000000"/>
                <w:sz w:val="18"/>
                <w:szCs w:val="20"/>
              </w:rPr>
              <w:t>.</w:t>
            </w:r>
            <w:r w:rsidRPr="0085323B">
              <w:rPr>
                <w:rFonts w:ascii="Arial" w:hAnsi="Arial" w:cs="Arial"/>
                <w:color w:val="000000"/>
                <w:sz w:val="18"/>
                <w:szCs w:val="20"/>
              </w:rPr>
              <w:t>686,8</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3</w:t>
            </w:r>
            <w:r w:rsidR="0085323B">
              <w:rPr>
                <w:rFonts w:ascii="Arial" w:hAnsi="Arial" w:cs="Arial"/>
                <w:color w:val="000000"/>
                <w:sz w:val="18"/>
                <w:szCs w:val="20"/>
              </w:rPr>
              <w:t>.</w:t>
            </w:r>
            <w:r w:rsidRPr="0085323B">
              <w:rPr>
                <w:rFonts w:ascii="Arial" w:hAnsi="Arial" w:cs="Arial"/>
                <w:color w:val="000000"/>
                <w:sz w:val="18"/>
                <w:szCs w:val="20"/>
              </w:rPr>
              <w:t>209,5</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3</w:t>
            </w:r>
            <w:r w:rsidR="0085323B">
              <w:rPr>
                <w:rFonts w:ascii="Arial" w:hAnsi="Arial" w:cs="Arial"/>
                <w:color w:val="000000"/>
                <w:sz w:val="18"/>
                <w:szCs w:val="20"/>
              </w:rPr>
              <w:t>.</w:t>
            </w:r>
            <w:r w:rsidRPr="0085323B">
              <w:rPr>
                <w:rFonts w:ascii="Arial" w:hAnsi="Arial" w:cs="Arial"/>
                <w:color w:val="000000"/>
                <w:sz w:val="18"/>
                <w:szCs w:val="20"/>
              </w:rPr>
              <w:t>686,8</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3</w:t>
            </w:r>
            <w:r w:rsidR="0085323B">
              <w:rPr>
                <w:rFonts w:ascii="Arial" w:hAnsi="Arial" w:cs="Arial"/>
                <w:color w:val="000000"/>
                <w:sz w:val="18"/>
                <w:szCs w:val="20"/>
              </w:rPr>
              <w:t>.</w:t>
            </w:r>
            <w:r w:rsidRPr="0085323B">
              <w:rPr>
                <w:rFonts w:ascii="Arial" w:hAnsi="Arial" w:cs="Arial"/>
                <w:color w:val="000000"/>
                <w:sz w:val="18"/>
                <w:szCs w:val="20"/>
              </w:rPr>
              <w:t>209,5</w:t>
            </w:r>
          </w:p>
        </w:tc>
      </w:tr>
      <w:tr w:rsidR="00475BBF" w:rsidRPr="00B839D1" w:rsidTr="0085323B">
        <w:trPr>
          <w:trHeight w:val="408"/>
          <w:jc w:val="center"/>
        </w:trPr>
        <w:tc>
          <w:tcPr>
            <w:cnfStyle w:val="001000000000" w:firstRow="0" w:lastRow="0" w:firstColumn="1" w:lastColumn="0" w:oddVBand="0" w:evenVBand="0" w:oddHBand="0" w:evenHBand="0" w:firstRowFirstColumn="0" w:firstRowLastColumn="0" w:lastRowFirstColumn="0" w:lastRowLastColumn="0"/>
            <w:tcW w:w="1130" w:type="dxa"/>
            <w:noWrap/>
            <w:hideMark/>
          </w:tcPr>
          <w:p w:rsidR="00475BBF" w:rsidRPr="001106F5" w:rsidRDefault="00475BBF" w:rsidP="00475BBF">
            <w:pPr>
              <w:rPr>
                <w:rFonts w:ascii="Arial" w:hAnsi="Arial" w:cs="Arial"/>
                <w:color w:val="000000"/>
                <w:sz w:val="18"/>
                <w:szCs w:val="20"/>
              </w:rPr>
            </w:pPr>
            <w:r w:rsidRPr="001106F5">
              <w:rPr>
                <w:rFonts w:ascii="Arial" w:hAnsi="Arial" w:cs="Arial"/>
                <w:color w:val="000000"/>
                <w:sz w:val="18"/>
                <w:szCs w:val="20"/>
              </w:rPr>
              <w:t>20 a 64</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58</w:t>
            </w:r>
            <w:r w:rsidR="0085323B">
              <w:rPr>
                <w:rFonts w:ascii="Arial" w:hAnsi="Arial" w:cs="Arial"/>
                <w:color w:val="000000"/>
                <w:sz w:val="18"/>
                <w:szCs w:val="20"/>
              </w:rPr>
              <w:t>.</w:t>
            </w:r>
            <w:r w:rsidRPr="0085323B">
              <w:rPr>
                <w:rFonts w:ascii="Arial" w:hAnsi="Arial" w:cs="Arial"/>
                <w:color w:val="000000"/>
                <w:sz w:val="18"/>
                <w:szCs w:val="20"/>
              </w:rPr>
              <w:t>060,7</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52</w:t>
            </w:r>
            <w:r w:rsidR="0085323B">
              <w:rPr>
                <w:rFonts w:ascii="Arial" w:hAnsi="Arial" w:cs="Arial"/>
                <w:color w:val="000000"/>
                <w:sz w:val="18"/>
                <w:szCs w:val="20"/>
              </w:rPr>
              <w:t>.</w:t>
            </w:r>
            <w:r w:rsidRPr="0085323B">
              <w:rPr>
                <w:rFonts w:ascii="Arial" w:hAnsi="Arial" w:cs="Arial"/>
                <w:color w:val="000000"/>
                <w:sz w:val="18"/>
                <w:szCs w:val="20"/>
              </w:rPr>
              <w:t>259,8</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55</w:t>
            </w:r>
            <w:r w:rsidR="0085323B">
              <w:rPr>
                <w:rFonts w:ascii="Arial" w:hAnsi="Arial" w:cs="Arial"/>
                <w:color w:val="000000"/>
                <w:sz w:val="18"/>
                <w:szCs w:val="20"/>
              </w:rPr>
              <w:t>.</w:t>
            </w:r>
            <w:r w:rsidRPr="0085323B">
              <w:rPr>
                <w:rFonts w:ascii="Arial" w:hAnsi="Arial" w:cs="Arial"/>
                <w:color w:val="000000"/>
                <w:sz w:val="18"/>
                <w:szCs w:val="20"/>
              </w:rPr>
              <w:t>328,3</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50</w:t>
            </w:r>
            <w:r w:rsidR="0085323B">
              <w:rPr>
                <w:rFonts w:ascii="Arial" w:hAnsi="Arial" w:cs="Arial"/>
                <w:color w:val="000000"/>
                <w:sz w:val="18"/>
                <w:szCs w:val="20"/>
              </w:rPr>
              <w:t>.</w:t>
            </w:r>
            <w:r w:rsidRPr="0085323B">
              <w:rPr>
                <w:rFonts w:ascii="Arial" w:hAnsi="Arial" w:cs="Arial"/>
                <w:color w:val="000000"/>
                <w:sz w:val="18"/>
                <w:szCs w:val="20"/>
              </w:rPr>
              <w:t>414,7</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51</w:t>
            </w:r>
            <w:r w:rsidR="0085323B">
              <w:rPr>
                <w:rFonts w:ascii="Arial" w:hAnsi="Arial" w:cs="Arial"/>
                <w:color w:val="000000"/>
                <w:sz w:val="18"/>
                <w:szCs w:val="20"/>
              </w:rPr>
              <w:t>.</w:t>
            </w:r>
            <w:r w:rsidRPr="0085323B">
              <w:rPr>
                <w:rFonts w:ascii="Arial" w:hAnsi="Arial" w:cs="Arial"/>
                <w:color w:val="000000"/>
                <w:sz w:val="18"/>
                <w:szCs w:val="20"/>
              </w:rPr>
              <w:t>696,9</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51</w:t>
            </w:r>
            <w:r w:rsidR="0085323B">
              <w:rPr>
                <w:rFonts w:ascii="Arial" w:hAnsi="Arial" w:cs="Arial"/>
                <w:color w:val="000000"/>
                <w:sz w:val="18"/>
                <w:szCs w:val="20"/>
              </w:rPr>
              <w:t>.</w:t>
            </w:r>
            <w:r w:rsidRPr="0085323B">
              <w:rPr>
                <w:rFonts w:ascii="Arial" w:hAnsi="Arial" w:cs="Arial"/>
                <w:color w:val="000000"/>
                <w:sz w:val="18"/>
                <w:szCs w:val="20"/>
              </w:rPr>
              <w:t>220,8</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47</w:t>
            </w:r>
            <w:r w:rsidR="0085323B">
              <w:rPr>
                <w:rFonts w:ascii="Arial" w:hAnsi="Arial" w:cs="Arial"/>
                <w:color w:val="000000"/>
                <w:sz w:val="18"/>
                <w:szCs w:val="20"/>
              </w:rPr>
              <w:t>.</w:t>
            </w:r>
            <w:r w:rsidRPr="0085323B">
              <w:rPr>
                <w:rFonts w:ascii="Arial" w:hAnsi="Arial" w:cs="Arial"/>
                <w:color w:val="000000"/>
                <w:sz w:val="18"/>
                <w:szCs w:val="20"/>
              </w:rPr>
              <w:t>948,8</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42</w:t>
            </w:r>
            <w:r w:rsidR="0085323B">
              <w:rPr>
                <w:rFonts w:ascii="Arial" w:hAnsi="Arial" w:cs="Arial"/>
                <w:color w:val="000000"/>
                <w:sz w:val="18"/>
                <w:szCs w:val="20"/>
              </w:rPr>
              <w:t>.</w:t>
            </w:r>
            <w:r w:rsidRPr="0085323B">
              <w:rPr>
                <w:rFonts w:ascii="Arial" w:hAnsi="Arial" w:cs="Arial"/>
                <w:color w:val="000000"/>
                <w:sz w:val="18"/>
                <w:szCs w:val="20"/>
              </w:rPr>
              <w:t>906,8</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47</w:t>
            </w:r>
            <w:r w:rsidR="0085323B">
              <w:rPr>
                <w:rFonts w:ascii="Arial" w:hAnsi="Arial" w:cs="Arial"/>
                <w:color w:val="000000"/>
                <w:sz w:val="18"/>
                <w:szCs w:val="20"/>
              </w:rPr>
              <w:t>.</w:t>
            </w:r>
            <w:r w:rsidRPr="0085323B">
              <w:rPr>
                <w:rFonts w:ascii="Arial" w:hAnsi="Arial" w:cs="Arial"/>
                <w:color w:val="000000"/>
                <w:sz w:val="18"/>
                <w:szCs w:val="20"/>
              </w:rPr>
              <w:t>948,8</w:t>
            </w:r>
          </w:p>
        </w:tc>
        <w:tc>
          <w:tcPr>
            <w:tcW w:w="873" w:type="dxa"/>
            <w:noWrap/>
            <w:hideMark/>
          </w:tcPr>
          <w:p w:rsidR="00475BBF" w:rsidRPr="0085323B" w:rsidRDefault="00475BBF" w:rsidP="00475BBF">
            <w:pPr>
              <w:jc w:val="right"/>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42</w:t>
            </w:r>
            <w:r w:rsidR="0085323B">
              <w:rPr>
                <w:rFonts w:ascii="Arial" w:hAnsi="Arial" w:cs="Arial"/>
                <w:color w:val="000000"/>
                <w:sz w:val="18"/>
                <w:szCs w:val="20"/>
              </w:rPr>
              <w:t>.</w:t>
            </w:r>
            <w:r w:rsidRPr="0085323B">
              <w:rPr>
                <w:rFonts w:ascii="Arial" w:hAnsi="Arial" w:cs="Arial"/>
                <w:color w:val="000000"/>
                <w:sz w:val="18"/>
                <w:szCs w:val="20"/>
              </w:rPr>
              <w:t>906,8</w:t>
            </w:r>
          </w:p>
        </w:tc>
      </w:tr>
      <w:tr w:rsidR="00475BBF" w:rsidRPr="00B839D1" w:rsidTr="00475BBF">
        <w:trPr>
          <w:cnfStyle w:val="000000100000" w:firstRow="0" w:lastRow="0" w:firstColumn="0" w:lastColumn="0" w:oddVBand="0" w:evenVBand="0" w:oddHBand="1"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130" w:type="dxa"/>
            <w:noWrap/>
            <w:hideMark/>
          </w:tcPr>
          <w:p w:rsidR="00475BBF" w:rsidRPr="001106F5" w:rsidRDefault="00475BBF" w:rsidP="00475BBF">
            <w:pPr>
              <w:rPr>
                <w:rFonts w:ascii="Arial" w:hAnsi="Arial" w:cs="Arial"/>
                <w:color w:val="000000"/>
                <w:sz w:val="18"/>
                <w:szCs w:val="20"/>
              </w:rPr>
            </w:pPr>
            <w:r w:rsidRPr="001106F5">
              <w:rPr>
                <w:rFonts w:ascii="Arial" w:hAnsi="Arial" w:cs="Arial"/>
                <w:color w:val="000000"/>
                <w:sz w:val="18"/>
                <w:szCs w:val="20"/>
              </w:rPr>
              <w:t xml:space="preserve"> 65  y más</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7</w:t>
            </w:r>
            <w:r w:rsidR="0085323B">
              <w:rPr>
                <w:rFonts w:ascii="Arial" w:hAnsi="Arial" w:cs="Arial"/>
                <w:color w:val="000000"/>
                <w:sz w:val="18"/>
                <w:szCs w:val="20"/>
              </w:rPr>
              <w:t>.</w:t>
            </w:r>
            <w:r w:rsidRPr="0085323B">
              <w:rPr>
                <w:rFonts w:ascii="Arial" w:hAnsi="Arial" w:cs="Arial"/>
                <w:color w:val="000000"/>
                <w:sz w:val="18"/>
                <w:szCs w:val="20"/>
              </w:rPr>
              <w:t>844,3</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6</w:t>
            </w:r>
            <w:r w:rsidR="0085323B">
              <w:rPr>
                <w:rFonts w:ascii="Arial" w:hAnsi="Arial" w:cs="Arial"/>
                <w:color w:val="000000"/>
                <w:sz w:val="18"/>
                <w:szCs w:val="20"/>
              </w:rPr>
              <w:t>.</w:t>
            </w:r>
            <w:r w:rsidRPr="0085323B">
              <w:rPr>
                <w:rFonts w:ascii="Arial" w:hAnsi="Arial" w:cs="Arial"/>
                <w:color w:val="000000"/>
                <w:sz w:val="18"/>
                <w:szCs w:val="20"/>
              </w:rPr>
              <w:t>225,1</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7</w:t>
            </w:r>
            <w:r w:rsidR="0085323B">
              <w:rPr>
                <w:rFonts w:ascii="Arial" w:hAnsi="Arial" w:cs="Arial"/>
                <w:color w:val="000000"/>
                <w:sz w:val="18"/>
                <w:szCs w:val="20"/>
              </w:rPr>
              <w:t>.</w:t>
            </w:r>
            <w:r w:rsidRPr="0085323B">
              <w:rPr>
                <w:rFonts w:ascii="Arial" w:hAnsi="Arial" w:cs="Arial"/>
                <w:color w:val="000000"/>
                <w:sz w:val="18"/>
                <w:szCs w:val="20"/>
              </w:rPr>
              <w:t>381,2</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w:t>
            </w:r>
            <w:r w:rsidR="0085323B">
              <w:rPr>
                <w:rFonts w:ascii="Arial" w:hAnsi="Arial" w:cs="Arial"/>
                <w:color w:val="000000"/>
                <w:sz w:val="18"/>
                <w:szCs w:val="20"/>
              </w:rPr>
              <w:t>.</w:t>
            </w:r>
            <w:r w:rsidRPr="0085323B">
              <w:rPr>
                <w:rFonts w:ascii="Arial" w:hAnsi="Arial" w:cs="Arial"/>
                <w:color w:val="000000"/>
                <w:sz w:val="18"/>
                <w:szCs w:val="20"/>
              </w:rPr>
              <w:t>518,7</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8</w:t>
            </w:r>
            <w:r w:rsidR="0085323B">
              <w:rPr>
                <w:rFonts w:ascii="Arial" w:hAnsi="Arial" w:cs="Arial"/>
                <w:color w:val="000000"/>
                <w:sz w:val="18"/>
                <w:szCs w:val="20"/>
              </w:rPr>
              <w:t>.</w:t>
            </w:r>
            <w:r w:rsidRPr="0085323B">
              <w:rPr>
                <w:rFonts w:ascii="Arial" w:hAnsi="Arial" w:cs="Arial"/>
                <w:color w:val="000000"/>
                <w:sz w:val="18"/>
                <w:szCs w:val="20"/>
              </w:rPr>
              <w:t>999,2</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w:t>
            </w:r>
            <w:r w:rsidR="0085323B">
              <w:rPr>
                <w:rFonts w:ascii="Arial" w:hAnsi="Arial" w:cs="Arial"/>
                <w:color w:val="000000"/>
                <w:sz w:val="18"/>
                <w:szCs w:val="20"/>
              </w:rPr>
              <w:t>.</w:t>
            </w:r>
            <w:r w:rsidRPr="0085323B">
              <w:rPr>
                <w:rFonts w:ascii="Arial" w:hAnsi="Arial" w:cs="Arial"/>
                <w:color w:val="000000"/>
                <w:sz w:val="18"/>
                <w:szCs w:val="20"/>
              </w:rPr>
              <w:t>974,9</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w:t>
            </w:r>
            <w:r w:rsidR="0085323B">
              <w:rPr>
                <w:rFonts w:ascii="Arial" w:hAnsi="Arial" w:cs="Arial"/>
                <w:color w:val="000000"/>
                <w:sz w:val="18"/>
                <w:szCs w:val="20"/>
              </w:rPr>
              <w:t>.</w:t>
            </w:r>
            <w:r w:rsidRPr="0085323B">
              <w:rPr>
                <w:rFonts w:ascii="Arial" w:hAnsi="Arial" w:cs="Arial"/>
                <w:color w:val="000000"/>
                <w:sz w:val="18"/>
                <w:szCs w:val="20"/>
              </w:rPr>
              <w:t>952,9</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w:t>
            </w:r>
            <w:r w:rsidR="0085323B">
              <w:rPr>
                <w:rFonts w:ascii="Arial" w:hAnsi="Arial" w:cs="Arial"/>
                <w:color w:val="000000"/>
                <w:sz w:val="18"/>
                <w:szCs w:val="20"/>
              </w:rPr>
              <w:t>.</w:t>
            </w:r>
            <w:r w:rsidRPr="0085323B">
              <w:rPr>
                <w:rFonts w:ascii="Arial" w:hAnsi="Arial" w:cs="Arial"/>
                <w:color w:val="000000"/>
                <w:sz w:val="18"/>
                <w:szCs w:val="20"/>
              </w:rPr>
              <w:t>577,6</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5</w:t>
            </w:r>
            <w:r w:rsidR="0085323B">
              <w:rPr>
                <w:rFonts w:ascii="Arial" w:hAnsi="Arial" w:cs="Arial"/>
                <w:color w:val="000000"/>
                <w:sz w:val="18"/>
                <w:szCs w:val="20"/>
              </w:rPr>
              <w:t>.</w:t>
            </w:r>
            <w:r w:rsidRPr="0085323B">
              <w:rPr>
                <w:rFonts w:ascii="Arial" w:hAnsi="Arial" w:cs="Arial"/>
                <w:color w:val="000000"/>
                <w:sz w:val="18"/>
                <w:szCs w:val="20"/>
              </w:rPr>
              <w:t>952,9</w:t>
            </w:r>
          </w:p>
        </w:tc>
        <w:tc>
          <w:tcPr>
            <w:tcW w:w="873" w:type="dxa"/>
            <w:noWrap/>
            <w:hideMark/>
          </w:tcPr>
          <w:p w:rsidR="00475BBF" w:rsidRPr="0085323B" w:rsidRDefault="00475BBF" w:rsidP="00475BBF">
            <w:pPr>
              <w:jc w:val="right"/>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20"/>
              </w:rPr>
            </w:pPr>
            <w:r w:rsidRPr="0085323B">
              <w:rPr>
                <w:rFonts w:ascii="Arial" w:hAnsi="Arial" w:cs="Arial"/>
                <w:color w:val="000000"/>
                <w:sz w:val="18"/>
                <w:szCs w:val="20"/>
              </w:rPr>
              <w:t>4</w:t>
            </w:r>
            <w:r w:rsidR="0085323B">
              <w:rPr>
                <w:rFonts w:ascii="Arial" w:hAnsi="Arial" w:cs="Arial"/>
                <w:color w:val="000000"/>
                <w:sz w:val="18"/>
                <w:szCs w:val="20"/>
              </w:rPr>
              <w:t>.</w:t>
            </w:r>
            <w:r w:rsidRPr="0085323B">
              <w:rPr>
                <w:rFonts w:ascii="Arial" w:hAnsi="Arial" w:cs="Arial"/>
                <w:color w:val="000000"/>
                <w:sz w:val="18"/>
                <w:szCs w:val="20"/>
              </w:rPr>
              <w:t>577,6</w:t>
            </w:r>
          </w:p>
        </w:tc>
      </w:tr>
    </w:tbl>
    <w:p w:rsidR="00475BBF" w:rsidRDefault="00475BBF" w:rsidP="0085323B">
      <w:pPr>
        <w:rPr>
          <w:rFonts w:ascii="Arial" w:hAnsi="Arial" w:cs="Arial"/>
          <w:color w:val="000000"/>
          <w:sz w:val="20"/>
          <w:szCs w:val="20"/>
        </w:rPr>
      </w:pPr>
      <w:r w:rsidRPr="00B839D1">
        <w:rPr>
          <w:rFonts w:ascii="Arial" w:hAnsi="Arial" w:cs="Arial"/>
          <w:color w:val="241F1F"/>
          <w:sz w:val="20"/>
          <w:szCs w:val="20"/>
        </w:rPr>
        <w:t>*</w:t>
      </w:r>
      <w:r w:rsidRPr="00B839D1">
        <w:rPr>
          <w:rFonts w:ascii="Arial" w:hAnsi="Arial" w:cs="Arial"/>
          <w:color w:val="000000"/>
          <w:sz w:val="20"/>
          <w:szCs w:val="20"/>
        </w:rPr>
        <w:t>F=femenino, M=</w:t>
      </w:r>
      <w:r w:rsidR="001106F5">
        <w:rPr>
          <w:rFonts w:ascii="Arial" w:hAnsi="Arial" w:cs="Arial"/>
          <w:color w:val="000000"/>
          <w:sz w:val="20"/>
          <w:szCs w:val="20"/>
        </w:rPr>
        <w:t>masculine</w:t>
      </w:r>
    </w:p>
    <w:p w:rsidR="001106F5" w:rsidRPr="00B839D1" w:rsidRDefault="001106F5" w:rsidP="0085323B">
      <w:pPr>
        <w:rPr>
          <w:rFonts w:ascii="Arial" w:hAnsi="Arial" w:cs="Arial"/>
          <w:color w:val="241F1F"/>
          <w:sz w:val="20"/>
          <w:szCs w:val="20"/>
        </w:rPr>
      </w:pPr>
    </w:p>
    <w:p w:rsidR="00475BBF" w:rsidRPr="00B839D1" w:rsidRDefault="00475BBF" w:rsidP="00475BBF">
      <w:pPr>
        <w:jc w:val="center"/>
        <w:rPr>
          <w:rFonts w:ascii="Arial" w:hAnsi="Arial" w:cs="Arial"/>
          <w:color w:val="000000"/>
          <w:sz w:val="20"/>
          <w:szCs w:val="20"/>
        </w:rPr>
      </w:pPr>
      <w:r w:rsidRPr="0085323B">
        <w:rPr>
          <w:rFonts w:ascii="Arial" w:hAnsi="Arial" w:cs="Arial"/>
          <w:b/>
          <w:sz w:val="20"/>
        </w:rPr>
        <w:t>Fuente:</w:t>
      </w:r>
      <w:r w:rsidRPr="00B839D1">
        <w:rPr>
          <w:rFonts w:ascii="Arial" w:hAnsi="Arial" w:cs="Arial"/>
          <w:sz w:val="20"/>
        </w:rPr>
        <w:t xml:space="preserve"> </w:t>
      </w:r>
      <w:r w:rsidRPr="00B839D1">
        <w:rPr>
          <w:rFonts w:ascii="Arial" w:hAnsi="Arial" w:cs="Arial"/>
          <w:color w:val="000000"/>
          <w:sz w:val="20"/>
          <w:szCs w:val="20"/>
        </w:rPr>
        <w:t>Dirección Vigilancia de la Salud</w:t>
      </w:r>
      <w:r>
        <w:rPr>
          <w:rFonts w:ascii="Arial" w:hAnsi="Arial" w:cs="Arial"/>
          <w:color w:val="000000"/>
          <w:sz w:val="20"/>
          <w:szCs w:val="20"/>
        </w:rPr>
        <w:t xml:space="preserve">, </w:t>
      </w:r>
      <w:r w:rsidRPr="00B839D1">
        <w:rPr>
          <w:rFonts w:ascii="Arial" w:hAnsi="Arial" w:cs="Arial"/>
          <w:color w:val="000000"/>
          <w:sz w:val="20"/>
          <w:szCs w:val="20"/>
        </w:rPr>
        <w:t>Ministerio de Salud.</w:t>
      </w:r>
    </w:p>
    <w:p w:rsidR="00475BBF" w:rsidRDefault="00475BBF" w:rsidP="00475BBF">
      <w:pPr>
        <w:pStyle w:val="Default"/>
        <w:jc w:val="center"/>
        <w:rPr>
          <w:rFonts w:ascii="Times New Roman" w:hAnsi="Times New Roman" w:cs="Times New Roman"/>
          <w:sz w:val="20"/>
          <w:szCs w:val="20"/>
        </w:rPr>
      </w:pPr>
    </w:p>
    <w:p w:rsidR="001106F5" w:rsidRDefault="001106F5">
      <w:pPr>
        <w:spacing w:after="160" w:line="259" w:lineRule="auto"/>
        <w:rPr>
          <w:rFonts w:ascii="Arial" w:hAnsi="Arial" w:cs="Arial"/>
          <w:color w:val="241F1F"/>
        </w:rPr>
      </w:pPr>
      <w:r>
        <w:rPr>
          <w:rFonts w:ascii="Arial" w:hAnsi="Arial" w:cs="Arial"/>
          <w:color w:val="241F1F"/>
        </w:rPr>
        <w:br w:type="page"/>
      </w:r>
    </w:p>
    <w:p w:rsidR="00475BBF" w:rsidRDefault="00475BBF" w:rsidP="00475BBF">
      <w:pPr>
        <w:spacing w:line="276" w:lineRule="auto"/>
        <w:jc w:val="both"/>
        <w:rPr>
          <w:rFonts w:ascii="Arial" w:hAnsi="Arial" w:cs="Arial"/>
          <w:color w:val="241F1F"/>
        </w:rPr>
      </w:pPr>
    </w:p>
    <w:p w:rsidR="00475BBF" w:rsidRDefault="00686908" w:rsidP="00475BBF">
      <w:pPr>
        <w:spacing w:line="276" w:lineRule="auto"/>
        <w:jc w:val="both"/>
        <w:rPr>
          <w:rFonts w:ascii="Arial" w:hAnsi="Arial" w:cs="Arial"/>
          <w:color w:val="241F1F"/>
        </w:rPr>
      </w:pPr>
      <w:r>
        <w:rPr>
          <w:rFonts w:ascii="Arial" w:hAnsi="Arial" w:cs="Arial"/>
          <w:color w:val="241F1F"/>
        </w:rPr>
        <w:t xml:space="preserve">El </w:t>
      </w:r>
      <w:r w:rsidR="00475BBF">
        <w:rPr>
          <w:rFonts w:ascii="Arial" w:hAnsi="Arial" w:cs="Arial"/>
          <w:color w:val="241F1F"/>
        </w:rPr>
        <w:t xml:space="preserve">grupo de 20 a 64 años </w:t>
      </w:r>
      <w:r w:rsidR="00272E4E">
        <w:rPr>
          <w:rFonts w:ascii="Arial" w:hAnsi="Arial" w:cs="Arial"/>
          <w:color w:val="241F1F"/>
        </w:rPr>
        <w:t xml:space="preserve">(adultos) </w:t>
      </w:r>
      <w:r>
        <w:rPr>
          <w:rFonts w:ascii="Arial" w:hAnsi="Arial" w:cs="Arial"/>
          <w:color w:val="241F1F"/>
        </w:rPr>
        <w:t>present</w:t>
      </w:r>
      <w:r w:rsidR="00272E4E">
        <w:rPr>
          <w:rFonts w:ascii="Arial" w:hAnsi="Arial" w:cs="Arial"/>
          <w:color w:val="241F1F"/>
        </w:rPr>
        <w:t>ó</w:t>
      </w:r>
      <w:r>
        <w:rPr>
          <w:rFonts w:ascii="Arial" w:hAnsi="Arial" w:cs="Arial"/>
          <w:color w:val="241F1F"/>
        </w:rPr>
        <w:t xml:space="preserve"> </w:t>
      </w:r>
      <w:r w:rsidR="00475BBF">
        <w:rPr>
          <w:rFonts w:ascii="Arial" w:hAnsi="Arial" w:cs="Arial"/>
          <w:color w:val="241F1F"/>
        </w:rPr>
        <w:t xml:space="preserve">la incidencia </w:t>
      </w:r>
      <w:r>
        <w:rPr>
          <w:rFonts w:ascii="Arial" w:hAnsi="Arial" w:cs="Arial"/>
          <w:color w:val="241F1F"/>
        </w:rPr>
        <w:t>más alta</w:t>
      </w:r>
      <w:r w:rsidR="00475BBF">
        <w:rPr>
          <w:rFonts w:ascii="Arial" w:hAnsi="Arial" w:cs="Arial"/>
          <w:color w:val="241F1F"/>
        </w:rPr>
        <w:t xml:space="preserve"> </w:t>
      </w:r>
      <w:r>
        <w:rPr>
          <w:rFonts w:ascii="Arial" w:hAnsi="Arial" w:cs="Arial"/>
          <w:color w:val="241F1F"/>
        </w:rPr>
        <w:t xml:space="preserve">y </w:t>
      </w:r>
      <w:r w:rsidR="00475BBF">
        <w:rPr>
          <w:rFonts w:ascii="Arial" w:hAnsi="Arial" w:cs="Arial"/>
          <w:color w:val="241F1F"/>
        </w:rPr>
        <w:t xml:space="preserve">las consultas </w:t>
      </w:r>
      <w:r>
        <w:rPr>
          <w:rFonts w:ascii="Arial" w:hAnsi="Arial" w:cs="Arial"/>
          <w:color w:val="241F1F"/>
        </w:rPr>
        <w:t xml:space="preserve">en los servicios de salud por las personas de </w:t>
      </w:r>
      <w:r w:rsidR="00475BBF">
        <w:rPr>
          <w:rFonts w:ascii="Arial" w:hAnsi="Arial" w:cs="Arial"/>
          <w:color w:val="241F1F"/>
        </w:rPr>
        <w:t>este grupo</w:t>
      </w:r>
      <w:r>
        <w:rPr>
          <w:rFonts w:ascii="Arial" w:hAnsi="Arial" w:cs="Arial"/>
          <w:color w:val="241F1F"/>
        </w:rPr>
        <w:t>,</w:t>
      </w:r>
      <w:r w:rsidR="00475BBF">
        <w:rPr>
          <w:rFonts w:ascii="Arial" w:hAnsi="Arial" w:cs="Arial"/>
          <w:color w:val="241F1F"/>
        </w:rPr>
        <w:t xml:space="preserve"> </w:t>
      </w:r>
      <w:r>
        <w:rPr>
          <w:rFonts w:ascii="Arial" w:hAnsi="Arial" w:cs="Arial"/>
          <w:color w:val="241F1F"/>
        </w:rPr>
        <w:t xml:space="preserve">constituyen </w:t>
      </w:r>
      <w:r w:rsidR="00475BBF">
        <w:rPr>
          <w:rFonts w:ascii="Arial" w:hAnsi="Arial" w:cs="Arial"/>
          <w:color w:val="241F1F"/>
        </w:rPr>
        <w:t>alrededor de la mitad de la población de es</w:t>
      </w:r>
      <w:r>
        <w:rPr>
          <w:rFonts w:ascii="Arial" w:hAnsi="Arial" w:cs="Arial"/>
          <w:color w:val="241F1F"/>
        </w:rPr>
        <w:t>t</w:t>
      </w:r>
      <w:r w:rsidR="00475BBF">
        <w:rPr>
          <w:rFonts w:ascii="Arial" w:hAnsi="Arial" w:cs="Arial"/>
          <w:color w:val="241F1F"/>
        </w:rPr>
        <w:t xml:space="preserve">e grupo. En los menores de un año, se esperaría </w:t>
      </w:r>
      <w:r>
        <w:rPr>
          <w:rFonts w:ascii="Arial" w:hAnsi="Arial" w:cs="Arial"/>
          <w:color w:val="241F1F"/>
        </w:rPr>
        <w:t xml:space="preserve">una </w:t>
      </w:r>
      <w:r w:rsidR="00475BBF">
        <w:rPr>
          <w:rFonts w:ascii="Arial" w:hAnsi="Arial" w:cs="Arial"/>
          <w:color w:val="241F1F"/>
        </w:rPr>
        <w:t xml:space="preserve">menor incidencia; </w:t>
      </w:r>
      <w:r>
        <w:rPr>
          <w:rFonts w:ascii="Arial" w:hAnsi="Arial" w:cs="Arial"/>
          <w:color w:val="241F1F"/>
        </w:rPr>
        <w:t xml:space="preserve">pues </w:t>
      </w:r>
      <w:r w:rsidR="00475BBF">
        <w:rPr>
          <w:rFonts w:ascii="Arial" w:hAnsi="Arial" w:cs="Arial"/>
          <w:color w:val="241F1F"/>
        </w:rPr>
        <w:t>en es</w:t>
      </w:r>
      <w:r>
        <w:rPr>
          <w:rFonts w:ascii="Arial" w:hAnsi="Arial" w:cs="Arial"/>
          <w:color w:val="241F1F"/>
        </w:rPr>
        <w:t>t</w:t>
      </w:r>
      <w:r w:rsidR="00475BBF">
        <w:rPr>
          <w:rFonts w:ascii="Arial" w:hAnsi="Arial" w:cs="Arial"/>
          <w:color w:val="241F1F"/>
        </w:rPr>
        <w:t xml:space="preserve">a edad </w:t>
      </w:r>
      <w:r>
        <w:rPr>
          <w:rFonts w:ascii="Arial" w:hAnsi="Arial" w:cs="Arial"/>
          <w:color w:val="241F1F"/>
        </w:rPr>
        <w:t xml:space="preserve">están protegidos por medio </w:t>
      </w:r>
      <w:r w:rsidR="00475BBF">
        <w:rPr>
          <w:rFonts w:ascii="Arial" w:hAnsi="Arial" w:cs="Arial"/>
          <w:color w:val="241F1F"/>
        </w:rPr>
        <w:t xml:space="preserve">de </w:t>
      </w:r>
      <w:r>
        <w:rPr>
          <w:rFonts w:ascii="Arial" w:hAnsi="Arial" w:cs="Arial"/>
          <w:color w:val="241F1F"/>
        </w:rPr>
        <w:t xml:space="preserve">la </w:t>
      </w:r>
      <w:r w:rsidR="00475BBF">
        <w:rPr>
          <w:rFonts w:ascii="Helvetica" w:hAnsi="Helvetica" w:cs="Helvetica"/>
          <w:color w:val="1D1D1D"/>
          <w:shd w:val="clear" w:color="auto" w:fill="FFFFFF"/>
        </w:rPr>
        <w:t xml:space="preserve">leche </w:t>
      </w:r>
      <w:r>
        <w:rPr>
          <w:rFonts w:ascii="Helvetica" w:hAnsi="Helvetica" w:cs="Helvetica"/>
          <w:color w:val="1D1D1D"/>
          <w:shd w:val="clear" w:color="auto" w:fill="FFFFFF"/>
        </w:rPr>
        <w:t>maternal, sin embargo se observan tasas de incidencia relativamente muy altas</w:t>
      </w:r>
      <w:r w:rsidR="00475BBF">
        <w:rPr>
          <w:rFonts w:ascii="Helvetica" w:hAnsi="Helvetica" w:cs="Helvetica"/>
          <w:color w:val="1D1D1D"/>
          <w:shd w:val="clear" w:color="auto" w:fill="FFFFFF"/>
        </w:rPr>
        <w:t xml:space="preserve">. </w:t>
      </w:r>
    </w:p>
    <w:p w:rsidR="00475BBF" w:rsidRDefault="00475BBF" w:rsidP="00475BBF">
      <w:pPr>
        <w:spacing w:line="276" w:lineRule="auto"/>
        <w:rPr>
          <w:rFonts w:ascii="Arial" w:hAnsi="Arial" w:cs="Arial"/>
          <w:color w:val="241F1F"/>
        </w:rPr>
      </w:pPr>
    </w:p>
    <w:p w:rsidR="00475BBF" w:rsidRDefault="00F11B34" w:rsidP="00F11B34">
      <w:pPr>
        <w:spacing w:line="276" w:lineRule="auto"/>
        <w:jc w:val="both"/>
        <w:rPr>
          <w:rFonts w:ascii="Arial" w:hAnsi="Arial" w:cs="Arial"/>
          <w:color w:val="241F1F"/>
        </w:rPr>
      </w:pPr>
      <w:r>
        <w:rPr>
          <w:rFonts w:ascii="Arial" w:hAnsi="Arial" w:cs="Arial"/>
          <w:color w:val="241F1F"/>
        </w:rPr>
        <w:t xml:space="preserve">Con el propósito de describir las variaciones relativas y las diferencias de tasas, en la tendencia temporal, en </w:t>
      </w:r>
      <w:r w:rsidR="00475BBF">
        <w:rPr>
          <w:rFonts w:ascii="Arial" w:hAnsi="Arial" w:cs="Arial"/>
          <w:color w:val="241F1F"/>
        </w:rPr>
        <w:t xml:space="preserve">el siguiente gráfico se presenta la evolución de las tasas por grupo de edad y en la figura </w:t>
      </w:r>
      <w:r>
        <w:rPr>
          <w:rFonts w:ascii="Arial" w:hAnsi="Arial" w:cs="Arial"/>
          <w:color w:val="241F1F"/>
        </w:rPr>
        <w:t>5</w:t>
      </w:r>
      <w:r w:rsidR="00475BBF">
        <w:rPr>
          <w:rFonts w:ascii="Arial" w:hAnsi="Arial" w:cs="Arial"/>
          <w:color w:val="241F1F"/>
        </w:rPr>
        <w:t xml:space="preserve"> por ciclo de vida del desarrollo humano</w:t>
      </w:r>
      <w:r>
        <w:rPr>
          <w:rFonts w:ascii="Arial" w:hAnsi="Arial" w:cs="Arial"/>
          <w:color w:val="241F1F"/>
        </w:rPr>
        <w:t>,</w:t>
      </w:r>
      <w:r w:rsidR="00475BBF">
        <w:rPr>
          <w:rFonts w:ascii="Arial" w:hAnsi="Arial" w:cs="Arial"/>
          <w:color w:val="241F1F"/>
        </w:rPr>
        <w:t xml:space="preserve"> según año de notificación</w:t>
      </w:r>
      <w:r>
        <w:rPr>
          <w:rFonts w:ascii="Arial" w:hAnsi="Arial" w:cs="Arial"/>
          <w:color w:val="241F1F"/>
        </w:rPr>
        <w:t xml:space="preserve">. </w:t>
      </w:r>
      <w:r w:rsidR="00475BBF">
        <w:rPr>
          <w:rFonts w:ascii="Arial" w:hAnsi="Arial" w:cs="Arial"/>
          <w:color w:val="241F1F"/>
        </w:rPr>
        <w:t xml:space="preserve"> </w:t>
      </w:r>
    </w:p>
    <w:p w:rsidR="00F11B34" w:rsidRDefault="00F11B34" w:rsidP="00475BBF">
      <w:pPr>
        <w:autoSpaceDE w:val="0"/>
        <w:autoSpaceDN w:val="0"/>
        <w:adjustRightInd w:val="0"/>
        <w:rPr>
          <w:rFonts w:ascii="Arial" w:hAnsi="Arial" w:cs="Arial"/>
          <w:color w:val="241F1F"/>
        </w:rPr>
      </w:pPr>
    </w:p>
    <w:p w:rsidR="00475BBF" w:rsidRPr="00F11B34" w:rsidRDefault="00475BBF" w:rsidP="00475BBF">
      <w:pPr>
        <w:autoSpaceDE w:val="0"/>
        <w:autoSpaceDN w:val="0"/>
        <w:adjustRightInd w:val="0"/>
        <w:jc w:val="center"/>
        <w:rPr>
          <w:rFonts w:ascii="Arial" w:hAnsi="Arial" w:cs="Arial"/>
          <w:b/>
        </w:rPr>
      </w:pPr>
      <w:r w:rsidRPr="00F11B34">
        <w:rPr>
          <w:rFonts w:ascii="Arial" w:hAnsi="Arial" w:cs="Arial"/>
          <w:b/>
        </w:rPr>
        <w:t xml:space="preserve">Gráfico </w:t>
      </w:r>
      <w:r w:rsidR="009E51D7" w:rsidRPr="00F11B34">
        <w:rPr>
          <w:rFonts w:ascii="Arial" w:hAnsi="Arial" w:cs="Arial"/>
          <w:b/>
        </w:rPr>
        <w:t>40</w:t>
      </w:r>
    </w:p>
    <w:p w:rsidR="00B134A0" w:rsidRDefault="00475BBF" w:rsidP="00475BBF">
      <w:pPr>
        <w:jc w:val="center"/>
        <w:rPr>
          <w:rFonts w:ascii="Arial" w:hAnsi="Arial" w:cs="Arial"/>
          <w:b/>
        </w:rPr>
      </w:pPr>
      <w:r w:rsidRPr="00F11B34">
        <w:rPr>
          <w:rFonts w:ascii="Arial" w:hAnsi="Arial" w:cs="Arial"/>
          <w:b/>
        </w:rPr>
        <w:t>Costa Rica</w:t>
      </w:r>
      <w:r w:rsidR="00B134A0">
        <w:rPr>
          <w:rFonts w:ascii="Arial" w:hAnsi="Arial" w:cs="Arial"/>
          <w:b/>
        </w:rPr>
        <w:t>:</w:t>
      </w:r>
      <w:r w:rsidRPr="00F11B34">
        <w:rPr>
          <w:rFonts w:ascii="Arial" w:hAnsi="Arial" w:cs="Arial"/>
          <w:b/>
        </w:rPr>
        <w:t xml:space="preserve"> </w:t>
      </w:r>
      <w:r w:rsidR="00B134A0">
        <w:rPr>
          <w:rFonts w:ascii="Arial" w:hAnsi="Arial" w:cs="Arial"/>
          <w:b/>
        </w:rPr>
        <w:t>Tasa de i</w:t>
      </w:r>
      <w:r w:rsidRPr="00F11B34">
        <w:rPr>
          <w:rFonts w:ascii="Arial" w:hAnsi="Arial" w:cs="Arial"/>
          <w:b/>
        </w:rPr>
        <w:t>ncidencia de episodios diarreicos</w:t>
      </w:r>
    </w:p>
    <w:p w:rsidR="00475BBF" w:rsidRDefault="00475BBF" w:rsidP="00475BBF">
      <w:pPr>
        <w:jc w:val="center"/>
        <w:rPr>
          <w:rFonts w:ascii="Arial" w:hAnsi="Arial" w:cs="Arial"/>
          <w:b/>
        </w:rPr>
      </w:pPr>
      <w:r w:rsidRPr="00F11B34">
        <w:rPr>
          <w:rFonts w:ascii="Arial" w:hAnsi="Arial" w:cs="Arial"/>
          <w:b/>
        </w:rPr>
        <w:t xml:space="preserve"> según sexo y grupo de edad</w:t>
      </w:r>
      <w:r w:rsidR="00F11B34">
        <w:rPr>
          <w:rFonts w:ascii="Arial" w:hAnsi="Arial" w:cs="Arial"/>
          <w:b/>
        </w:rPr>
        <w:t>,</w:t>
      </w:r>
      <w:r w:rsidRPr="00F11B34">
        <w:rPr>
          <w:rFonts w:ascii="Arial" w:hAnsi="Arial" w:cs="Arial"/>
          <w:b/>
        </w:rPr>
        <w:t xml:space="preserve"> 2014-2018</w:t>
      </w:r>
    </w:p>
    <w:p w:rsidR="00F11B34" w:rsidRPr="00F11B34" w:rsidRDefault="00F11B34" w:rsidP="00475BBF">
      <w:pPr>
        <w:jc w:val="center"/>
        <w:rPr>
          <w:rFonts w:ascii="Arial" w:hAnsi="Arial" w:cs="Arial"/>
          <w:b/>
        </w:rPr>
      </w:pPr>
      <w:r w:rsidRPr="00F11B34">
        <w:rPr>
          <w:rFonts w:ascii="Arial" w:hAnsi="Arial" w:cs="Arial"/>
          <w:sz w:val="20"/>
          <w:szCs w:val="20"/>
        </w:rPr>
        <w:t>(por cien mil habitantes</w:t>
      </w:r>
      <w:r>
        <w:rPr>
          <w:rFonts w:ascii="Arial" w:hAnsi="Arial" w:cs="Arial"/>
          <w:b/>
        </w:rPr>
        <w:t>)</w:t>
      </w:r>
    </w:p>
    <w:p w:rsidR="00475BBF" w:rsidRPr="00F11B34" w:rsidRDefault="00475BBF" w:rsidP="00475BBF">
      <w:pPr>
        <w:rPr>
          <w:rFonts w:ascii="Arial" w:hAnsi="Arial" w:cs="Arial"/>
          <w:b/>
          <w:color w:val="241F1F"/>
        </w:rPr>
      </w:pPr>
    </w:p>
    <w:p w:rsidR="00475BBF" w:rsidRDefault="00475BBF" w:rsidP="00475BBF">
      <w:pPr>
        <w:spacing w:line="360" w:lineRule="auto"/>
        <w:jc w:val="center"/>
        <w:rPr>
          <w:rFonts w:ascii="Arial" w:hAnsi="Arial" w:cs="Arial"/>
          <w:color w:val="241F1F"/>
        </w:rPr>
      </w:pPr>
      <w:r>
        <w:rPr>
          <w:noProof/>
          <w:lang w:val="es-CR" w:eastAsia="es-CR"/>
        </w:rPr>
        <w:drawing>
          <wp:inline distT="0" distB="0" distL="0" distR="0" wp14:anchorId="136B1E5A" wp14:editId="0F782FE0">
            <wp:extent cx="5238750" cy="2400300"/>
            <wp:effectExtent l="0" t="0" r="0" b="0"/>
            <wp:docPr id="86" name="Gráfico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475BBF" w:rsidRPr="00B839D1" w:rsidRDefault="00475BBF" w:rsidP="00475BBF">
      <w:pPr>
        <w:jc w:val="center"/>
        <w:rPr>
          <w:rFonts w:ascii="Arial" w:hAnsi="Arial" w:cs="Arial"/>
          <w:color w:val="000000"/>
          <w:sz w:val="20"/>
          <w:szCs w:val="20"/>
        </w:rPr>
      </w:pPr>
      <w:r w:rsidRPr="00F11B34">
        <w:rPr>
          <w:rFonts w:ascii="Arial" w:hAnsi="Arial" w:cs="Arial"/>
          <w:b/>
          <w:sz w:val="20"/>
        </w:rPr>
        <w:t>Fuente:</w:t>
      </w:r>
      <w:r w:rsidRPr="00B839D1">
        <w:rPr>
          <w:rFonts w:ascii="Arial" w:hAnsi="Arial" w:cs="Arial"/>
          <w:sz w:val="20"/>
        </w:rPr>
        <w:t xml:space="preserve"> </w:t>
      </w:r>
      <w:r w:rsidRPr="00B839D1">
        <w:rPr>
          <w:rFonts w:ascii="Arial" w:hAnsi="Arial" w:cs="Arial"/>
          <w:color w:val="000000"/>
          <w:sz w:val="20"/>
          <w:szCs w:val="20"/>
        </w:rPr>
        <w:t>Dirección Vigilancia de la Salud</w:t>
      </w:r>
      <w:r>
        <w:rPr>
          <w:rFonts w:ascii="Arial" w:hAnsi="Arial" w:cs="Arial"/>
          <w:color w:val="000000"/>
          <w:sz w:val="20"/>
          <w:szCs w:val="20"/>
        </w:rPr>
        <w:t xml:space="preserve">, </w:t>
      </w:r>
      <w:r w:rsidRPr="00B839D1">
        <w:rPr>
          <w:rFonts w:ascii="Arial" w:hAnsi="Arial" w:cs="Arial"/>
          <w:color w:val="000000"/>
          <w:sz w:val="20"/>
          <w:szCs w:val="20"/>
        </w:rPr>
        <w:t>Ministerio de Salud</w:t>
      </w:r>
      <w:r w:rsidR="00F11B34">
        <w:rPr>
          <w:rFonts w:ascii="Arial" w:hAnsi="Arial" w:cs="Arial"/>
          <w:color w:val="000000"/>
          <w:sz w:val="20"/>
          <w:szCs w:val="20"/>
        </w:rPr>
        <w:t>, 2019</w:t>
      </w:r>
      <w:r w:rsidRPr="00B839D1">
        <w:rPr>
          <w:rFonts w:ascii="Arial" w:hAnsi="Arial" w:cs="Arial"/>
          <w:color w:val="000000"/>
          <w:sz w:val="20"/>
          <w:szCs w:val="20"/>
        </w:rPr>
        <w:t>.</w:t>
      </w:r>
    </w:p>
    <w:p w:rsidR="00475BBF" w:rsidRDefault="00475BBF" w:rsidP="00475BBF">
      <w:pPr>
        <w:pStyle w:val="Default"/>
        <w:jc w:val="center"/>
        <w:rPr>
          <w:rFonts w:ascii="Times New Roman" w:hAnsi="Times New Roman" w:cs="Times New Roman"/>
          <w:sz w:val="20"/>
          <w:szCs w:val="20"/>
        </w:rPr>
      </w:pPr>
    </w:p>
    <w:p w:rsidR="00475BBF" w:rsidRDefault="00475BBF" w:rsidP="00475BBF">
      <w:pPr>
        <w:rPr>
          <w:rFonts w:ascii="Arial" w:hAnsi="Arial" w:cs="Arial"/>
          <w:color w:val="241F1F"/>
        </w:rPr>
      </w:pPr>
    </w:p>
    <w:p w:rsidR="00475BBF" w:rsidRDefault="00475BBF" w:rsidP="00475BBF">
      <w:pPr>
        <w:spacing w:line="276" w:lineRule="auto"/>
        <w:jc w:val="both"/>
        <w:rPr>
          <w:rFonts w:ascii="Arial" w:hAnsi="Arial" w:cs="Arial"/>
          <w:color w:val="241F1F"/>
        </w:rPr>
      </w:pPr>
      <w:r>
        <w:rPr>
          <w:rFonts w:ascii="Arial" w:hAnsi="Arial" w:cs="Arial"/>
          <w:color w:val="241F1F"/>
        </w:rPr>
        <w:t>En el 2018, en la etapa de la adolescencia se presentó la menor incidencia (</w:t>
      </w:r>
      <w:r w:rsidRPr="000E0CE2">
        <w:rPr>
          <w:rFonts w:ascii="Arial" w:hAnsi="Arial" w:cs="Arial"/>
          <w:color w:val="241F1F"/>
        </w:rPr>
        <w:t>3.442</w:t>
      </w:r>
      <w:r w:rsidRPr="00947350">
        <w:rPr>
          <w:rFonts w:ascii="Arial" w:hAnsi="Arial" w:cs="Arial"/>
          <w:color w:val="241F1F"/>
        </w:rPr>
        <w:t xml:space="preserve"> por cien mil habitantes</w:t>
      </w:r>
      <w:r>
        <w:rPr>
          <w:rFonts w:ascii="Arial" w:hAnsi="Arial" w:cs="Arial"/>
          <w:color w:val="241F1F"/>
        </w:rPr>
        <w:t>). En los adultos</w:t>
      </w:r>
      <w:r w:rsidR="00272E4E">
        <w:rPr>
          <w:rFonts w:ascii="Arial" w:hAnsi="Arial" w:cs="Arial"/>
          <w:color w:val="241F1F"/>
        </w:rPr>
        <w:t>,</w:t>
      </w:r>
      <w:r>
        <w:rPr>
          <w:rFonts w:ascii="Arial" w:hAnsi="Arial" w:cs="Arial"/>
          <w:color w:val="241F1F"/>
        </w:rPr>
        <w:t xml:space="preserve"> se notificaron las mayores incidencias (</w:t>
      </w:r>
      <w:r w:rsidRPr="000E0CE2">
        <w:rPr>
          <w:rFonts w:ascii="Arial" w:hAnsi="Arial" w:cs="Arial"/>
          <w:color w:val="241F1F"/>
        </w:rPr>
        <w:t>45.627</w:t>
      </w:r>
      <w:r>
        <w:rPr>
          <w:rFonts w:ascii="Arial" w:hAnsi="Arial" w:cs="Arial"/>
          <w:color w:val="241F1F"/>
        </w:rPr>
        <w:t xml:space="preserve">episodios diarreicos </w:t>
      </w:r>
      <w:r w:rsidRPr="00947350">
        <w:rPr>
          <w:rFonts w:ascii="Arial" w:hAnsi="Arial" w:cs="Arial"/>
          <w:color w:val="241F1F"/>
        </w:rPr>
        <w:t>por cien mil habitantes</w:t>
      </w:r>
      <w:r>
        <w:rPr>
          <w:rFonts w:ascii="Arial" w:hAnsi="Arial" w:cs="Arial"/>
          <w:color w:val="241F1F"/>
        </w:rPr>
        <w:t xml:space="preserve">), seguida de los </w:t>
      </w:r>
      <w:r w:rsidR="00272E4E">
        <w:rPr>
          <w:rFonts w:ascii="Arial" w:hAnsi="Arial" w:cs="Arial"/>
          <w:color w:val="241F1F"/>
        </w:rPr>
        <w:t>infantes</w:t>
      </w:r>
      <w:r>
        <w:rPr>
          <w:rFonts w:ascii="Arial" w:hAnsi="Arial" w:cs="Arial"/>
          <w:color w:val="241F1F"/>
        </w:rPr>
        <w:t xml:space="preserve">. La mayor variación relativa </w:t>
      </w:r>
      <w:r w:rsidR="00272E4E">
        <w:rPr>
          <w:rFonts w:ascii="Arial" w:hAnsi="Arial" w:cs="Arial"/>
          <w:color w:val="241F1F"/>
        </w:rPr>
        <w:t xml:space="preserve">en la tasa de incidencia de EDA entre el </w:t>
      </w:r>
      <w:r>
        <w:rPr>
          <w:rFonts w:ascii="Arial" w:hAnsi="Arial" w:cs="Arial"/>
          <w:color w:val="241F1F"/>
        </w:rPr>
        <w:t xml:space="preserve">2014 </w:t>
      </w:r>
      <w:r w:rsidR="00272E4E">
        <w:rPr>
          <w:rFonts w:ascii="Arial" w:hAnsi="Arial" w:cs="Arial"/>
          <w:color w:val="241F1F"/>
        </w:rPr>
        <w:t xml:space="preserve">y el </w:t>
      </w:r>
      <w:r>
        <w:rPr>
          <w:rFonts w:ascii="Arial" w:hAnsi="Arial" w:cs="Arial"/>
          <w:color w:val="241F1F"/>
        </w:rPr>
        <w:t>2018</w:t>
      </w:r>
      <w:r w:rsidR="00272E4E">
        <w:rPr>
          <w:rFonts w:ascii="Arial" w:hAnsi="Arial" w:cs="Arial"/>
          <w:color w:val="241F1F"/>
        </w:rPr>
        <w:t>,</w:t>
      </w:r>
      <w:r>
        <w:rPr>
          <w:rFonts w:ascii="Arial" w:hAnsi="Arial" w:cs="Arial"/>
          <w:color w:val="241F1F"/>
        </w:rPr>
        <w:t xml:space="preserve"> ocurrió en </w:t>
      </w:r>
      <w:r w:rsidR="00272E4E">
        <w:rPr>
          <w:rFonts w:ascii="Arial" w:hAnsi="Arial" w:cs="Arial"/>
          <w:color w:val="241F1F"/>
        </w:rPr>
        <w:t xml:space="preserve">el grupo de </w:t>
      </w:r>
      <w:r>
        <w:rPr>
          <w:rFonts w:ascii="Arial" w:hAnsi="Arial" w:cs="Arial"/>
          <w:color w:val="241F1F"/>
        </w:rPr>
        <w:t xml:space="preserve">adultos </w:t>
      </w:r>
      <w:r w:rsidR="00272E4E">
        <w:rPr>
          <w:rFonts w:ascii="Arial" w:hAnsi="Arial" w:cs="Arial"/>
          <w:color w:val="241F1F"/>
        </w:rPr>
        <w:t>mayores,</w:t>
      </w:r>
      <w:r>
        <w:rPr>
          <w:rFonts w:ascii="Arial" w:hAnsi="Arial" w:cs="Arial"/>
          <w:color w:val="241F1F"/>
        </w:rPr>
        <w:t xml:space="preserve"> </w:t>
      </w:r>
      <w:r w:rsidR="00272E4E">
        <w:rPr>
          <w:rFonts w:ascii="Arial" w:hAnsi="Arial" w:cs="Arial"/>
          <w:color w:val="241F1F"/>
        </w:rPr>
        <w:t xml:space="preserve">en el cual </w:t>
      </w:r>
      <w:r>
        <w:rPr>
          <w:rFonts w:ascii="Arial" w:hAnsi="Arial" w:cs="Arial"/>
          <w:color w:val="241F1F"/>
        </w:rPr>
        <w:t>disminuy</w:t>
      </w:r>
      <w:r w:rsidR="00272E4E">
        <w:rPr>
          <w:rFonts w:ascii="Arial" w:hAnsi="Arial" w:cs="Arial"/>
          <w:color w:val="241F1F"/>
        </w:rPr>
        <w:t xml:space="preserve">ó </w:t>
      </w:r>
      <w:r>
        <w:rPr>
          <w:rFonts w:ascii="Arial" w:hAnsi="Arial" w:cs="Arial"/>
          <w:color w:val="241F1F"/>
        </w:rPr>
        <w:t xml:space="preserve">un 33,3% y en la etapa de la infancia </w:t>
      </w:r>
      <w:r w:rsidR="00272E4E">
        <w:rPr>
          <w:rFonts w:ascii="Arial" w:hAnsi="Arial" w:cs="Arial"/>
          <w:color w:val="241F1F"/>
        </w:rPr>
        <w:t xml:space="preserve">un </w:t>
      </w:r>
      <w:r>
        <w:rPr>
          <w:rFonts w:ascii="Arial" w:hAnsi="Arial" w:cs="Arial"/>
          <w:color w:val="241F1F"/>
        </w:rPr>
        <w:t xml:space="preserve">17%.  </w:t>
      </w:r>
      <w:r w:rsidR="00272E4E">
        <w:rPr>
          <w:rFonts w:ascii="Arial" w:hAnsi="Arial" w:cs="Arial"/>
          <w:color w:val="241F1F"/>
        </w:rPr>
        <w:t>Cuadro 39.</w:t>
      </w:r>
    </w:p>
    <w:p w:rsidR="001106F5" w:rsidRDefault="001106F5" w:rsidP="00475BBF">
      <w:pPr>
        <w:spacing w:line="276" w:lineRule="auto"/>
        <w:jc w:val="both"/>
        <w:rPr>
          <w:rFonts w:ascii="Arial" w:hAnsi="Arial" w:cs="Arial"/>
          <w:color w:val="241F1F"/>
        </w:rPr>
      </w:pPr>
    </w:p>
    <w:p w:rsidR="001106F5" w:rsidRDefault="001106F5">
      <w:pPr>
        <w:spacing w:after="160" w:line="259" w:lineRule="auto"/>
        <w:rPr>
          <w:rFonts w:ascii="Arial" w:hAnsi="Arial" w:cs="Arial"/>
          <w:color w:val="241F1F"/>
        </w:rPr>
      </w:pPr>
      <w:r>
        <w:rPr>
          <w:rFonts w:ascii="Arial" w:hAnsi="Arial" w:cs="Arial"/>
          <w:color w:val="241F1F"/>
        </w:rPr>
        <w:br w:type="page"/>
      </w:r>
    </w:p>
    <w:p w:rsidR="009E51D7" w:rsidRDefault="009E51D7" w:rsidP="00475BBF">
      <w:pPr>
        <w:jc w:val="center"/>
        <w:rPr>
          <w:rFonts w:ascii="Arial" w:hAnsi="Arial" w:cs="Arial"/>
        </w:rPr>
      </w:pPr>
    </w:p>
    <w:p w:rsidR="00475BBF" w:rsidRPr="009E51D7" w:rsidRDefault="009E51D7" w:rsidP="009E51D7">
      <w:pPr>
        <w:jc w:val="center"/>
        <w:rPr>
          <w:rFonts w:ascii="Arial" w:hAnsi="Arial" w:cs="Arial"/>
          <w:b/>
        </w:rPr>
      </w:pPr>
      <w:r w:rsidRPr="009E51D7">
        <w:rPr>
          <w:rFonts w:ascii="Arial" w:hAnsi="Arial" w:cs="Arial"/>
          <w:b/>
        </w:rPr>
        <w:t>Cuadro 39</w:t>
      </w:r>
    </w:p>
    <w:p w:rsidR="00572E37" w:rsidRDefault="00475BBF" w:rsidP="009E51D7">
      <w:pPr>
        <w:jc w:val="center"/>
        <w:rPr>
          <w:rFonts w:ascii="Arial" w:hAnsi="Arial" w:cs="Arial"/>
          <w:b/>
        </w:rPr>
      </w:pPr>
      <w:r w:rsidRPr="009E51D7">
        <w:rPr>
          <w:rFonts w:ascii="Arial" w:hAnsi="Arial" w:cs="Arial"/>
          <w:b/>
        </w:rPr>
        <w:t>Costa Rica</w:t>
      </w:r>
      <w:r w:rsidR="00272E4E">
        <w:rPr>
          <w:rFonts w:ascii="Arial" w:hAnsi="Arial" w:cs="Arial"/>
          <w:b/>
        </w:rPr>
        <w:t>: Tasa de i</w:t>
      </w:r>
      <w:r w:rsidRPr="009E51D7">
        <w:rPr>
          <w:rFonts w:ascii="Arial" w:hAnsi="Arial" w:cs="Arial"/>
          <w:b/>
        </w:rPr>
        <w:t xml:space="preserve">ncidencia de casos de EDA según </w:t>
      </w:r>
    </w:p>
    <w:p w:rsidR="00475BBF" w:rsidRDefault="00475BBF" w:rsidP="009E51D7">
      <w:pPr>
        <w:jc w:val="center"/>
        <w:rPr>
          <w:rFonts w:ascii="Arial" w:hAnsi="Arial" w:cs="Arial"/>
          <w:b/>
        </w:rPr>
      </w:pPr>
      <w:r w:rsidRPr="009E51D7">
        <w:rPr>
          <w:rFonts w:ascii="Arial" w:hAnsi="Arial" w:cs="Arial"/>
          <w:b/>
        </w:rPr>
        <w:t>de ciclo de vida y año de notificación.</w:t>
      </w:r>
    </w:p>
    <w:p w:rsidR="00272E4E" w:rsidRPr="00272E4E" w:rsidRDefault="00272E4E" w:rsidP="009E51D7">
      <w:pPr>
        <w:jc w:val="center"/>
        <w:rPr>
          <w:rFonts w:ascii="Arial" w:hAnsi="Arial" w:cs="Arial"/>
          <w:sz w:val="20"/>
          <w:szCs w:val="20"/>
        </w:rPr>
      </w:pPr>
      <w:r w:rsidRPr="00272E4E">
        <w:rPr>
          <w:rFonts w:ascii="Arial" w:hAnsi="Arial" w:cs="Arial"/>
          <w:sz w:val="20"/>
          <w:szCs w:val="20"/>
        </w:rPr>
        <w:t>(por 100.000 habitantes)</w:t>
      </w:r>
    </w:p>
    <w:p w:rsidR="00475BBF" w:rsidRDefault="00475BBF" w:rsidP="00475BBF">
      <w:pPr>
        <w:rPr>
          <w:sz w:val="18"/>
        </w:rPr>
      </w:pPr>
    </w:p>
    <w:tbl>
      <w:tblPr>
        <w:tblStyle w:val="Tablanormal2"/>
        <w:tblW w:w="6694" w:type="dxa"/>
        <w:jc w:val="center"/>
        <w:tblLook w:val="04A0" w:firstRow="1" w:lastRow="0" w:firstColumn="1" w:lastColumn="0" w:noHBand="0" w:noVBand="1"/>
      </w:tblPr>
      <w:tblGrid>
        <w:gridCol w:w="2485"/>
        <w:gridCol w:w="2660"/>
        <w:gridCol w:w="1549"/>
      </w:tblGrid>
      <w:tr w:rsidR="00475BBF" w:rsidRPr="001106F5" w:rsidTr="001106F5">
        <w:trPr>
          <w:cnfStyle w:val="100000000000" w:firstRow="1" w:lastRow="0" w:firstColumn="0" w:lastColumn="0" w:oddVBand="0" w:evenVBand="0" w:oddHBand="0" w:evenHBand="0" w:firstRowFirstColumn="0" w:firstRowLastColumn="0" w:lastRowFirstColumn="0" w:lastRowLastColumn="0"/>
          <w:trHeight w:val="324"/>
          <w:jc w:val="center"/>
        </w:trPr>
        <w:tc>
          <w:tcPr>
            <w:cnfStyle w:val="001000000000" w:firstRow="0" w:lastRow="0" w:firstColumn="1" w:lastColumn="0" w:oddVBand="0" w:evenVBand="0" w:oddHBand="0" w:evenHBand="0" w:firstRowFirstColumn="0" w:firstRowLastColumn="0" w:lastRowFirstColumn="0" w:lastRowLastColumn="0"/>
            <w:tcW w:w="2485" w:type="dxa"/>
            <w:vMerge w:val="restart"/>
            <w:shd w:val="clear" w:color="auto" w:fill="D5DCE4" w:themeFill="text2" w:themeFillTint="33"/>
            <w:noWrap/>
            <w:hideMark/>
          </w:tcPr>
          <w:p w:rsidR="00475BBF" w:rsidRPr="001106F5" w:rsidRDefault="00475BBF" w:rsidP="00475BBF">
            <w:pPr>
              <w:rPr>
                <w:rFonts w:ascii="Arial" w:hAnsi="Arial" w:cs="Arial"/>
                <w:color w:val="000000"/>
                <w:sz w:val="20"/>
                <w:szCs w:val="20"/>
              </w:rPr>
            </w:pPr>
          </w:p>
          <w:p w:rsidR="00475BBF" w:rsidRPr="001106F5" w:rsidRDefault="00475BBF" w:rsidP="00475BBF">
            <w:pPr>
              <w:jc w:val="center"/>
              <w:rPr>
                <w:rFonts w:ascii="Arial" w:hAnsi="Arial" w:cs="Arial"/>
                <w:color w:val="000000"/>
                <w:sz w:val="20"/>
                <w:szCs w:val="20"/>
              </w:rPr>
            </w:pPr>
            <w:r w:rsidRPr="001106F5">
              <w:rPr>
                <w:rFonts w:ascii="Arial" w:hAnsi="Arial" w:cs="Arial"/>
                <w:color w:val="000000"/>
                <w:sz w:val="20"/>
                <w:szCs w:val="20"/>
              </w:rPr>
              <w:t>Ciclo de vida</w:t>
            </w:r>
          </w:p>
        </w:tc>
        <w:tc>
          <w:tcPr>
            <w:tcW w:w="4209" w:type="dxa"/>
            <w:gridSpan w:val="2"/>
            <w:shd w:val="clear" w:color="auto" w:fill="D5DCE4" w:themeFill="text2" w:themeFillTint="33"/>
            <w:noWrap/>
            <w:hideMark/>
          </w:tcPr>
          <w:p w:rsidR="00475BBF" w:rsidRPr="001106F5" w:rsidRDefault="00475BBF" w:rsidP="00475BB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 xml:space="preserve">Año de notificación </w:t>
            </w:r>
          </w:p>
        </w:tc>
      </w:tr>
      <w:tr w:rsidR="00475BBF" w:rsidRPr="001106F5" w:rsidTr="001106F5">
        <w:trPr>
          <w:cnfStyle w:val="000000100000" w:firstRow="0" w:lastRow="0" w:firstColumn="0" w:lastColumn="0" w:oddVBand="0" w:evenVBand="0" w:oddHBand="1" w:evenHBand="0" w:firstRowFirstColumn="0" w:firstRowLastColumn="0" w:lastRowFirstColumn="0" w:lastRowLastColumn="0"/>
          <w:trHeight w:val="324"/>
          <w:jc w:val="center"/>
        </w:trPr>
        <w:tc>
          <w:tcPr>
            <w:cnfStyle w:val="001000000000" w:firstRow="0" w:lastRow="0" w:firstColumn="1" w:lastColumn="0" w:oddVBand="0" w:evenVBand="0" w:oddHBand="0" w:evenHBand="0" w:firstRowFirstColumn="0" w:firstRowLastColumn="0" w:lastRowFirstColumn="0" w:lastRowLastColumn="0"/>
            <w:tcW w:w="2485" w:type="dxa"/>
            <w:vMerge/>
            <w:shd w:val="clear" w:color="auto" w:fill="D5DCE4" w:themeFill="text2" w:themeFillTint="33"/>
            <w:hideMark/>
          </w:tcPr>
          <w:p w:rsidR="00475BBF" w:rsidRPr="001106F5" w:rsidRDefault="00475BBF" w:rsidP="00475BBF">
            <w:pPr>
              <w:rPr>
                <w:rFonts w:ascii="Arial" w:hAnsi="Arial" w:cs="Arial"/>
                <w:color w:val="000000"/>
                <w:sz w:val="20"/>
                <w:szCs w:val="20"/>
              </w:rPr>
            </w:pPr>
          </w:p>
        </w:tc>
        <w:tc>
          <w:tcPr>
            <w:tcW w:w="2660" w:type="dxa"/>
            <w:shd w:val="clear" w:color="auto" w:fill="D5DCE4" w:themeFill="text2" w:themeFillTint="33"/>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0"/>
                <w:szCs w:val="20"/>
              </w:rPr>
            </w:pPr>
            <w:r w:rsidRPr="001106F5">
              <w:rPr>
                <w:rFonts w:ascii="Arial" w:hAnsi="Arial" w:cs="Arial"/>
                <w:b/>
                <w:bCs/>
                <w:color w:val="000000"/>
                <w:sz w:val="20"/>
                <w:szCs w:val="20"/>
              </w:rPr>
              <w:t>2014</w:t>
            </w:r>
          </w:p>
        </w:tc>
        <w:tc>
          <w:tcPr>
            <w:tcW w:w="1548" w:type="dxa"/>
            <w:shd w:val="clear" w:color="auto" w:fill="D5DCE4" w:themeFill="text2" w:themeFillTint="33"/>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0"/>
                <w:szCs w:val="20"/>
              </w:rPr>
            </w:pPr>
            <w:r w:rsidRPr="001106F5">
              <w:rPr>
                <w:rFonts w:ascii="Arial" w:hAnsi="Arial" w:cs="Arial"/>
                <w:b/>
                <w:bCs/>
                <w:color w:val="000000"/>
                <w:sz w:val="20"/>
                <w:szCs w:val="20"/>
              </w:rPr>
              <w:t>2018</w:t>
            </w:r>
          </w:p>
        </w:tc>
      </w:tr>
      <w:tr w:rsidR="00475BBF" w:rsidRPr="001106F5" w:rsidTr="001106F5">
        <w:trPr>
          <w:trHeight w:val="324"/>
          <w:jc w:val="center"/>
        </w:trPr>
        <w:tc>
          <w:tcPr>
            <w:cnfStyle w:val="001000000000" w:firstRow="0" w:lastRow="0" w:firstColumn="1" w:lastColumn="0" w:oddVBand="0" w:evenVBand="0" w:oddHBand="0" w:evenHBand="0" w:firstRowFirstColumn="0" w:firstRowLastColumn="0" w:lastRowFirstColumn="0" w:lastRowLastColumn="0"/>
            <w:tcW w:w="2485" w:type="dxa"/>
            <w:noWrap/>
            <w:hideMark/>
          </w:tcPr>
          <w:p w:rsidR="00475BBF" w:rsidRPr="001106F5" w:rsidRDefault="00475BBF" w:rsidP="00475BBF">
            <w:pPr>
              <w:rPr>
                <w:rFonts w:ascii="Arial" w:hAnsi="Arial" w:cs="Arial"/>
                <w:b w:val="0"/>
                <w:color w:val="000000"/>
                <w:sz w:val="20"/>
                <w:szCs w:val="20"/>
              </w:rPr>
            </w:pPr>
            <w:r w:rsidRPr="001106F5">
              <w:rPr>
                <w:rFonts w:ascii="Arial" w:hAnsi="Arial" w:cs="Arial"/>
                <w:b w:val="0"/>
                <w:color w:val="000000"/>
                <w:sz w:val="20"/>
                <w:szCs w:val="20"/>
              </w:rPr>
              <w:t>Infancia</w:t>
            </w:r>
          </w:p>
        </w:tc>
        <w:tc>
          <w:tcPr>
            <w:tcW w:w="2660" w:type="dxa"/>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15.977</w:t>
            </w:r>
          </w:p>
        </w:tc>
        <w:tc>
          <w:tcPr>
            <w:tcW w:w="1548" w:type="dxa"/>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13.651</w:t>
            </w:r>
          </w:p>
        </w:tc>
      </w:tr>
      <w:tr w:rsidR="00475BBF" w:rsidRPr="001106F5" w:rsidTr="001106F5">
        <w:trPr>
          <w:cnfStyle w:val="000000100000" w:firstRow="0" w:lastRow="0" w:firstColumn="0" w:lastColumn="0" w:oddVBand="0" w:evenVBand="0" w:oddHBand="1" w:evenHBand="0" w:firstRowFirstColumn="0" w:firstRowLastColumn="0" w:lastRowFirstColumn="0" w:lastRowLastColumn="0"/>
          <w:trHeight w:val="324"/>
          <w:jc w:val="center"/>
        </w:trPr>
        <w:tc>
          <w:tcPr>
            <w:cnfStyle w:val="001000000000" w:firstRow="0" w:lastRow="0" w:firstColumn="1" w:lastColumn="0" w:oddVBand="0" w:evenVBand="0" w:oddHBand="0" w:evenHBand="0" w:firstRowFirstColumn="0" w:firstRowLastColumn="0" w:lastRowFirstColumn="0" w:lastRowLastColumn="0"/>
            <w:tcW w:w="2485" w:type="dxa"/>
            <w:noWrap/>
            <w:hideMark/>
          </w:tcPr>
          <w:p w:rsidR="00475BBF" w:rsidRPr="001106F5" w:rsidRDefault="00475BBF" w:rsidP="00475BBF">
            <w:pPr>
              <w:rPr>
                <w:rFonts w:ascii="Arial" w:hAnsi="Arial" w:cs="Arial"/>
                <w:b w:val="0"/>
                <w:color w:val="000000"/>
                <w:sz w:val="20"/>
                <w:szCs w:val="20"/>
              </w:rPr>
            </w:pPr>
            <w:r w:rsidRPr="001106F5">
              <w:rPr>
                <w:rFonts w:ascii="Arial" w:hAnsi="Arial" w:cs="Arial"/>
                <w:b w:val="0"/>
                <w:color w:val="000000"/>
                <w:sz w:val="20"/>
                <w:szCs w:val="20"/>
              </w:rPr>
              <w:t>Niñez</w:t>
            </w:r>
          </w:p>
        </w:tc>
        <w:tc>
          <w:tcPr>
            <w:tcW w:w="2660" w:type="dxa"/>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10.742</w:t>
            </w:r>
          </w:p>
        </w:tc>
        <w:tc>
          <w:tcPr>
            <w:tcW w:w="1548" w:type="dxa"/>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8.810</w:t>
            </w:r>
          </w:p>
        </w:tc>
      </w:tr>
      <w:tr w:rsidR="00475BBF" w:rsidRPr="001106F5" w:rsidTr="001106F5">
        <w:trPr>
          <w:trHeight w:val="324"/>
          <w:jc w:val="center"/>
        </w:trPr>
        <w:tc>
          <w:tcPr>
            <w:cnfStyle w:val="001000000000" w:firstRow="0" w:lastRow="0" w:firstColumn="1" w:lastColumn="0" w:oddVBand="0" w:evenVBand="0" w:oddHBand="0" w:evenHBand="0" w:firstRowFirstColumn="0" w:firstRowLastColumn="0" w:lastRowFirstColumn="0" w:lastRowLastColumn="0"/>
            <w:tcW w:w="2485" w:type="dxa"/>
            <w:noWrap/>
            <w:hideMark/>
          </w:tcPr>
          <w:p w:rsidR="00475BBF" w:rsidRPr="001106F5" w:rsidRDefault="00475BBF" w:rsidP="00475BBF">
            <w:pPr>
              <w:rPr>
                <w:rFonts w:ascii="Arial" w:hAnsi="Arial" w:cs="Arial"/>
                <w:b w:val="0"/>
                <w:color w:val="000000"/>
                <w:sz w:val="20"/>
                <w:szCs w:val="20"/>
              </w:rPr>
            </w:pPr>
            <w:r w:rsidRPr="001106F5">
              <w:rPr>
                <w:rFonts w:ascii="Arial" w:hAnsi="Arial" w:cs="Arial"/>
                <w:b w:val="0"/>
                <w:color w:val="000000"/>
                <w:sz w:val="20"/>
                <w:szCs w:val="20"/>
              </w:rPr>
              <w:t>Adolescente</w:t>
            </w:r>
          </w:p>
        </w:tc>
        <w:tc>
          <w:tcPr>
            <w:tcW w:w="2660" w:type="dxa"/>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szCs w:val="20"/>
              </w:rPr>
            </w:pPr>
            <w:r w:rsidRPr="001106F5">
              <w:rPr>
                <w:rFonts w:ascii="Arial" w:hAnsi="Arial" w:cs="Arial"/>
                <w:bCs/>
                <w:color w:val="000000"/>
                <w:sz w:val="20"/>
                <w:szCs w:val="20"/>
              </w:rPr>
              <w:t>4.693</w:t>
            </w:r>
          </w:p>
        </w:tc>
        <w:tc>
          <w:tcPr>
            <w:tcW w:w="1548" w:type="dxa"/>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sz w:val="20"/>
                <w:szCs w:val="20"/>
              </w:rPr>
            </w:pPr>
            <w:r w:rsidRPr="001106F5">
              <w:rPr>
                <w:rFonts w:ascii="Arial" w:hAnsi="Arial" w:cs="Arial"/>
                <w:bCs/>
                <w:color w:val="000000"/>
                <w:sz w:val="20"/>
                <w:szCs w:val="20"/>
              </w:rPr>
              <w:t>3.442</w:t>
            </w:r>
          </w:p>
        </w:tc>
      </w:tr>
      <w:tr w:rsidR="00475BBF" w:rsidRPr="001106F5" w:rsidTr="001106F5">
        <w:trPr>
          <w:cnfStyle w:val="000000100000" w:firstRow="0" w:lastRow="0" w:firstColumn="0" w:lastColumn="0" w:oddVBand="0" w:evenVBand="0" w:oddHBand="1" w:evenHBand="0" w:firstRowFirstColumn="0" w:firstRowLastColumn="0" w:lastRowFirstColumn="0" w:lastRowLastColumn="0"/>
          <w:trHeight w:val="324"/>
          <w:jc w:val="center"/>
        </w:trPr>
        <w:tc>
          <w:tcPr>
            <w:cnfStyle w:val="001000000000" w:firstRow="0" w:lastRow="0" w:firstColumn="1" w:lastColumn="0" w:oddVBand="0" w:evenVBand="0" w:oddHBand="0" w:evenHBand="0" w:firstRowFirstColumn="0" w:firstRowLastColumn="0" w:lastRowFirstColumn="0" w:lastRowLastColumn="0"/>
            <w:tcW w:w="2485" w:type="dxa"/>
            <w:noWrap/>
            <w:hideMark/>
          </w:tcPr>
          <w:p w:rsidR="00475BBF" w:rsidRPr="001106F5" w:rsidRDefault="00475BBF" w:rsidP="00475BBF">
            <w:pPr>
              <w:rPr>
                <w:rFonts w:ascii="Arial" w:hAnsi="Arial" w:cs="Arial"/>
                <w:b w:val="0"/>
                <w:color w:val="000000"/>
                <w:sz w:val="20"/>
                <w:szCs w:val="20"/>
              </w:rPr>
            </w:pPr>
            <w:r w:rsidRPr="001106F5">
              <w:rPr>
                <w:rFonts w:ascii="Arial" w:hAnsi="Arial" w:cs="Arial"/>
                <w:b w:val="0"/>
                <w:color w:val="000000"/>
                <w:sz w:val="20"/>
                <w:szCs w:val="20"/>
              </w:rPr>
              <w:t>Adulto</w:t>
            </w:r>
          </w:p>
        </w:tc>
        <w:tc>
          <w:tcPr>
            <w:tcW w:w="2660" w:type="dxa"/>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55.333</w:t>
            </w:r>
          </w:p>
        </w:tc>
        <w:tc>
          <w:tcPr>
            <w:tcW w:w="1548" w:type="dxa"/>
            <w:noWrap/>
            <w:hideMark/>
          </w:tcPr>
          <w:p w:rsidR="00475BBF" w:rsidRPr="001106F5"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45.627</w:t>
            </w:r>
          </w:p>
        </w:tc>
      </w:tr>
      <w:tr w:rsidR="00475BBF" w:rsidRPr="001106F5" w:rsidTr="001106F5">
        <w:trPr>
          <w:trHeight w:val="324"/>
          <w:jc w:val="center"/>
        </w:trPr>
        <w:tc>
          <w:tcPr>
            <w:cnfStyle w:val="001000000000" w:firstRow="0" w:lastRow="0" w:firstColumn="1" w:lastColumn="0" w:oddVBand="0" w:evenVBand="0" w:oddHBand="0" w:evenHBand="0" w:firstRowFirstColumn="0" w:firstRowLastColumn="0" w:lastRowFirstColumn="0" w:lastRowLastColumn="0"/>
            <w:tcW w:w="2485" w:type="dxa"/>
            <w:noWrap/>
            <w:hideMark/>
          </w:tcPr>
          <w:p w:rsidR="00475BBF" w:rsidRPr="001106F5" w:rsidRDefault="00475BBF" w:rsidP="00475BBF">
            <w:pPr>
              <w:rPr>
                <w:rFonts w:ascii="Arial" w:hAnsi="Arial" w:cs="Arial"/>
                <w:b w:val="0"/>
                <w:color w:val="000000"/>
                <w:sz w:val="20"/>
                <w:szCs w:val="20"/>
              </w:rPr>
            </w:pPr>
            <w:r w:rsidRPr="001106F5">
              <w:rPr>
                <w:rFonts w:ascii="Arial" w:hAnsi="Arial" w:cs="Arial"/>
                <w:b w:val="0"/>
                <w:color w:val="000000"/>
                <w:sz w:val="20"/>
                <w:szCs w:val="20"/>
              </w:rPr>
              <w:t>Adulto mayor</w:t>
            </w:r>
          </w:p>
        </w:tc>
        <w:tc>
          <w:tcPr>
            <w:tcW w:w="2660" w:type="dxa"/>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7.096</w:t>
            </w:r>
          </w:p>
        </w:tc>
        <w:tc>
          <w:tcPr>
            <w:tcW w:w="1548" w:type="dxa"/>
            <w:noWrap/>
            <w:hideMark/>
          </w:tcPr>
          <w:p w:rsidR="00475BBF" w:rsidRPr="001106F5"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1106F5">
              <w:rPr>
                <w:rFonts w:ascii="Arial" w:hAnsi="Arial" w:cs="Arial"/>
                <w:color w:val="000000"/>
                <w:sz w:val="20"/>
                <w:szCs w:val="20"/>
              </w:rPr>
              <w:t>5.316</w:t>
            </w:r>
          </w:p>
        </w:tc>
      </w:tr>
    </w:tbl>
    <w:p w:rsidR="00475BBF" w:rsidRDefault="00475BBF" w:rsidP="00475BBF">
      <w:pPr>
        <w:spacing w:line="276" w:lineRule="auto"/>
        <w:rPr>
          <w:rFonts w:ascii="Arial" w:hAnsi="Arial" w:cs="Arial"/>
          <w:color w:val="241F1F"/>
        </w:rPr>
      </w:pPr>
    </w:p>
    <w:p w:rsidR="00475BBF" w:rsidRPr="009E51D7" w:rsidRDefault="00475BBF" w:rsidP="00475BBF">
      <w:pPr>
        <w:jc w:val="center"/>
        <w:rPr>
          <w:rFonts w:ascii="Arial" w:hAnsi="Arial" w:cs="Arial"/>
          <w:color w:val="000000"/>
          <w:sz w:val="18"/>
          <w:szCs w:val="18"/>
        </w:rPr>
      </w:pPr>
      <w:r w:rsidRPr="009E51D7">
        <w:rPr>
          <w:rFonts w:ascii="Arial" w:hAnsi="Arial" w:cs="Arial"/>
          <w:b/>
          <w:sz w:val="18"/>
          <w:szCs w:val="18"/>
        </w:rPr>
        <w:t>Fuente:</w:t>
      </w:r>
      <w:r w:rsidRPr="009E51D7">
        <w:rPr>
          <w:rFonts w:ascii="Arial" w:hAnsi="Arial" w:cs="Arial"/>
          <w:sz w:val="18"/>
          <w:szCs w:val="18"/>
        </w:rPr>
        <w:t xml:space="preserve"> </w:t>
      </w:r>
      <w:r w:rsidRPr="009E51D7">
        <w:rPr>
          <w:rFonts w:ascii="Arial" w:hAnsi="Arial" w:cs="Arial"/>
          <w:color w:val="000000"/>
          <w:sz w:val="18"/>
          <w:szCs w:val="18"/>
        </w:rPr>
        <w:t>Dirección Vigilancia de la Salud, Ministerio de Salud</w:t>
      </w:r>
      <w:r w:rsidR="009E51D7">
        <w:rPr>
          <w:rFonts w:ascii="Arial" w:hAnsi="Arial" w:cs="Arial"/>
          <w:color w:val="000000"/>
          <w:sz w:val="18"/>
          <w:szCs w:val="18"/>
        </w:rPr>
        <w:t>, 2019</w:t>
      </w:r>
      <w:r w:rsidRPr="009E51D7">
        <w:rPr>
          <w:rFonts w:ascii="Arial" w:hAnsi="Arial" w:cs="Arial"/>
          <w:color w:val="000000"/>
          <w:sz w:val="18"/>
          <w:szCs w:val="18"/>
        </w:rPr>
        <w:t>.</w:t>
      </w:r>
    </w:p>
    <w:p w:rsidR="00475BBF" w:rsidRDefault="00475BBF" w:rsidP="00475BBF">
      <w:pPr>
        <w:pStyle w:val="Default"/>
        <w:jc w:val="center"/>
        <w:rPr>
          <w:rFonts w:ascii="Times New Roman" w:hAnsi="Times New Roman" w:cs="Times New Roman"/>
          <w:sz w:val="20"/>
          <w:szCs w:val="20"/>
        </w:rPr>
      </w:pPr>
    </w:p>
    <w:p w:rsidR="00475BBF" w:rsidRDefault="00475BBF" w:rsidP="00475BBF">
      <w:pPr>
        <w:tabs>
          <w:tab w:val="left" w:pos="1778"/>
        </w:tabs>
        <w:spacing w:line="360" w:lineRule="auto"/>
        <w:rPr>
          <w:rFonts w:ascii="Arial" w:hAnsi="Arial" w:cs="Arial"/>
          <w:b/>
          <w:color w:val="241F1F"/>
        </w:rPr>
      </w:pPr>
    </w:p>
    <w:p w:rsidR="00475BBF" w:rsidRPr="00C943E9" w:rsidRDefault="00475BBF" w:rsidP="00F51325">
      <w:pPr>
        <w:spacing w:line="276" w:lineRule="auto"/>
        <w:jc w:val="both"/>
        <w:rPr>
          <w:rFonts w:ascii="Arial" w:hAnsi="Arial" w:cs="Arial"/>
          <w:color w:val="241F1F"/>
        </w:rPr>
      </w:pPr>
      <w:r>
        <w:rPr>
          <w:rFonts w:ascii="Arial" w:hAnsi="Arial" w:cs="Arial"/>
          <w:color w:val="241F1F"/>
        </w:rPr>
        <w:t xml:space="preserve">De 83 cantones, </w:t>
      </w:r>
      <w:r w:rsidRPr="00E53567">
        <w:rPr>
          <w:rFonts w:ascii="Arial" w:hAnsi="Arial" w:cs="Arial"/>
          <w:color w:val="241F1F"/>
        </w:rPr>
        <w:t>32 presenta</w:t>
      </w:r>
      <w:r>
        <w:rPr>
          <w:rFonts w:ascii="Arial" w:hAnsi="Arial" w:cs="Arial"/>
          <w:color w:val="241F1F"/>
        </w:rPr>
        <w:t>n</w:t>
      </w:r>
      <w:r w:rsidRPr="00E53567">
        <w:rPr>
          <w:rFonts w:ascii="Arial" w:hAnsi="Arial" w:cs="Arial"/>
          <w:color w:val="241F1F"/>
        </w:rPr>
        <w:t xml:space="preserve"> tasas de </w:t>
      </w:r>
      <w:r>
        <w:rPr>
          <w:rFonts w:ascii="Arial" w:hAnsi="Arial" w:cs="Arial"/>
          <w:color w:val="241F1F"/>
        </w:rPr>
        <w:t>incidencia</w:t>
      </w:r>
      <w:r w:rsidRPr="00E53567">
        <w:rPr>
          <w:rFonts w:ascii="Arial" w:hAnsi="Arial" w:cs="Arial"/>
          <w:color w:val="241F1F"/>
        </w:rPr>
        <w:t xml:space="preserve"> </w:t>
      </w:r>
      <w:r>
        <w:rPr>
          <w:rFonts w:ascii="Arial" w:hAnsi="Arial" w:cs="Arial"/>
          <w:color w:val="241F1F"/>
        </w:rPr>
        <w:t>mayores a la tasa nacional (5</w:t>
      </w:r>
      <w:r w:rsidR="00F51325">
        <w:rPr>
          <w:rFonts w:ascii="Arial" w:hAnsi="Arial" w:cs="Arial"/>
          <w:color w:val="241F1F"/>
        </w:rPr>
        <w:t>.</w:t>
      </w:r>
      <w:r>
        <w:rPr>
          <w:rFonts w:ascii="Arial" w:hAnsi="Arial" w:cs="Arial"/>
          <w:color w:val="241F1F"/>
        </w:rPr>
        <w:t>02</w:t>
      </w:r>
      <w:r w:rsidRPr="00E53567">
        <w:rPr>
          <w:rFonts w:ascii="Arial" w:hAnsi="Arial" w:cs="Arial"/>
          <w:color w:val="241F1F"/>
        </w:rPr>
        <w:t>9</w:t>
      </w:r>
      <w:r>
        <w:rPr>
          <w:rFonts w:ascii="Arial" w:hAnsi="Arial" w:cs="Arial"/>
          <w:color w:val="241F1F"/>
        </w:rPr>
        <w:t xml:space="preserve"> casos por cien mil habitantes</w:t>
      </w:r>
      <w:r w:rsidRPr="00E53567">
        <w:rPr>
          <w:rFonts w:ascii="Arial" w:hAnsi="Arial" w:cs="Arial"/>
          <w:color w:val="241F1F"/>
        </w:rPr>
        <w:t>)</w:t>
      </w:r>
      <w:r>
        <w:rPr>
          <w:rFonts w:ascii="Arial" w:hAnsi="Arial" w:cs="Arial"/>
          <w:color w:val="241F1F"/>
        </w:rPr>
        <w:t xml:space="preserve">. </w:t>
      </w:r>
      <w:r w:rsidRPr="00E53567">
        <w:rPr>
          <w:rFonts w:ascii="Arial" w:hAnsi="Arial" w:cs="Arial"/>
          <w:color w:val="241F1F"/>
        </w:rPr>
        <w:t xml:space="preserve"> </w:t>
      </w:r>
      <w:r>
        <w:rPr>
          <w:rFonts w:ascii="Arial" w:hAnsi="Arial" w:cs="Arial"/>
          <w:color w:val="241F1F"/>
        </w:rPr>
        <w:t xml:space="preserve">A continuación </w:t>
      </w:r>
      <w:r w:rsidR="00F51325">
        <w:rPr>
          <w:rFonts w:ascii="Arial" w:hAnsi="Arial" w:cs="Arial"/>
          <w:color w:val="241F1F"/>
        </w:rPr>
        <w:t xml:space="preserve">se presentan </w:t>
      </w:r>
      <w:r>
        <w:rPr>
          <w:rFonts w:ascii="Arial" w:hAnsi="Arial" w:cs="Arial"/>
          <w:color w:val="241F1F"/>
        </w:rPr>
        <w:t xml:space="preserve">los </w:t>
      </w:r>
      <w:r w:rsidR="00F51325">
        <w:rPr>
          <w:rFonts w:ascii="Arial" w:hAnsi="Arial" w:cs="Arial"/>
          <w:color w:val="241F1F"/>
        </w:rPr>
        <w:t>diez</w:t>
      </w:r>
      <w:r>
        <w:rPr>
          <w:rFonts w:ascii="Arial" w:hAnsi="Arial" w:cs="Arial"/>
          <w:color w:val="241F1F"/>
        </w:rPr>
        <w:t xml:space="preserve"> cantones </w:t>
      </w:r>
      <w:r w:rsidR="00F51325">
        <w:rPr>
          <w:rFonts w:ascii="Arial" w:hAnsi="Arial" w:cs="Arial"/>
          <w:color w:val="241F1F"/>
        </w:rPr>
        <w:t>con</w:t>
      </w:r>
      <w:r w:rsidR="00C943E9">
        <w:rPr>
          <w:rFonts w:ascii="Arial" w:hAnsi="Arial" w:cs="Arial"/>
          <w:color w:val="241F1F"/>
        </w:rPr>
        <w:t xml:space="preserve"> </w:t>
      </w:r>
      <w:r w:rsidR="00F51325">
        <w:rPr>
          <w:rFonts w:ascii="Arial" w:hAnsi="Arial" w:cs="Arial"/>
          <w:color w:val="241F1F"/>
        </w:rPr>
        <w:t>mayor</w:t>
      </w:r>
      <w:r w:rsidR="00C943E9">
        <w:rPr>
          <w:rFonts w:ascii="Arial" w:hAnsi="Arial" w:cs="Arial"/>
          <w:color w:val="241F1F"/>
        </w:rPr>
        <w:t xml:space="preserve"> </w:t>
      </w:r>
      <w:r w:rsidR="00F51325">
        <w:rPr>
          <w:rFonts w:ascii="Arial" w:hAnsi="Arial" w:cs="Arial"/>
          <w:color w:val="241F1F"/>
        </w:rPr>
        <w:t xml:space="preserve">número de casos, </w:t>
      </w:r>
      <w:r w:rsidRPr="00C943E9">
        <w:rPr>
          <w:rFonts w:ascii="Arial" w:hAnsi="Arial" w:cs="Arial"/>
          <w:color w:val="241F1F"/>
        </w:rPr>
        <w:t>el cant</w:t>
      </w:r>
      <w:r w:rsidR="00F51325" w:rsidRPr="00C943E9">
        <w:rPr>
          <w:rFonts w:ascii="Arial" w:hAnsi="Arial" w:cs="Arial"/>
          <w:color w:val="241F1F"/>
        </w:rPr>
        <w:t>ó</w:t>
      </w:r>
      <w:r w:rsidRPr="00C943E9">
        <w:rPr>
          <w:rFonts w:ascii="Arial" w:hAnsi="Arial" w:cs="Arial"/>
          <w:color w:val="241F1F"/>
        </w:rPr>
        <w:t xml:space="preserve">n de Goicoechea logró disminuir la incidencia de episodios diarreicos casi a la mitad. </w:t>
      </w:r>
    </w:p>
    <w:p w:rsidR="00475BBF" w:rsidRPr="00C943E9" w:rsidRDefault="00475BBF" w:rsidP="00475BBF">
      <w:pPr>
        <w:spacing w:line="276" w:lineRule="auto"/>
        <w:rPr>
          <w:rFonts w:ascii="Arial" w:hAnsi="Arial" w:cs="Arial"/>
          <w:color w:val="241F1F"/>
        </w:rPr>
      </w:pPr>
    </w:p>
    <w:p w:rsidR="00475BBF" w:rsidRPr="00C943E9" w:rsidRDefault="009E51D7" w:rsidP="00475BBF">
      <w:pPr>
        <w:spacing w:line="276" w:lineRule="auto"/>
        <w:jc w:val="center"/>
        <w:rPr>
          <w:rFonts w:ascii="Arial" w:hAnsi="Arial" w:cs="Arial"/>
          <w:b/>
          <w:color w:val="241F1F"/>
        </w:rPr>
      </w:pPr>
      <w:r w:rsidRPr="00C943E9">
        <w:rPr>
          <w:rFonts w:ascii="Arial" w:hAnsi="Arial" w:cs="Arial"/>
          <w:b/>
          <w:color w:val="241F1F"/>
        </w:rPr>
        <w:t>Cuadro 40</w:t>
      </w:r>
    </w:p>
    <w:p w:rsidR="00475BBF" w:rsidRDefault="00475BBF" w:rsidP="00475BBF">
      <w:pPr>
        <w:spacing w:line="276" w:lineRule="auto"/>
        <w:jc w:val="center"/>
        <w:rPr>
          <w:rFonts w:ascii="Arial" w:hAnsi="Arial" w:cs="Arial"/>
          <w:b/>
          <w:color w:val="241F1F"/>
        </w:rPr>
      </w:pPr>
      <w:r w:rsidRPr="00C943E9">
        <w:rPr>
          <w:rFonts w:ascii="Arial" w:hAnsi="Arial" w:cs="Arial"/>
          <w:b/>
          <w:color w:val="241F1F"/>
        </w:rPr>
        <w:t>Costa Rica</w:t>
      </w:r>
      <w:r w:rsidR="00C943E9">
        <w:rPr>
          <w:rFonts w:ascii="Arial" w:hAnsi="Arial" w:cs="Arial"/>
          <w:b/>
          <w:color w:val="241F1F"/>
        </w:rPr>
        <w:t>:</w:t>
      </w:r>
      <w:r w:rsidRPr="00C943E9">
        <w:rPr>
          <w:rFonts w:ascii="Arial" w:hAnsi="Arial" w:cs="Arial"/>
          <w:b/>
          <w:color w:val="241F1F"/>
        </w:rPr>
        <w:t xml:space="preserve"> </w:t>
      </w:r>
      <w:r w:rsidR="00C943E9">
        <w:rPr>
          <w:rFonts w:ascii="Arial" w:hAnsi="Arial" w:cs="Arial"/>
          <w:b/>
          <w:color w:val="241F1F"/>
        </w:rPr>
        <w:t>Tasa i</w:t>
      </w:r>
      <w:r w:rsidRPr="00C943E9">
        <w:rPr>
          <w:rFonts w:ascii="Arial" w:hAnsi="Arial" w:cs="Arial"/>
          <w:b/>
          <w:color w:val="241F1F"/>
        </w:rPr>
        <w:t xml:space="preserve">ncidencia de </w:t>
      </w:r>
      <w:r w:rsidR="00C943E9">
        <w:rPr>
          <w:rFonts w:ascii="Arial" w:hAnsi="Arial" w:cs="Arial"/>
          <w:b/>
          <w:color w:val="241F1F"/>
        </w:rPr>
        <w:t>EDA</w:t>
      </w:r>
      <w:r w:rsidRPr="00C943E9">
        <w:rPr>
          <w:rFonts w:ascii="Arial" w:hAnsi="Arial" w:cs="Arial"/>
          <w:b/>
          <w:color w:val="241F1F"/>
        </w:rPr>
        <w:t xml:space="preserve"> según provincia, 2014-2018.</w:t>
      </w:r>
    </w:p>
    <w:p w:rsidR="00C943E9" w:rsidRPr="009E51D7" w:rsidRDefault="00C943E9" w:rsidP="00C943E9">
      <w:pPr>
        <w:jc w:val="center"/>
        <w:rPr>
          <w:rFonts w:ascii="Arial" w:hAnsi="Arial" w:cs="Arial"/>
          <w:b/>
          <w:color w:val="241F1F"/>
        </w:rPr>
      </w:pPr>
      <w:r w:rsidRPr="00272E4E">
        <w:rPr>
          <w:rFonts w:ascii="Arial" w:hAnsi="Arial" w:cs="Arial"/>
          <w:sz w:val="20"/>
          <w:szCs w:val="20"/>
        </w:rPr>
        <w:t>(por 100.000 habitantes)</w:t>
      </w:r>
    </w:p>
    <w:p w:rsidR="00475BBF" w:rsidRDefault="00475BBF" w:rsidP="00475BBF">
      <w:pPr>
        <w:rPr>
          <w:rFonts w:ascii="Arial" w:hAnsi="Arial" w:cs="Arial"/>
          <w:color w:val="241F1F"/>
        </w:rPr>
      </w:pPr>
    </w:p>
    <w:tbl>
      <w:tblPr>
        <w:tblStyle w:val="Tablanormal2"/>
        <w:tblW w:w="8396" w:type="dxa"/>
        <w:jc w:val="center"/>
        <w:tblLook w:val="04A0" w:firstRow="1" w:lastRow="0" w:firstColumn="1" w:lastColumn="0" w:noHBand="0" w:noVBand="1"/>
      </w:tblPr>
      <w:tblGrid>
        <w:gridCol w:w="1894"/>
        <w:gridCol w:w="1449"/>
        <w:gridCol w:w="1418"/>
        <w:gridCol w:w="1151"/>
        <w:gridCol w:w="1093"/>
        <w:gridCol w:w="1391"/>
      </w:tblGrid>
      <w:tr w:rsidR="00C943E9" w:rsidRPr="00572E37" w:rsidTr="00C943E9">
        <w:trPr>
          <w:cnfStyle w:val="100000000000" w:firstRow="1" w:lastRow="0" w:firstColumn="0" w:lastColumn="0" w:oddVBand="0" w:evenVBand="0" w:oddHBand="0"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1894" w:type="dxa"/>
            <w:vMerge w:val="restart"/>
            <w:shd w:val="clear" w:color="auto" w:fill="DEEAF6" w:themeFill="accent1" w:themeFillTint="33"/>
            <w:noWrap/>
            <w:hideMark/>
          </w:tcPr>
          <w:p w:rsidR="00C943E9" w:rsidRPr="00572E37" w:rsidRDefault="00C943E9" w:rsidP="00475BBF">
            <w:pPr>
              <w:jc w:val="center"/>
              <w:rPr>
                <w:rFonts w:ascii="Arial" w:hAnsi="Arial" w:cs="Arial"/>
                <w:bCs w:val="0"/>
                <w:color w:val="000000"/>
                <w:sz w:val="20"/>
                <w:szCs w:val="20"/>
              </w:rPr>
            </w:pPr>
          </w:p>
          <w:p w:rsidR="00C943E9" w:rsidRPr="00572E37" w:rsidRDefault="00C943E9" w:rsidP="00475BBF">
            <w:pPr>
              <w:jc w:val="center"/>
              <w:rPr>
                <w:rFonts w:ascii="Arial" w:hAnsi="Arial" w:cs="Arial"/>
                <w:color w:val="000000"/>
                <w:sz w:val="20"/>
                <w:szCs w:val="20"/>
              </w:rPr>
            </w:pPr>
            <w:r w:rsidRPr="00572E37">
              <w:rPr>
                <w:rFonts w:ascii="Arial" w:hAnsi="Arial" w:cs="Arial"/>
                <w:bCs w:val="0"/>
                <w:color w:val="000000"/>
                <w:sz w:val="20"/>
                <w:szCs w:val="20"/>
              </w:rPr>
              <w:t>Cantón</w:t>
            </w:r>
            <w:r w:rsidRPr="00572E37">
              <w:rPr>
                <w:rFonts w:ascii="Arial" w:hAnsi="Arial" w:cs="Arial"/>
                <w:color w:val="000000"/>
                <w:sz w:val="20"/>
                <w:szCs w:val="20"/>
              </w:rPr>
              <w:t xml:space="preserve"> </w:t>
            </w:r>
          </w:p>
        </w:tc>
        <w:tc>
          <w:tcPr>
            <w:tcW w:w="6502" w:type="dxa"/>
            <w:gridSpan w:val="5"/>
            <w:shd w:val="clear" w:color="auto" w:fill="DEEAF6" w:themeFill="accent1" w:themeFillTint="33"/>
            <w:noWrap/>
            <w:hideMark/>
          </w:tcPr>
          <w:p w:rsidR="00C943E9" w:rsidRPr="00572E37" w:rsidRDefault="00C943E9" w:rsidP="00475BB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 xml:space="preserve">Año de </w:t>
            </w:r>
            <w:r w:rsidRPr="00572E37">
              <w:rPr>
                <w:rFonts w:ascii="Arial" w:hAnsi="Arial" w:cs="Arial"/>
                <w:bCs w:val="0"/>
                <w:color w:val="000000"/>
                <w:sz w:val="20"/>
                <w:szCs w:val="20"/>
              </w:rPr>
              <w:t>notificación</w:t>
            </w:r>
            <w:r w:rsidRPr="00572E37">
              <w:rPr>
                <w:rFonts w:ascii="Arial" w:hAnsi="Arial" w:cs="Arial"/>
                <w:color w:val="000000"/>
                <w:sz w:val="20"/>
                <w:szCs w:val="20"/>
              </w:rPr>
              <w:t xml:space="preserve"> </w:t>
            </w:r>
          </w:p>
        </w:tc>
      </w:tr>
      <w:tr w:rsidR="00C943E9" w:rsidRPr="00572E37" w:rsidTr="00C943E9">
        <w:trPr>
          <w:cnfStyle w:val="000000100000" w:firstRow="0" w:lastRow="0" w:firstColumn="0" w:lastColumn="0" w:oddVBand="0" w:evenVBand="0" w:oddHBand="1" w:evenHBand="0" w:firstRowFirstColumn="0" w:firstRowLastColumn="0" w:lastRowFirstColumn="0" w:lastRowLastColumn="0"/>
          <w:trHeight w:val="155"/>
          <w:jc w:val="center"/>
        </w:trPr>
        <w:tc>
          <w:tcPr>
            <w:cnfStyle w:val="001000000000" w:firstRow="0" w:lastRow="0" w:firstColumn="1" w:lastColumn="0" w:oddVBand="0" w:evenVBand="0" w:oddHBand="0" w:evenHBand="0" w:firstRowFirstColumn="0" w:firstRowLastColumn="0" w:lastRowFirstColumn="0" w:lastRowLastColumn="0"/>
            <w:tcW w:w="1894" w:type="dxa"/>
            <w:vMerge/>
            <w:shd w:val="clear" w:color="auto" w:fill="DEEAF6" w:themeFill="accent1" w:themeFillTint="33"/>
            <w:hideMark/>
          </w:tcPr>
          <w:p w:rsidR="00C943E9" w:rsidRPr="00572E37" w:rsidRDefault="00C943E9" w:rsidP="00475BBF">
            <w:pPr>
              <w:rPr>
                <w:rFonts w:ascii="Arial" w:hAnsi="Arial" w:cs="Arial"/>
                <w:bCs w:val="0"/>
                <w:color w:val="000000"/>
                <w:sz w:val="20"/>
                <w:szCs w:val="20"/>
              </w:rPr>
            </w:pPr>
          </w:p>
        </w:tc>
        <w:tc>
          <w:tcPr>
            <w:tcW w:w="1449" w:type="dxa"/>
            <w:shd w:val="clear" w:color="auto" w:fill="DEEAF6" w:themeFill="accent1" w:themeFillTint="33"/>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0"/>
                <w:szCs w:val="20"/>
              </w:rPr>
            </w:pPr>
            <w:r w:rsidRPr="00572E37">
              <w:rPr>
                <w:rFonts w:ascii="Arial" w:hAnsi="Arial" w:cs="Arial"/>
                <w:b/>
                <w:bCs/>
                <w:color w:val="000000"/>
                <w:sz w:val="20"/>
                <w:szCs w:val="20"/>
              </w:rPr>
              <w:t>2014</w:t>
            </w:r>
          </w:p>
        </w:tc>
        <w:tc>
          <w:tcPr>
            <w:tcW w:w="1418" w:type="dxa"/>
            <w:shd w:val="clear" w:color="auto" w:fill="DEEAF6" w:themeFill="accent1" w:themeFillTint="33"/>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0"/>
                <w:szCs w:val="20"/>
              </w:rPr>
            </w:pPr>
            <w:r w:rsidRPr="00572E37">
              <w:rPr>
                <w:rFonts w:ascii="Arial" w:hAnsi="Arial" w:cs="Arial"/>
                <w:b/>
                <w:bCs/>
                <w:color w:val="000000"/>
                <w:sz w:val="20"/>
                <w:szCs w:val="20"/>
              </w:rPr>
              <w:t>2015</w:t>
            </w:r>
          </w:p>
        </w:tc>
        <w:tc>
          <w:tcPr>
            <w:tcW w:w="1151" w:type="dxa"/>
            <w:shd w:val="clear" w:color="auto" w:fill="DEEAF6" w:themeFill="accent1" w:themeFillTint="33"/>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0"/>
                <w:szCs w:val="20"/>
              </w:rPr>
            </w:pPr>
            <w:r w:rsidRPr="00572E37">
              <w:rPr>
                <w:rFonts w:ascii="Arial" w:hAnsi="Arial" w:cs="Arial"/>
                <w:b/>
                <w:bCs/>
                <w:color w:val="000000"/>
                <w:sz w:val="20"/>
                <w:szCs w:val="20"/>
              </w:rPr>
              <w:t>2016</w:t>
            </w:r>
          </w:p>
        </w:tc>
        <w:tc>
          <w:tcPr>
            <w:tcW w:w="1093" w:type="dxa"/>
            <w:shd w:val="clear" w:color="auto" w:fill="DEEAF6" w:themeFill="accent1" w:themeFillTint="33"/>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0"/>
                <w:szCs w:val="20"/>
              </w:rPr>
            </w:pPr>
            <w:r w:rsidRPr="00572E37">
              <w:rPr>
                <w:rFonts w:ascii="Arial" w:hAnsi="Arial" w:cs="Arial"/>
                <w:b/>
                <w:bCs/>
                <w:color w:val="000000"/>
                <w:sz w:val="20"/>
                <w:szCs w:val="20"/>
              </w:rPr>
              <w:t>2017</w:t>
            </w:r>
          </w:p>
        </w:tc>
        <w:tc>
          <w:tcPr>
            <w:tcW w:w="1391" w:type="dxa"/>
            <w:shd w:val="clear" w:color="auto" w:fill="DEEAF6" w:themeFill="accent1" w:themeFillTint="33"/>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0"/>
                <w:szCs w:val="20"/>
              </w:rPr>
            </w:pPr>
            <w:r w:rsidRPr="00572E37">
              <w:rPr>
                <w:rFonts w:ascii="Arial" w:hAnsi="Arial" w:cs="Arial"/>
                <w:b/>
                <w:bCs/>
                <w:color w:val="000000"/>
                <w:sz w:val="20"/>
                <w:szCs w:val="20"/>
              </w:rPr>
              <w:t>2018</w:t>
            </w:r>
          </w:p>
        </w:tc>
      </w:tr>
      <w:tr w:rsidR="00C943E9" w:rsidRPr="00572E37" w:rsidTr="00C943E9">
        <w:trPr>
          <w:trHeight w:val="372"/>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San José</w:t>
            </w:r>
          </w:p>
        </w:tc>
        <w:tc>
          <w:tcPr>
            <w:tcW w:w="1449"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8.962,6</w:t>
            </w:r>
          </w:p>
        </w:tc>
        <w:tc>
          <w:tcPr>
            <w:tcW w:w="1418"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8.068,0</w:t>
            </w:r>
          </w:p>
        </w:tc>
        <w:tc>
          <w:tcPr>
            <w:tcW w:w="115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7.478,9</w:t>
            </w:r>
          </w:p>
        </w:tc>
        <w:tc>
          <w:tcPr>
            <w:tcW w:w="1093"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5.833,7</w:t>
            </w:r>
          </w:p>
        </w:tc>
        <w:tc>
          <w:tcPr>
            <w:tcW w:w="139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5.604,5</w:t>
            </w:r>
          </w:p>
        </w:tc>
      </w:tr>
      <w:tr w:rsidR="00C943E9" w:rsidRPr="00572E37" w:rsidTr="00C943E9">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Escazú</w:t>
            </w:r>
          </w:p>
        </w:tc>
        <w:tc>
          <w:tcPr>
            <w:tcW w:w="1449"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7.088,4</w:t>
            </w:r>
          </w:p>
        </w:tc>
        <w:tc>
          <w:tcPr>
            <w:tcW w:w="1418"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6.059,8</w:t>
            </w:r>
          </w:p>
        </w:tc>
        <w:tc>
          <w:tcPr>
            <w:tcW w:w="115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6.327,0</w:t>
            </w:r>
          </w:p>
        </w:tc>
        <w:tc>
          <w:tcPr>
            <w:tcW w:w="1093"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5.241,7</w:t>
            </w:r>
          </w:p>
        </w:tc>
        <w:tc>
          <w:tcPr>
            <w:tcW w:w="139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5.318,1</w:t>
            </w:r>
          </w:p>
        </w:tc>
      </w:tr>
      <w:tr w:rsidR="00C943E9" w:rsidRPr="00572E37" w:rsidTr="00C943E9">
        <w:trPr>
          <w:trHeight w:val="454"/>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Desamparados</w:t>
            </w:r>
          </w:p>
        </w:tc>
        <w:tc>
          <w:tcPr>
            <w:tcW w:w="1449"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7.897,0</w:t>
            </w:r>
          </w:p>
        </w:tc>
        <w:tc>
          <w:tcPr>
            <w:tcW w:w="1418"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6.844,8</w:t>
            </w:r>
          </w:p>
        </w:tc>
        <w:tc>
          <w:tcPr>
            <w:tcW w:w="115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6.784,0</w:t>
            </w:r>
          </w:p>
        </w:tc>
        <w:tc>
          <w:tcPr>
            <w:tcW w:w="1093"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5.576,7</w:t>
            </w:r>
          </w:p>
        </w:tc>
        <w:tc>
          <w:tcPr>
            <w:tcW w:w="139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5.038,8</w:t>
            </w:r>
          </w:p>
        </w:tc>
      </w:tr>
      <w:tr w:rsidR="00C943E9" w:rsidRPr="00572E37" w:rsidTr="00C943E9">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Tarrazú</w:t>
            </w:r>
          </w:p>
        </w:tc>
        <w:tc>
          <w:tcPr>
            <w:tcW w:w="1449"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7.185,0</w:t>
            </w:r>
          </w:p>
        </w:tc>
        <w:tc>
          <w:tcPr>
            <w:tcW w:w="1418"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6.045,1</w:t>
            </w:r>
          </w:p>
        </w:tc>
        <w:tc>
          <w:tcPr>
            <w:tcW w:w="115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6.904,8</w:t>
            </w:r>
          </w:p>
        </w:tc>
        <w:tc>
          <w:tcPr>
            <w:tcW w:w="1093"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5.601,6</w:t>
            </w:r>
          </w:p>
        </w:tc>
        <w:tc>
          <w:tcPr>
            <w:tcW w:w="139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5.332,9</w:t>
            </w:r>
          </w:p>
        </w:tc>
      </w:tr>
      <w:tr w:rsidR="00C943E9" w:rsidRPr="00572E37" w:rsidTr="00C943E9">
        <w:trPr>
          <w:trHeight w:val="423"/>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Aserrí</w:t>
            </w:r>
          </w:p>
        </w:tc>
        <w:tc>
          <w:tcPr>
            <w:tcW w:w="1449"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6.176,6</w:t>
            </w:r>
          </w:p>
        </w:tc>
        <w:tc>
          <w:tcPr>
            <w:tcW w:w="1418"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5.383,6</w:t>
            </w:r>
          </w:p>
        </w:tc>
        <w:tc>
          <w:tcPr>
            <w:tcW w:w="115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5.859,3</w:t>
            </w:r>
          </w:p>
        </w:tc>
        <w:tc>
          <w:tcPr>
            <w:tcW w:w="1093"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5.406,1</w:t>
            </w:r>
          </w:p>
        </w:tc>
        <w:tc>
          <w:tcPr>
            <w:tcW w:w="139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6.695,3</w:t>
            </w:r>
          </w:p>
        </w:tc>
      </w:tr>
      <w:tr w:rsidR="00C943E9" w:rsidRPr="00572E37" w:rsidTr="00C943E9">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Goicoechea</w:t>
            </w:r>
          </w:p>
        </w:tc>
        <w:tc>
          <w:tcPr>
            <w:tcW w:w="1449"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11.338,6</w:t>
            </w:r>
          </w:p>
        </w:tc>
        <w:tc>
          <w:tcPr>
            <w:tcW w:w="1418"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8.474,4</w:t>
            </w:r>
          </w:p>
        </w:tc>
        <w:tc>
          <w:tcPr>
            <w:tcW w:w="115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8.382,2</w:t>
            </w:r>
          </w:p>
        </w:tc>
        <w:tc>
          <w:tcPr>
            <w:tcW w:w="1093"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7.212,9</w:t>
            </w:r>
          </w:p>
        </w:tc>
        <w:tc>
          <w:tcPr>
            <w:tcW w:w="139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5.850,3</w:t>
            </w:r>
          </w:p>
        </w:tc>
      </w:tr>
      <w:tr w:rsidR="00C943E9" w:rsidRPr="00572E37" w:rsidTr="00C943E9">
        <w:trPr>
          <w:trHeight w:val="408"/>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Santa Ana</w:t>
            </w:r>
          </w:p>
        </w:tc>
        <w:tc>
          <w:tcPr>
            <w:tcW w:w="1449"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6.549,1</w:t>
            </w:r>
          </w:p>
        </w:tc>
        <w:tc>
          <w:tcPr>
            <w:tcW w:w="1418"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6.275,4</w:t>
            </w:r>
          </w:p>
        </w:tc>
        <w:tc>
          <w:tcPr>
            <w:tcW w:w="115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6.073,8</w:t>
            </w:r>
          </w:p>
        </w:tc>
        <w:tc>
          <w:tcPr>
            <w:tcW w:w="1093"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6.071,3</w:t>
            </w:r>
          </w:p>
        </w:tc>
        <w:tc>
          <w:tcPr>
            <w:tcW w:w="139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5.347,3</w:t>
            </w:r>
          </w:p>
        </w:tc>
      </w:tr>
      <w:tr w:rsidR="00C943E9" w:rsidRPr="00572E37" w:rsidTr="00C943E9">
        <w:trPr>
          <w:cnfStyle w:val="000000100000" w:firstRow="0" w:lastRow="0" w:firstColumn="0" w:lastColumn="0" w:oddVBand="0" w:evenVBand="0" w:oddHBand="1" w:evenHBand="0" w:firstRowFirstColumn="0" w:firstRowLastColumn="0" w:lastRowFirstColumn="0" w:lastRowLastColumn="0"/>
          <w:trHeight w:val="428"/>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Coronado</w:t>
            </w:r>
          </w:p>
        </w:tc>
        <w:tc>
          <w:tcPr>
            <w:tcW w:w="1449"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14.276,4</w:t>
            </w:r>
          </w:p>
        </w:tc>
        <w:tc>
          <w:tcPr>
            <w:tcW w:w="1418"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11.897,8</w:t>
            </w:r>
          </w:p>
        </w:tc>
        <w:tc>
          <w:tcPr>
            <w:tcW w:w="115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11.509,6</w:t>
            </w:r>
          </w:p>
        </w:tc>
        <w:tc>
          <w:tcPr>
            <w:tcW w:w="1093"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8.561,2</w:t>
            </w:r>
          </w:p>
        </w:tc>
        <w:tc>
          <w:tcPr>
            <w:tcW w:w="139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7.769,7</w:t>
            </w:r>
          </w:p>
        </w:tc>
      </w:tr>
      <w:tr w:rsidR="00C943E9" w:rsidRPr="00572E37" w:rsidTr="00C943E9">
        <w:trPr>
          <w:trHeight w:val="406"/>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León Cortés</w:t>
            </w:r>
          </w:p>
        </w:tc>
        <w:tc>
          <w:tcPr>
            <w:tcW w:w="1449"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6.855,2</w:t>
            </w:r>
          </w:p>
        </w:tc>
        <w:tc>
          <w:tcPr>
            <w:tcW w:w="1418"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6.317,1</w:t>
            </w:r>
          </w:p>
        </w:tc>
        <w:tc>
          <w:tcPr>
            <w:tcW w:w="115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65.19,1</w:t>
            </w:r>
          </w:p>
        </w:tc>
        <w:tc>
          <w:tcPr>
            <w:tcW w:w="1093"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5.322,7</w:t>
            </w:r>
          </w:p>
        </w:tc>
        <w:tc>
          <w:tcPr>
            <w:tcW w:w="1391" w:type="dxa"/>
            <w:noWrap/>
            <w:hideMark/>
          </w:tcPr>
          <w:p w:rsidR="00C943E9" w:rsidRPr="00572E37" w:rsidRDefault="00C943E9"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5.536,2</w:t>
            </w:r>
          </w:p>
        </w:tc>
      </w:tr>
      <w:tr w:rsidR="00C943E9" w:rsidRPr="00572E37" w:rsidTr="00C943E9">
        <w:trPr>
          <w:cnfStyle w:val="000000100000" w:firstRow="0" w:lastRow="0" w:firstColumn="0" w:lastColumn="0" w:oddVBand="0" w:evenVBand="0" w:oddHBand="1" w:evenHBand="0"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1894" w:type="dxa"/>
            <w:noWrap/>
            <w:hideMark/>
          </w:tcPr>
          <w:p w:rsidR="00C943E9" w:rsidRPr="00572E37" w:rsidRDefault="00C943E9" w:rsidP="00475BBF">
            <w:pPr>
              <w:rPr>
                <w:rFonts w:ascii="Arial" w:hAnsi="Arial" w:cs="Arial"/>
                <w:color w:val="000000"/>
                <w:sz w:val="20"/>
                <w:szCs w:val="20"/>
              </w:rPr>
            </w:pPr>
            <w:r w:rsidRPr="00572E37">
              <w:rPr>
                <w:rFonts w:ascii="Arial" w:hAnsi="Arial" w:cs="Arial"/>
                <w:color w:val="000000"/>
                <w:sz w:val="20"/>
                <w:szCs w:val="20"/>
              </w:rPr>
              <w:t>Atenas</w:t>
            </w:r>
          </w:p>
        </w:tc>
        <w:tc>
          <w:tcPr>
            <w:tcW w:w="1449"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10.808,3</w:t>
            </w:r>
          </w:p>
        </w:tc>
        <w:tc>
          <w:tcPr>
            <w:tcW w:w="1418"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9.446,7</w:t>
            </w:r>
          </w:p>
        </w:tc>
        <w:tc>
          <w:tcPr>
            <w:tcW w:w="115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9.472,8</w:t>
            </w:r>
          </w:p>
        </w:tc>
        <w:tc>
          <w:tcPr>
            <w:tcW w:w="1093"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9.653,8</w:t>
            </w:r>
          </w:p>
        </w:tc>
        <w:tc>
          <w:tcPr>
            <w:tcW w:w="1391" w:type="dxa"/>
            <w:noWrap/>
            <w:hideMark/>
          </w:tcPr>
          <w:p w:rsidR="00C943E9" w:rsidRPr="00572E37" w:rsidRDefault="00C943E9"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72E37">
              <w:rPr>
                <w:rFonts w:ascii="Arial" w:hAnsi="Arial" w:cs="Arial"/>
                <w:color w:val="000000"/>
                <w:sz w:val="20"/>
                <w:szCs w:val="20"/>
              </w:rPr>
              <w:t>7.941,7</w:t>
            </w:r>
          </w:p>
        </w:tc>
      </w:tr>
    </w:tbl>
    <w:p w:rsidR="00475BBF" w:rsidRDefault="00475BBF" w:rsidP="00F51325">
      <w:pPr>
        <w:jc w:val="right"/>
        <w:rPr>
          <w:rFonts w:ascii="Arial" w:hAnsi="Arial" w:cs="Arial"/>
          <w:color w:val="000000"/>
          <w:sz w:val="20"/>
          <w:szCs w:val="20"/>
        </w:rPr>
      </w:pPr>
      <w:r w:rsidRPr="009E51D7">
        <w:rPr>
          <w:rFonts w:ascii="Arial" w:hAnsi="Arial" w:cs="Arial"/>
          <w:b/>
          <w:color w:val="000000"/>
          <w:sz w:val="20"/>
          <w:szCs w:val="20"/>
        </w:rPr>
        <w:t>Fuente:</w:t>
      </w:r>
      <w:r w:rsidRPr="007C481C">
        <w:rPr>
          <w:rFonts w:ascii="Arial" w:hAnsi="Arial" w:cs="Arial"/>
          <w:color w:val="000000"/>
          <w:sz w:val="20"/>
          <w:szCs w:val="20"/>
        </w:rPr>
        <w:t xml:space="preserve"> Dirección Vigilancia de la Salud</w:t>
      </w:r>
      <w:r>
        <w:rPr>
          <w:rFonts w:ascii="Arial" w:hAnsi="Arial" w:cs="Arial"/>
          <w:color w:val="000000"/>
          <w:sz w:val="20"/>
          <w:szCs w:val="20"/>
        </w:rPr>
        <w:t>,</w:t>
      </w:r>
      <w:r w:rsidRPr="007C481C">
        <w:rPr>
          <w:rFonts w:ascii="Arial" w:hAnsi="Arial" w:cs="Arial"/>
          <w:color w:val="000000"/>
          <w:sz w:val="20"/>
          <w:szCs w:val="20"/>
        </w:rPr>
        <w:t xml:space="preserve"> Ministerio de Salud</w:t>
      </w:r>
      <w:r w:rsidR="009E51D7">
        <w:rPr>
          <w:rFonts w:ascii="Arial" w:hAnsi="Arial" w:cs="Arial"/>
          <w:color w:val="000000"/>
          <w:sz w:val="20"/>
          <w:szCs w:val="20"/>
        </w:rPr>
        <w:t>, 2019</w:t>
      </w:r>
      <w:r>
        <w:rPr>
          <w:rFonts w:ascii="Arial" w:hAnsi="Arial" w:cs="Arial"/>
          <w:color w:val="000000"/>
          <w:sz w:val="20"/>
          <w:szCs w:val="20"/>
        </w:rPr>
        <w:t>.</w:t>
      </w:r>
      <w:r w:rsidRPr="007C481C">
        <w:rPr>
          <w:rFonts w:ascii="Arial" w:hAnsi="Arial" w:cs="Arial"/>
          <w:color w:val="000000"/>
          <w:sz w:val="20"/>
          <w:szCs w:val="20"/>
        </w:rPr>
        <w:t xml:space="preserve"> </w:t>
      </w:r>
    </w:p>
    <w:p w:rsidR="00C943E9" w:rsidRDefault="00475BBF" w:rsidP="00572E37">
      <w:pPr>
        <w:spacing w:after="240" w:line="276" w:lineRule="auto"/>
        <w:jc w:val="both"/>
        <w:rPr>
          <w:rFonts w:ascii="Arial" w:hAnsi="Arial" w:cs="Arial"/>
          <w:color w:val="241F1F"/>
        </w:rPr>
      </w:pPr>
      <w:r w:rsidRPr="00155D46">
        <w:rPr>
          <w:rFonts w:ascii="Arial" w:hAnsi="Arial" w:cs="Arial"/>
        </w:rPr>
        <w:lastRenderedPageBreak/>
        <w:t xml:space="preserve">Un brote </w:t>
      </w:r>
      <w:r w:rsidR="00C943E9">
        <w:rPr>
          <w:rFonts w:ascii="Arial" w:hAnsi="Arial" w:cs="Arial"/>
        </w:rPr>
        <w:t xml:space="preserve">de una enfermedad </w:t>
      </w:r>
      <w:r w:rsidR="00C943E9" w:rsidRPr="00C943E9">
        <w:rPr>
          <w:rFonts w:ascii="Arial" w:hAnsi="Arial" w:cs="Arial"/>
        </w:rPr>
        <w:t xml:space="preserve">es la aparición súbita </w:t>
      </w:r>
      <w:r w:rsidR="00C943E9">
        <w:rPr>
          <w:rFonts w:ascii="Arial" w:hAnsi="Arial" w:cs="Arial"/>
        </w:rPr>
        <w:t xml:space="preserve">y el aumento de numerosos casos de la misma </w:t>
      </w:r>
      <w:r w:rsidRPr="00155D46">
        <w:rPr>
          <w:rFonts w:ascii="Arial" w:hAnsi="Arial" w:cs="Arial"/>
        </w:rPr>
        <w:t xml:space="preserve">en un espacio localizado y geográficamente restringido, como un </w:t>
      </w:r>
      <w:r w:rsidR="00C943E9">
        <w:rPr>
          <w:rFonts w:ascii="Arial" w:hAnsi="Arial" w:cs="Arial"/>
        </w:rPr>
        <w:t>barrio</w:t>
      </w:r>
      <w:r w:rsidRPr="00155D46">
        <w:rPr>
          <w:rFonts w:ascii="Arial" w:hAnsi="Arial" w:cs="Arial"/>
        </w:rPr>
        <w:t>, un pueblo, un barco, una institución cerrada (escuela, hospital, cuartel, CEN-CINAE, colegios, barrios, inclusive en un hogar). En la práctica, la identificación de brotes es una actividad básica de los sistemas de vigilancia y la investigación de brotes un requisito importante para la implementación de medidas de prevención y control oportunas y efectivas en el nivel local.</w:t>
      </w:r>
      <w:r w:rsidR="00410D0B">
        <w:rPr>
          <w:rFonts w:ascii="Arial" w:hAnsi="Arial" w:cs="Arial"/>
        </w:rPr>
        <w:t xml:space="preserve"> </w:t>
      </w:r>
      <w:r>
        <w:rPr>
          <w:rFonts w:ascii="Arial" w:hAnsi="Arial" w:cs="Arial"/>
        </w:rPr>
        <w:t xml:space="preserve"> En el cuadro </w:t>
      </w:r>
      <w:r w:rsidR="00410D0B">
        <w:rPr>
          <w:rFonts w:ascii="Arial" w:hAnsi="Arial" w:cs="Arial"/>
        </w:rPr>
        <w:t xml:space="preserve">41 </w:t>
      </w:r>
      <w:r>
        <w:rPr>
          <w:rFonts w:ascii="Arial" w:hAnsi="Arial" w:cs="Arial"/>
        </w:rPr>
        <w:t xml:space="preserve">se presenta </w:t>
      </w:r>
      <w:r w:rsidR="00410D0B">
        <w:rPr>
          <w:rFonts w:ascii="Arial" w:hAnsi="Arial" w:cs="Arial"/>
        </w:rPr>
        <w:t xml:space="preserve">el número de </w:t>
      </w:r>
      <w:r>
        <w:rPr>
          <w:rFonts w:ascii="Arial" w:hAnsi="Arial" w:cs="Arial"/>
        </w:rPr>
        <w:t xml:space="preserve">brotes </w:t>
      </w:r>
      <w:r w:rsidR="00410D0B">
        <w:rPr>
          <w:rFonts w:ascii="Arial" w:hAnsi="Arial" w:cs="Arial"/>
        </w:rPr>
        <w:t xml:space="preserve">de EDA </w:t>
      </w:r>
      <w:r w:rsidR="00410D0B">
        <w:rPr>
          <w:rFonts w:ascii="Arial" w:hAnsi="Arial" w:cs="Arial"/>
          <w:color w:val="241F1F"/>
        </w:rPr>
        <w:t xml:space="preserve">y se listan los brotes por EDA según agente etiológico </w:t>
      </w:r>
      <w:r w:rsidR="00410D0B">
        <w:rPr>
          <w:rFonts w:ascii="Arial" w:hAnsi="Arial" w:cs="Arial"/>
        </w:rPr>
        <w:t>que fueron notificados al Ministerio de Salud,</w:t>
      </w:r>
      <w:r w:rsidR="00410D0B">
        <w:rPr>
          <w:rFonts w:ascii="Arial" w:hAnsi="Arial" w:cs="Arial"/>
          <w:color w:val="241F1F"/>
        </w:rPr>
        <w:t xml:space="preserve"> </w:t>
      </w:r>
      <w:r w:rsidR="00410D0B">
        <w:rPr>
          <w:rFonts w:ascii="Arial" w:hAnsi="Arial" w:cs="Arial"/>
        </w:rPr>
        <w:t>durante el 2018</w:t>
      </w:r>
      <w:r w:rsidR="00410D0B">
        <w:rPr>
          <w:rFonts w:ascii="Arial" w:hAnsi="Arial" w:cs="Arial"/>
          <w:color w:val="241F1F"/>
        </w:rPr>
        <w:t xml:space="preserve">. </w:t>
      </w:r>
    </w:p>
    <w:p w:rsidR="00410D0B" w:rsidRDefault="00410D0B" w:rsidP="00572E37">
      <w:pPr>
        <w:spacing w:after="240" w:line="276" w:lineRule="auto"/>
        <w:jc w:val="both"/>
        <w:rPr>
          <w:rFonts w:ascii="Arial" w:hAnsi="Arial" w:cs="Arial"/>
          <w:color w:val="241F1F"/>
        </w:rPr>
      </w:pPr>
      <w:r>
        <w:rPr>
          <w:rFonts w:ascii="Arial" w:hAnsi="Arial" w:cs="Arial"/>
          <w:color w:val="241F1F"/>
        </w:rPr>
        <w:t xml:space="preserve">En la mayoría de las ocasiones no </w:t>
      </w:r>
      <w:r w:rsidR="00C943E9">
        <w:rPr>
          <w:rFonts w:ascii="Arial" w:hAnsi="Arial" w:cs="Arial"/>
          <w:color w:val="241F1F"/>
        </w:rPr>
        <w:t>fue</w:t>
      </w:r>
      <w:r>
        <w:rPr>
          <w:rFonts w:ascii="Arial" w:hAnsi="Arial" w:cs="Arial"/>
          <w:color w:val="241F1F"/>
        </w:rPr>
        <w:t xml:space="preserve"> posible identificar los agentes etiológicos debido a que no </w:t>
      </w:r>
      <w:r w:rsidR="00822DCF">
        <w:rPr>
          <w:rFonts w:ascii="Arial" w:hAnsi="Arial" w:cs="Arial"/>
          <w:color w:val="241F1F"/>
        </w:rPr>
        <w:t>se contó c</w:t>
      </w:r>
      <w:r>
        <w:rPr>
          <w:rFonts w:ascii="Arial" w:hAnsi="Arial" w:cs="Arial"/>
          <w:color w:val="241F1F"/>
        </w:rPr>
        <w:t>o</w:t>
      </w:r>
      <w:r w:rsidR="00822DCF">
        <w:rPr>
          <w:rFonts w:ascii="Arial" w:hAnsi="Arial" w:cs="Arial"/>
          <w:color w:val="241F1F"/>
        </w:rPr>
        <w:t>n</w:t>
      </w:r>
      <w:r>
        <w:rPr>
          <w:rFonts w:ascii="Arial" w:hAnsi="Arial" w:cs="Arial"/>
          <w:color w:val="241F1F"/>
        </w:rPr>
        <w:t xml:space="preserve"> muestras de alimentos, ni </w:t>
      </w:r>
      <w:r w:rsidR="00822DCF">
        <w:rPr>
          <w:rFonts w:ascii="Arial" w:hAnsi="Arial" w:cs="Arial"/>
          <w:color w:val="241F1F"/>
        </w:rPr>
        <w:t xml:space="preserve">de heces humanas </w:t>
      </w:r>
      <w:r>
        <w:rPr>
          <w:rFonts w:ascii="Arial" w:hAnsi="Arial" w:cs="Arial"/>
          <w:color w:val="241F1F"/>
        </w:rPr>
        <w:t xml:space="preserve">para </w:t>
      </w:r>
      <w:r w:rsidR="00822DCF">
        <w:rPr>
          <w:rFonts w:ascii="Arial" w:hAnsi="Arial" w:cs="Arial"/>
          <w:color w:val="241F1F"/>
        </w:rPr>
        <w:t>su análisis de laboratorio.</w:t>
      </w:r>
    </w:p>
    <w:p w:rsidR="00475BBF" w:rsidRDefault="00475BBF" w:rsidP="00475BBF">
      <w:pPr>
        <w:spacing w:line="276" w:lineRule="auto"/>
        <w:jc w:val="both"/>
        <w:rPr>
          <w:rFonts w:ascii="Arial" w:hAnsi="Arial" w:cs="Arial"/>
        </w:rPr>
      </w:pPr>
      <w:r w:rsidRPr="00822DCF">
        <w:rPr>
          <w:rFonts w:ascii="Arial" w:hAnsi="Arial" w:cs="Arial"/>
        </w:rPr>
        <w:t>Por lo general</w:t>
      </w:r>
      <w:r w:rsidR="00410D0B" w:rsidRPr="00822DCF">
        <w:rPr>
          <w:rFonts w:ascii="Arial" w:hAnsi="Arial" w:cs="Arial"/>
        </w:rPr>
        <w:t>,</w:t>
      </w:r>
      <w:r w:rsidRPr="00822DCF">
        <w:rPr>
          <w:rFonts w:ascii="Arial" w:hAnsi="Arial" w:cs="Arial"/>
        </w:rPr>
        <w:t xml:space="preserve"> </w:t>
      </w:r>
      <w:r w:rsidR="00822DCF">
        <w:rPr>
          <w:rFonts w:ascii="Arial" w:hAnsi="Arial" w:cs="Arial"/>
        </w:rPr>
        <w:t xml:space="preserve">los brotes se investigan </w:t>
      </w:r>
      <w:r w:rsidRPr="00822DCF">
        <w:rPr>
          <w:rFonts w:ascii="Arial" w:hAnsi="Arial" w:cs="Arial"/>
        </w:rPr>
        <w:t xml:space="preserve">cuando la enfermedad es prioritaria, excede su ocurrencia usual, parece tener una fuente común, </w:t>
      </w:r>
      <w:r w:rsidR="00822DCF">
        <w:rPr>
          <w:rFonts w:ascii="Arial" w:hAnsi="Arial" w:cs="Arial"/>
        </w:rPr>
        <w:t xml:space="preserve">o </w:t>
      </w:r>
      <w:r w:rsidRPr="00822DCF">
        <w:rPr>
          <w:rFonts w:ascii="Arial" w:hAnsi="Arial" w:cs="Arial"/>
        </w:rPr>
        <w:t>una severidad mayor que la usual, es nueva</w:t>
      </w:r>
      <w:r w:rsidR="00822DCF">
        <w:rPr>
          <w:rFonts w:ascii="Arial" w:hAnsi="Arial" w:cs="Arial"/>
        </w:rPr>
        <w:t>,</w:t>
      </w:r>
      <w:r w:rsidRPr="00822DCF">
        <w:rPr>
          <w:rFonts w:ascii="Arial" w:hAnsi="Arial" w:cs="Arial"/>
        </w:rPr>
        <w:t xml:space="preserve"> emergente o “desconocida” en el área.</w:t>
      </w:r>
      <w:r>
        <w:rPr>
          <w:rFonts w:ascii="Arial" w:hAnsi="Arial" w:cs="Arial"/>
        </w:rPr>
        <w:t xml:space="preserve"> </w:t>
      </w:r>
    </w:p>
    <w:p w:rsidR="00475BBF" w:rsidRDefault="00475BBF" w:rsidP="00475BBF">
      <w:pPr>
        <w:spacing w:line="276" w:lineRule="auto"/>
        <w:jc w:val="both"/>
        <w:rPr>
          <w:rFonts w:ascii="Arial" w:hAnsi="Arial" w:cs="Arial"/>
          <w:color w:val="241F1F"/>
        </w:rPr>
      </w:pPr>
    </w:p>
    <w:p w:rsidR="00475BBF" w:rsidRPr="009E51D7" w:rsidRDefault="009E51D7" w:rsidP="00475BBF">
      <w:pPr>
        <w:jc w:val="center"/>
        <w:rPr>
          <w:rFonts w:ascii="Arial" w:hAnsi="Arial" w:cs="Arial"/>
          <w:b/>
          <w:bCs/>
          <w:iCs/>
          <w:color w:val="000000"/>
        </w:rPr>
      </w:pPr>
      <w:r w:rsidRPr="009E51D7">
        <w:rPr>
          <w:rFonts w:ascii="Arial" w:hAnsi="Arial" w:cs="Arial"/>
          <w:b/>
          <w:bCs/>
          <w:iCs/>
          <w:color w:val="000000"/>
        </w:rPr>
        <w:t>Cuadro 41</w:t>
      </w:r>
    </w:p>
    <w:p w:rsidR="00822DCF" w:rsidRDefault="00475BBF" w:rsidP="00475BBF">
      <w:pPr>
        <w:jc w:val="center"/>
        <w:rPr>
          <w:rFonts w:ascii="Arial" w:hAnsi="Arial" w:cs="Arial"/>
          <w:b/>
          <w:bCs/>
          <w:iCs/>
          <w:color w:val="000000"/>
        </w:rPr>
      </w:pPr>
      <w:r w:rsidRPr="009E51D7">
        <w:rPr>
          <w:rFonts w:ascii="Arial" w:hAnsi="Arial" w:cs="Arial"/>
          <w:b/>
          <w:bCs/>
          <w:iCs/>
          <w:color w:val="000000"/>
        </w:rPr>
        <w:t>Costa Rica</w:t>
      </w:r>
      <w:r w:rsidR="001936C0">
        <w:rPr>
          <w:rFonts w:ascii="Arial" w:hAnsi="Arial" w:cs="Arial"/>
          <w:b/>
          <w:bCs/>
          <w:iCs/>
          <w:color w:val="000000"/>
        </w:rPr>
        <w:t>:</w:t>
      </w:r>
      <w:r w:rsidRPr="009E51D7">
        <w:rPr>
          <w:rFonts w:ascii="Arial" w:hAnsi="Arial" w:cs="Arial"/>
          <w:b/>
          <w:bCs/>
          <w:iCs/>
          <w:color w:val="000000"/>
        </w:rPr>
        <w:t xml:space="preserve"> N</w:t>
      </w:r>
      <w:r w:rsidR="00410D0B">
        <w:rPr>
          <w:rFonts w:ascii="Arial" w:hAnsi="Arial" w:cs="Arial"/>
          <w:b/>
          <w:bCs/>
          <w:iCs/>
          <w:color w:val="000000"/>
        </w:rPr>
        <w:t>ú</w:t>
      </w:r>
      <w:r w:rsidRPr="009E51D7">
        <w:rPr>
          <w:rFonts w:ascii="Arial" w:hAnsi="Arial" w:cs="Arial"/>
          <w:b/>
          <w:bCs/>
          <w:iCs/>
          <w:color w:val="000000"/>
        </w:rPr>
        <w:t xml:space="preserve">mero de brotes </w:t>
      </w:r>
      <w:r w:rsidR="00822DCF">
        <w:rPr>
          <w:rFonts w:ascii="Arial" w:hAnsi="Arial" w:cs="Arial"/>
          <w:b/>
          <w:bCs/>
          <w:iCs/>
          <w:color w:val="000000"/>
        </w:rPr>
        <w:t>de EDA notificados según</w:t>
      </w:r>
      <w:r w:rsidR="00822DCF" w:rsidRPr="00822DCF">
        <w:rPr>
          <w:rFonts w:ascii="Arial" w:hAnsi="Arial" w:cs="Arial"/>
          <w:b/>
          <w:bCs/>
          <w:iCs/>
          <w:color w:val="000000"/>
        </w:rPr>
        <w:t xml:space="preserve"> </w:t>
      </w:r>
      <w:r w:rsidR="00822DCF">
        <w:rPr>
          <w:rFonts w:ascii="Arial" w:hAnsi="Arial" w:cs="Arial"/>
          <w:b/>
          <w:bCs/>
          <w:iCs/>
          <w:color w:val="000000"/>
        </w:rPr>
        <w:t>mes,</w:t>
      </w:r>
    </w:p>
    <w:p w:rsidR="00475BBF" w:rsidRPr="009E51D7" w:rsidRDefault="00822DCF" w:rsidP="00475BBF">
      <w:pPr>
        <w:jc w:val="center"/>
        <w:rPr>
          <w:rFonts w:ascii="Arial" w:hAnsi="Arial" w:cs="Arial"/>
          <w:b/>
          <w:bCs/>
          <w:iCs/>
          <w:color w:val="000000"/>
        </w:rPr>
      </w:pPr>
      <w:r>
        <w:rPr>
          <w:rFonts w:ascii="Arial" w:hAnsi="Arial" w:cs="Arial"/>
          <w:b/>
          <w:bCs/>
          <w:iCs/>
          <w:color w:val="000000"/>
        </w:rPr>
        <w:t xml:space="preserve">número de personas y </w:t>
      </w:r>
      <w:r w:rsidR="001936C0">
        <w:rPr>
          <w:rFonts w:ascii="Arial" w:hAnsi="Arial" w:cs="Arial"/>
          <w:b/>
          <w:bCs/>
          <w:iCs/>
          <w:color w:val="000000"/>
        </w:rPr>
        <w:t>agente etiológico</w:t>
      </w:r>
      <w:r>
        <w:rPr>
          <w:rFonts w:ascii="Arial" w:hAnsi="Arial" w:cs="Arial"/>
          <w:b/>
          <w:bCs/>
          <w:iCs/>
          <w:color w:val="000000"/>
        </w:rPr>
        <w:t>,</w:t>
      </w:r>
      <w:r w:rsidR="00475BBF" w:rsidRPr="009E51D7">
        <w:rPr>
          <w:rFonts w:ascii="Arial" w:hAnsi="Arial" w:cs="Arial"/>
          <w:b/>
          <w:bCs/>
          <w:iCs/>
          <w:color w:val="000000"/>
        </w:rPr>
        <w:t xml:space="preserve"> 2018</w:t>
      </w:r>
      <w:r w:rsidR="001936C0">
        <w:rPr>
          <w:rFonts w:ascii="Arial" w:hAnsi="Arial" w:cs="Arial"/>
          <w:b/>
          <w:bCs/>
          <w:iCs/>
          <w:color w:val="000000"/>
        </w:rPr>
        <w:t>.</w:t>
      </w:r>
    </w:p>
    <w:tbl>
      <w:tblPr>
        <w:tblStyle w:val="Tablanormal2"/>
        <w:tblW w:w="9156" w:type="dxa"/>
        <w:jc w:val="center"/>
        <w:tblLook w:val="04A0" w:firstRow="1" w:lastRow="0" w:firstColumn="1" w:lastColumn="0" w:noHBand="0" w:noVBand="1"/>
      </w:tblPr>
      <w:tblGrid>
        <w:gridCol w:w="1821"/>
        <w:gridCol w:w="1534"/>
        <w:gridCol w:w="2159"/>
        <w:gridCol w:w="3642"/>
      </w:tblGrid>
      <w:tr w:rsidR="00475BBF" w:rsidRPr="00822DCF" w:rsidTr="001936C0">
        <w:trPr>
          <w:cnfStyle w:val="100000000000" w:firstRow="1" w:lastRow="0" w:firstColumn="0" w:lastColumn="0" w:oddVBand="0" w:evenVBand="0" w:oddHBand="0"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821" w:type="dxa"/>
            <w:shd w:val="clear" w:color="auto" w:fill="DEEAF6" w:themeFill="accent1" w:themeFillTint="33"/>
            <w:noWrap/>
            <w:hideMark/>
          </w:tcPr>
          <w:p w:rsidR="00475BBF" w:rsidRPr="00822DCF" w:rsidRDefault="00475BBF" w:rsidP="00475BBF">
            <w:pPr>
              <w:rPr>
                <w:rFonts w:ascii="Arial" w:hAnsi="Arial" w:cs="Arial"/>
                <w:color w:val="000000"/>
                <w:sz w:val="20"/>
                <w:szCs w:val="20"/>
              </w:rPr>
            </w:pPr>
            <w:r w:rsidRPr="00822DCF">
              <w:rPr>
                <w:rFonts w:ascii="Arial" w:hAnsi="Arial" w:cs="Arial"/>
                <w:color w:val="000000"/>
                <w:sz w:val="20"/>
                <w:szCs w:val="20"/>
              </w:rPr>
              <w:t xml:space="preserve">Mes </w:t>
            </w:r>
          </w:p>
        </w:tc>
        <w:tc>
          <w:tcPr>
            <w:tcW w:w="1534" w:type="dxa"/>
            <w:shd w:val="clear" w:color="auto" w:fill="DEEAF6" w:themeFill="accent1" w:themeFillTint="33"/>
            <w:noWrap/>
            <w:hideMark/>
          </w:tcPr>
          <w:p w:rsidR="00475BBF" w:rsidRPr="00822DCF" w:rsidRDefault="00475BBF" w:rsidP="00822DC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N</w:t>
            </w:r>
            <w:r w:rsidR="00822DCF" w:rsidRPr="00822DCF">
              <w:rPr>
                <w:rFonts w:ascii="Arial" w:hAnsi="Arial" w:cs="Arial"/>
                <w:color w:val="000000"/>
                <w:sz w:val="20"/>
                <w:szCs w:val="20"/>
              </w:rPr>
              <w:t xml:space="preserve">úmero de </w:t>
            </w:r>
            <w:r w:rsidRPr="00822DCF">
              <w:rPr>
                <w:rFonts w:ascii="Arial" w:hAnsi="Arial" w:cs="Arial"/>
                <w:color w:val="000000"/>
                <w:sz w:val="20"/>
                <w:szCs w:val="20"/>
              </w:rPr>
              <w:t xml:space="preserve"> Brotes</w:t>
            </w:r>
          </w:p>
        </w:tc>
        <w:tc>
          <w:tcPr>
            <w:tcW w:w="2159" w:type="dxa"/>
            <w:shd w:val="clear" w:color="auto" w:fill="DEEAF6" w:themeFill="accent1" w:themeFillTint="33"/>
            <w:hideMark/>
          </w:tcPr>
          <w:p w:rsidR="00475BBF" w:rsidRPr="00822DCF" w:rsidRDefault="00822DCF" w:rsidP="00822DC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Número de personas afectadas</w:t>
            </w:r>
          </w:p>
        </w:tc>
        <w:tc>
          <w:tcPr>
            <w:tcW w:w="3642" w:type="dxa"/>
            <w:shd w:val="clear" w:color="auto" w:fill="DEEAF6" w:themeFill="accent1" w:themeFillTint="33"/>
            <w:noWrap/>
            <w:hideMark/>
          </w:tcPr>
          <w:p w:rsidR="00475BBF" w:rsidRPr="00822DCF" w:rsidRDefault="00475BBF" w:rsidP="00475BBF">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Agentes etiológicos identificados</w:t>
            </w:r>
          </w:p>
        </w:tc>
      </w:tr>
      <w:tr w:rsidR="00475BBF" w:rsidRPr="00822DCF" w:rsidTr="00822DCF">
        <w:trPr>
          <w:cnfStyle w:val="000000100000" w:firstRow="0" w:lastRow="0" w:firstColumn="0" w:lastColumn="0" w:oddVBand="0" w:evenVBand="0" w:oddHBand="1" w:evenHBand="0" w:firstRowFirstColumn="0" w:firstRowLastColumn="0" w:lastRowFirstColumn="0" w:lastRowLastColumn="0"/>
          <w:trHeight w:val="456"/>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 xml:space="preserve">Enero </w:t>
            </w:r>
          </w:p>
        </w:tc>
        <w:tc>
          <w:tcPr>
            <w:tcW w:w="1534" w:type="dxa"/>
            <w:noWrap/>
            <w:hideMark/>
          </w:tcPr>
          <w:p w:rsidR="00475BBF" w:rsidRPr="00822DCF"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1</w:t>
            </w:r>
          </w:p>
        </w:tc>
        <w:tc>
          <w:tcPr>
            <w:tcW w:w="2159" w:type="dxa"/>
            <w:noWrap/>
            <w:hideMark/>
          </w:tcPr>
          <w:p w:rsidR="00475BBF" w:rsidRPr="00822DCF" w:rsidRDefault="00475BBF" w:rsidP="00822DC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15</w:t>
            </w:r>
          </w:p>
        </w:tc>
        <w:tc>
          <w:tcPr>
            <w:tcW w:w="3642" w:type="dxa"/>
            <w:noWrap/>
            <w:hideMark/>
          </w:tcPr>
          <w:p w:rsidR="00475BBF" w:rsidRPr="00822DCF" w:rsidRDefault="00475BBF" w:rsidP="00475BBF">
            <w:pPr>
              <w:cnfStyle w:val="000000100000" w:firstRow="0" w:lastRow="0" w:firstColumn="0" w:lastColumn="0" w:oddVBand="0" w:evenVBand="0" w:oddHBand="1" w:evenHBand="0" w:firstRowFirstColumn="0" w:firstRowLastColumn="0" w:lastRowFirstColumn="0" w:lastRowLastColumn="0"/>
              <w:rPr>
                <w:rFonts w:ascii="Arial" w:hAnsi="Arial" w:cs="Arial"/>
                <w:i/>
                <w:color w:val="000000"/>
                <w:sz w:val="20"/>
                <w:szCs w:val="20"/>
              </w:rPr>
            </w:pPr>
            <w:r w:rsidRPr="00822DCF">
              <w:rPr>
                <w:rFonts w:ascii="Arial" w:hAnsi="Arial" w:cs="Arial"/>
                <w:i/>
                <w:color w:val="000000"/>
                <w:sz w:val="20"/>
                <w:szCs w:val="20"/>
              </w:rPr>
              <w:t>Norovirus</w:t>
            </w:r>
          </w:p>
        </w:tc>
      </w:tr>
      <w:tr w:rsidR="00475BBF" w:rsidRPr="00822DCF" w:rsidTr="00475BBF">
        <w:trPr>
          <w:trHeight w:val="219"/>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Febrero</w:t>
            </w:r>
          </w:p>
        </w:tc>
        <w:tc>
          <w:tcPr>
            <w:tcW w:w="1534" w:type="dxa"/>
            <w:noWrap/>
            <w:hideMark/>
          </w:tcPr>
          <w:p w:rsidR="00475BBF" w:rsidRPr="00822DCF"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4</w:t>
            </w:r>
          </w:p>
        </w:tc>
        <w:tc>
          <w:tcPr>
            <w:tcW w:w="2159" w:type="dxa"/>
            <w:noWrap/>
            <w:hideMark/>
          </w:tcPr>
          <w:p w:rsidR="00475BBF" w:rsidRPr="00822DCF" w:rsidRDefault="00475BBF" w:rsidP="00822DC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616</w:t>
            </w:r>
          </w:p>
        </w:tc>
        <w:tc>
          <w:tcPr>
            <w:tcW w:w="3642" w:type="dxa"/>
            <w:noWrap/>
            <w:hideMark/>
          </w:tcPr>
          <w:p w:rsidR="00475BBF" w:rsidRPr="00822DCF" w:rsidRDefault="00475BBF" w:rsidP="00475BBF">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Múltiples agentes, entre ellos Norovirus</w:t>
            </w:r>
          </w:p>
        </w:tc>
      </w:tr>
      <w:tr w:rsidR="00475BBF" w:rsidRPr="00822DCF" w:rsidTr="00475BBF">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Marzo</w:t>
            </w:r>
          </w:p>
        </w:tc>
        <w:tc>
          <w:tcPr>
            <w:tcW w:w="1534" w:type="dxa"/>
            <w:noWrap/>
            <w:hideMark/>
          </w:tcPr>
          <w:p w:rsidR="00475BBF" w:rsidRPr="00822DCF"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6</w:t>
            </w:r>
          </w:p>
        </w:tc>
        <w:tc>
          <w:tcPr>
            <w:tcW w:w="2159" w:type="dxa"/>
            <w:noWrap/>
            <w:hideMark/>
          </w:tcPr>
          <w:p w:rsidR="00475BBF" w:rsidRPr="00822DCF" w:rsidRDefault="00475BBF" w:rsidP="00822DC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3478</w:t>
            </w:r>
          </w:p>
        </w:tc>
        <w:tc>
          <w:tcPr>
            <w:tcW w:w="3642" w:type="dxa"/>
            <w:noWrap/>
            <w:hideMark/>
          </w:tcPr>
          <w:p w:rsidR="00475BBF" w:rsidRPr="00822DCF" w:rsidRDefault="00475BBF" w:rsidP="00475BB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 xml:space="preserve">Múltiples agentes, entre ellos </w:t>
            </w:r>
            <w:r w:rsidRPr="00822DCF">
              <w:rPr>
                <w:rFonts w:ascii="Arial" w:hAnsi="Arial" w:cs="Arial"/>
                <w:i/>
                <w:color w:val="000000"/>
                <w:sz w:val="20"/>
                <w:szCs w:val="20"/>
              </w:rPr>
              <w:t>Norovirus</w:t>
            </w:r>
          </w:p>
        </w:tc>
      </w:tr>
      <w:tr w:rsidR="00475BBF" w:rsidRPr="00822DCF" w:rsidTr="00822DCF">
        <w:trPr>
          <w:trHeight w:val="435"/>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Abril</w:t>
            </w:r>
          </w:p>
        </w:tc>
        <w:tc>
          <w:tcPr>
            <w:tcW w:w="1534" w:type="dxa"/>
            <w:noWrap/>
            <w:hideMark/>
          </w:tcPr>
          <w:p w:rsidR="00475BBF" w:rsidRPr="00822DCF"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3</w:t>
            </w:r>
          </w:p>
        </w:tc>
        <w:tc>
          <w:tcPr>
            <w:tcW w:w="2159" w:type="dxa"/>
            <w:noWrap/>
            <w:hideMark/>
          </w:tcPr>
          <w:p w:rsidR="00475BBF" w:rsidRPr="00822DCF" w:rsidRDefault="00475BBF" w:rsidP="00822DC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32</w:t>
            </w:r>
          </w:p>
        </w:tc>
        <w:tc>
          <w:tcPr>
            <w:tcW w:w="3642" w:type="dxa"/>
            <w:noWrap/>
            <w:hideMark/>
          </w:tcPr>
          <w:p w:rsidR="00475BBF" w:rsidRPr="00822DCF" w:rsidRDefault="00475BBF" w:rsidP="00475BBF">
            <w:pPr>
              <w:cnfStyle w:val="000000000000" w:firstRow="0" w:lastRow="0" w:firstColumn="0" w:lastColumn="0" w:oddVBand="0" w:evenVBand="0" w:oddHBand="0" w:evenHBand="0" w:firstRowFirstColumn="0" w:firstRowLastColumn="0" w:lastRowFirstColumn="0" w:lastRowLastColumn="0"/>
              <w:rPr>
                <w:rFonts w:ascii="Arial" w:hAnsi="Arial" w:cs="Arial"/>
                <w:i/>
                <w:color w:val="000000"/>
                <w:sz w:val="20"/>
                <w:szCs w:val="20"/>
              </w:rPr>
            </w:pPr>
            <w:r w:rsidRPr="00822DCF">
              <w:rPr>
                <w:rFonts w:ascii="Arial" w:hAnsi="Arial" w:cs="Arial"/>
                <w:i/>
                <w:color w:val="000000"/>
                <w:sz w:val="20"/>
                <w:szCs w:val="20"/>
              </w:rPr>
              <w:t>E. Coli, Shigella</w:t>
            </w:r>
          </w:p>
        </w:tc>
      </w:tr>
      <w:tr w:rsidR="00475BBF" w:rsidRPr="00822DCF" w:rsidTr="00822DCF">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Mayo</w:t>
            </w:r>
          </w:p>
        </w:tc>
        <w:tc>
          <w:tcPr>
            <w:tcW w:w="1534" w:type="dxa"/>
            <w:noWrap/>
            <w:hideMark/>
          </w:tcPr>
          <w:p w:rsidR="00475BBF" w:rsidRPr="00822DCF"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3</w:t>
            </w:r>
          </w:p>
        </w:tc>
        <w:tc>
          <w:tcPr>
            <w:tcW w:w="2159" w:type="dxa"/>
            <w:noWrap/>
            <w:hideMark/>
          </w:tcPr>
          <w:p w:rsidR="00475BBF" w:rsidRPr="00822DCF" w:rsidRDefault="00475BBF" w:rsidP="00822DC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269</w:t>
            </w:r>
          </w:p>
        </w:tc>
        <w:tc>
          <w:tcPr>
            <w:tcW w:w="3642" w:type="dxa"/>
            <w:noWrap/>
            <w:hideMark/>
          </w:tcPr>
          <w:p w:rsidR="00475BBF" w:rsidRPr="00822DCF" w:rsidRDefault="00475BBF" w:rsidP="00B87E72">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 xml:space="preserve">No se </w:t>
            </w:r>
            <w:r w:rsidR="00B87E72">
              <w:rPr>
                <w:rFonts w:ascii="Arial" w:hAnsi="Arial" w:cs="Arial"/>
                <w:color w:val="000000"/>
                <w:sz w:val="20"/>
                <w:szCs w:val="20"/>
              </w:rPr>
              <w:t>contó con</w:t>
            </w:r>
            <w:r w:rsidRPr="00822DCF">
              <w:rPr>
                <w:rFonts w:ascii="Arial" w:hAnsi="Arial" w:cs="Arial"/>
                <w:color w:val="000000"/>
                <w:sz w:val="20"/>
                <w:szCs w:val="20"/>
              </w:rPr>
              <w:t xml:space="preserve"> muestras </w:t>
            </w:r>
          </w:p>
        </w:tc>
      </w:tr>
      <w:tr w:rsidR="00475BBF" w:rsidRPr="00822DCF" w:rsidTr="00475BBF">
        <w:trPr>
          <w:trHeight w:val="219"/>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Junio</w:t>
            </w:r>
          </w:p>
        </w:tc>
        <w:tc>
          <w:tcPr>
            <w:tcW w:w="1534" w:type="dxa"/>
            <w:noWrap/>
            <w:hideMark/>
          </w:tcPr>
          <w:p w:rsidR="00475BBF" w:rsidRPr="00822DCF"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5</w:t>
            </w:r>
          </w:p>
        </w:tc>
        <w:tc>
          <w:tcPr>
            <w:tcW w:w="2159" w:type="dxa"/>
            <w:noWrap/>
            <w:hideMark/>
          </w:tcPr>
          <w:p w:rsidR="00475BBF" w:rsidRPr="00822DCF" w:rsidRDefault="00475BBF" w:rsidP="00822DC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400</w:t>
            </w:r>
          </w:p>
        </w:tc>
        <w:tc>
          <w:tcPr>
            <w:tcW w:w="3642" w:type="dxa"/>
            <w:noWrap/>
            <w:hideMark/>
          </w:tcPr>
          <w:p w:rsidR="00475BBF" w:rsidRPr="00822DCF" w:rsidRDefault="00475BBF" w:rsidP="00475BBF">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i/>
                <w:color w:val="000000"/>
                <w:sz w:val="20"/>
                <w:szCs w:val="20"/>
              </w:rPr>
              <w:t>Clostridium perfringens</w:t>
            </w:r>
            <w:r w:rsidRPr="00822DCF">
              <w:rPr>
                <w:rFonts w:ascii="Arial" w:hAnsi="Arial" w:cs="Arial"/>
                <w:color w:val="000000"/>
                <w:sz w:val="20"/>
                <w:szCs w:val="20"/>
              </w:rPr>
              <w:t>, Virus hepatitis A ( VHA)</w:t>
            </w:r>
          </w:p>
        </w:tc>
      </w:tr>
      <w:tr w:rsidR="00475BBF" w:rsidRPr="00822DCF" w:rsidTr="00822DCF">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Julio</w:t>
            </w:r>
          </w:p>
        </w:tc>
        <w:tc>
          <w:tcPr>
            <w:tcW w:w="1534" w:type="dxa"/>
            <w:noWrap/>
            <w:hideMark/>
          </w:tcPr>
          <w:p w:rsidR="00475BBF" w:rsidRPr="00822DCF"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2</w:t>
            </w:r>
          </w:p>
        </w:tc>
        <w:tc>
          <w:tcPr>
            <w:tcW w:w="2159" w:type="dxa"/>
            <w:noWrap/>
            <w:hideMark/>
          </w:tcPr>
          <w:p w:rsidR="00475BBF" w:rsidRPr="00822DCF"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50</w:t>
            </w:r>
          </w:p>
        </w:tc>
        <w:tc>
          <w:tcPr>
            <w:tcW w:w="3642" w:type="dxa"/>
            <w:noWrap/>
            <w:hideMark/>
          </w:tcPr>
          <w:p w:rsidR="00475BBF" w:rsidRPr="00822DCF" w:rsidRDefault="00475BBF" w:rsidP="00475BB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 xml:space="preserve">VHA, </w:t>
            </w:r>
            <w:r w:rsidRPr="00822DCF">
              <w:rPr>
                <w:rFonts w:ascii="Arial" w:hAnsi="Arial" w:cs="Arial"/>
                <w:i/>
                <w:color w:val="000000"/>
                <w:sz w:val="20"/>
                <w:szCs w:val="20"/>
              </w:rPr>
              <w:t>Shigella</w:t>
            </w:r>
          </w:p>
        </w:tc>
      </w:tr>
      <w:tr w:rsidR="00475BBF" w:rsidRPr="00822DCF" w:rsidTr="00475BBF">
        <w:trPr>
          <w:trHeight w:val="219"/>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Agosto</w:t>
            </w:r>
          </w:p>
        </w:tc>
        <w:tc>
          <w:tcPr>
            <w:tcW w:w="1534" w:type="dxa"/>
            <w:noWrap/>
            <w:hideMark/>
          </w:tcPr>
          <w:p w:rsidR="00475BBF" w:rsidRPr="00822DCF"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5</w:t>
            </w:r>
          </w:p>
        </w:tc>
        <w:tc>
          <w:tcPr>
            <w:tcW w:w="2159" w:type="dxa"/>
            <w:noWrap/>
            <w:hideMark/>
          </w:tcPr>
          <w:p w:rsidR="00475BBF" w:rsidRPr="00822DCF"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585</w:t>
            </w:r>
          </w:p>
        </w:tc>
        <w:tc>
          <w:tcPr>
            <w:tcW w:w="3642" w:type="dxa"/>
            <w:noWrap/>
            <w:hideMark/>
          </w:tcPr>
          <w:p w:rsidR="00475BBF" w:rsidRPr="00822DCF" w:rsidRDefault="00475BBF" w:rsidP="00B87E72">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 xml:space="preserve">No se determinaron agentes específicos </w:t>
            </w:r>
          </w:p>
        </w:tc>
      </w:tr>
      <w:tr w:rsidR="00475BBF" w:rsidRPr="00822DCF" w:rsidTr="00822DCF">
        <w:trPr>
          <w:cnfStyle w:val="000000100000" w:firstRow="0" w:lastRow="0" w:firstColumn="0" w:lastColumn="0" w:oddVBand="0" w:evenVBand="0" w:oddHBand="1" w:evenHBand="0" w:firstRowFirstColumn="0" w:firstRowLastColumn="0" w:lastRowFirstColumn="0" w:lastRowLastColumn="0"/>
          <w:trHeight w:val="428"/>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Septiembre</w:t>
            </w:r>
          </w:p>
        </w:tc>
        <w:tc>
          <w:tcPr>
            <w:tcW w:w="1534" w:type="dxa"/>
            <w:noWrap/>
            <w:hideMark/>
          </w:tcPr>
          <w:p w:rsidR="00475BBF" w:rsidRPr="00822DCF"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2</w:t>
            </w:r>
          </w:p>
        </w:tc>
        <w:tc>
          <w:tcPr>
            <w:tcW w:w="2159" w:type="dxa"/>
            <w:noWrap/>
            <w:hideMark/>
          </w:tcPr>
          <w:p w:rsidR="00475BBF" w:rsidRPr="00822DCF"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71</w:t>
            </w:r>
          </w:p>
        </w:tc>
        <w:tc>
          <w:tcPr>
            <w:tcW w:w="3642" w:type="dxa"/>
            <w:noWrap/>
            <w:hideMark/>
          </w:tcPr>
          <w:p w:rsidR="00475BBF" w:rsidRPr="00822DCF" w:rsidRDefault="00475BBF" w:rsidP="00475BB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i/>
                <w:color w:val="000000"/>
                <w:sz w:val="20"/>
                <w:szCs w:val="20"/>
              </w:rPr>
              <w:t>S. Aureu</w:t>
            </w:r>
            <w:r w:rsidRPr="00822DCF">
              <w:rPr>
                <w:rFonts w:ascii="Arial" w:hAnsi="Arial" w:cs="Arial"/>
                <w:color w:val="000000"/>
                <w:sz w:val="20"/>
                <w:szCs w:val="20"/>
              </w:rPr>
              <w:t xml:space="preserve">s, VHA, </w:t>
            </w:r>
            <w:r w:rsidRPr="00822DCF">
              <w:rPr>
                <w:rFonts w:ascii="Arial" w:hAnsi="Arial" w:cs="Arial"/>
                <w:i/>
                <w:color w:val="000000"/>
                <w:sz w:val="20"/>
                <w:szCs w:val="20"/>
              </w:rPr>
              <w:t>Salmonella</w:t>
            </w:r>
          </w:p>
        </w:tc>
      </w:tr>
      <w:tr w:rsidR="00475BBF" w:rsidRPr="00822DCF" w:rsidTr="00475BBF">
        <w:trPr>
          <w:trHeight w:val="219"/>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Octubre</w:t>
            </w:r>
          </w:p>
        </w:tc>
        <w:tc>
          <w:tcPr>
            <w:tcW w:w="1534" w:type="dxa"/>
            <w:noWrap/>
            <w:hideMark/>
          </w:tcPr>
          <w:p w:rsidR="00475BBF" w:rsidRPr="00822DCF"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5</w:t>
            </w:r>
          </w:p>
        </w:tc>
        <w:tc>
          <w:tcPr>
            <w:tcW w:w="2159" w:type="dxa"/>
            <w:noWrap/>
            <w:hideMark/>
          </w:tcPr>
          <w:p w:rsidR="00475BBF" w:rsidRPr="00822DCF"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82</w:t>
            </w:r>
          </w:p>
        </w:tc>
        <w:tc>
          <w:tcPr>
            <w:tcW w:w="3642" w:type="dxa"/>
            <w:noWrap/>
            <w:hideMark/>
          </w:tcPr>
          <w:p w:rsidR="00475BBF" w:rsidRPr="00822DCF" w:rsidRDefault="00475BBF" w:rsidP="00B87E72">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i/>
                <w:color w:val="000000"/>
                <w:sz w:val="20"/>
                <w:szCs w:val="20"/>
              </w:rPr>
              <w:t>Salmonella</w:t>
            </w:r>
            <w:r w:rsidRPr="00822DCF">
              <w:rPr>
                <w:rFonts w:ascii="Arial" w:hAnsi="Arial" w:cs="Arial"/>
                <w:color w:val="000000"/>
                <w:sz w:val="20"/>
                <w:szCs w:val="20"/>
              </w:rPr>
              <w:t>, múltiples agentes</w:t>
            </w:r>
            <w:r w:rsidR="00B87E72">
              <w:rPr>
                <w:rFonts w:ascii="Arial" w:hAnsi="Arial" w:cs="Arial"/>
                <w:color w:val="000000"/>
                <w:sz w:val="20"/>
                <w:szCs w:val="20"/>
              </w:rPr>
              <w:t xml:space="preserve"> en algu</w:t>
            </w:r>
            <w:r w:rsidRPr="00822DCF">
              <w:rPr>
                <w:rFonts w:ascii="Arial" w:hAnsi="Arial" w:cs="Arial"/>
                <w:color w:val="000000"/>
                <w:sz w:val="20"/>
                <w:szCs w:val="20"/>
              </w:rPr>
              <w:t xml:space="preserve">nos brotes </w:t>
            </w:r>
            <w:r w:rsidR="00B87E72">
              <w:rPr>
                <w:rFonts w:ascii="Arial" w:hAnsi="Arial" w:cs="Arial"/>
                <w:color w:val="000000"/>
                <w:sz w:val="20"/>
                <w:szCs w:val="20"/>
              </w:rPr>
              <w:t xml:space="preserve">y </w:t>
            </w:r>
            <w:r w:rsidRPr="00822DCF">
              <w:rPr>
                <w:rFonts w:ascii="Arial" w:hAnsi="Arial" w:cs="Arial"/>
                <w:color w:val="000000"/>
                <w:sz w:val="20"/>
                <w:szCs w:val="20"/>
              </w:rPr>
              <w:t xml:space="preserve">no </w:t>
            </w:r>
            <w:r w:rsidR="00B87E72">
              <w:rPr>
                <w:rFonts w:ascii="Arial" w:hAnsi="Arial" w:cs="Arial"/>
                <w:color w:val="000000"/>
                <w:sz w:val="20"/>
                <w:szCs w:val="20"/>
              </w:rPr>
              <w:t>se contó</w:t>
            </w:r>
            <w:r w:rsidRPr="00822DCF">
              <w:rPr>
                <w:rFonts w:ascii="Arial" w:hAnsi="Arial" w:cs="Arial"/>
                <w:color w:val="000000"/>
                <w:sz w:val="20"/>
                <w:szCs w:val="20"/>
              </w:rPr>
              <w:t xml:space="preserve"> </w:t>
            </w:r>
            <w:r w:rsidR="00B87E72">
              <w:rPr>
                <w:rFonts w:ascii="Arial" w:hAnsi="Arial" w:cs="Arial"/>
                <w:color w:val="000000"/>
                <w:sz w:val="20"/>
                <w:szCs w:val="20"/>
              </w:rPr>
              <w:t xml:space="preserve">con </w:t>
            </w:r>
            <w:r w:rsidRPr="00822DCF">
              <w:rPr>
                <w:rFonts w:ascii="Arial" w:hAnsi="Arial" w:cs="Arial"/>
                <w:color w:val="000000"/>
                <w:sz w:val="20"/>
                <w:szCs w:val="20"/>
              </w:rPr>
              <w:t>muestras humanas o de alimentos</w:t>
            </w:r>
            <w:r w:rsidR="00B87E72">
              <w:rPr>
                <w:rFonts w:ascii="Arial" w:hAnsi="Arial" w:cs="Arial"/>
                <w:color w:val="000000"/>
                <w:sz w:val="20"/>
                <w:szCs w:val="20"/>
              </w:rPr>
              <w:t>en alguno.</w:t>
            </w:r>
            <w:r w:rsidRPr="00822DCF">
              <w:rPr>
                <w:rFonts w:ascii="Arial" w:hAnsi="Arial" w:cs="Arial"/>
                <w:color w:val="000000"/>
                <w:sz w:val="20"/>
                <w:szCs w:val="20"/>
              </w:rPr>
              <w:t xml:space="preserve"> </w:t>
            </w:r>
          </w:p>
        </w:tc>
      </w:tr>
      <w:tr w:rsidR="00475BBF" w:rsidRPr="00822DCF" w:rsidTr="00822DCF">
        <w:trPr>
          <w:cnfStyle w:val="000000100000" w:firstRow="0" w:lastRow="0" w:firstColumn="0" w:lastColumn="0" w:oddVBand="0" w:evenVBand="0" w:oddHBand="1" w:evenHBand="0" w:firstRowFirstColumn="0" w:firstRowLastColumn="0" w:lastRowFirstColumn="0" w:lastRowLastColumn="0"/>
          <w:trHeight w:val="447"/>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Noviembre</w:t>
            </w:r>
          </w:p>
        </w:tc>
        <w:tc>
          <w:tcPr>
            <w:tcW w:w="1534" w:type="dxa"/>
            <w:noWrap/>
            <w:hideMark/>
          </w:tcPr>
          <w:p w:rsidR="00475BBF" w:rsidRPr="00822DCF"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3</w:t>
            </w:r>
          </w:p>
        </w:tc>
        <w:tc>
          <w:tcPr>
            <w:tcW w:w="2159" w:type="dxa"/>
            <w:noWrap/>
            <w:hideMark/>
          </w:tcPr>
          <w:p w:rsidR="00475BBF" w:rsidRPr="00822DCF" w:rsidRDefault="00475BBF" w:rsidP="00475BBF">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70</w:t>
            </w:r>
          </w:p>
        </w:tc>
        <w:tc>
          <w:tcPr>
            <w:tcW w:w="3642" w:type="dxa"/>
            <w:noWrap/>
            <w:hideMark/>
          </w:tcPr>
          <w:p w:rsidR="00475BBF" w:rsidRPr="00822DCF" w:rsidRDefault="00475BBF" w:rsidP="00475BBF">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822DCF">
              <w:rPr>
                <w:rFonts w:ascii="Arial" w:hAnsi="Arial" w:cs="Arial"/>
                <w:i/>
                <w:color w:val="000000"/>
                <w:sz w:val="20"/>
                <w:szCs w:val="20"/>
              </w:rPr>
              <w:t>Salmonella</w:t>
            </w:r>
            <w:r w:rsidRPr="00822DCF">
              <w:rPr>
                <w:rFonts w:ascii="Arial" w:hAnsi="Arial" w:cs="Arial"/>
                <w:color w:val="000000"/>
                <w:sz w:val="20"/>
                <w:szCs w:val="20"/>
              </w:rPr>
              <w:t xml:space="preserve"> +VHA</w:t>
            </w:r>
          </w:p>
        </w:tc>
      </w:tr>
      <w:tr w:rsidR="00475BBF" w:rsidRPr="00822DCF" w:rsidTr="00822DCF">
        <w:trPr>
          <w:trHeight w:val="410"/>
          <w:jc w:val="center"/>
        </w:trPr>
        <w:tc>
          <w:tcPr>
            <w:cnfStyle w:val="001000000000" w:firstRow="0" w:lastRow="0" w:firstColumn="1" w:lastColumn="0" w:oddVBand="0" w:evenVBand="0" w:oddHBand="0" w:evenHBand="0" w:firstRowFirstColumn="0" w:firstRowLastColumn="0" w:lastRowFirstColumn="0" w:lastRowLastColumn="0"/>
            <w:tcW w:w="1821" w:type="dxa"/>
            <w:noWrap/>
            <w:hideMark/>
          </w:tcPr>
          <w:p w:rsidR="00475BBF" w:rsidRPr="00572E37" w:rsidRDefault="00475BBF" w:rsidP="00475BBF">
            <w:pPr>
              <w:rPr>
                <w:rFonts w:ascii="Arial" w:hAnsi="Arial" w:cs="Arial"/>
                <w:color w:val="000000"/>
                <w:sz w:val="20"/>
                <w:szCs w:val="20"/>
              </w:rPr>
            </w:pPr>
            <w:r w:rsidRPr="00572E37">
              <w:rPr>
                <w:rFonts w:ascii="Arial" w:hAnsi="Arial" w:cs="Arial"/>
                <w:color w:val="000000"/>
                <w:sz w:val="20"/>
                <w:szCs w:val="20"/>
              </w:rPr>
              <w:t>Diciembre</w:t>
            </w:r>
          </w:p>
        </w:tc>
        <w:tc>
          <w:tcPr>
            <w:tcW w:w="1534" w:type="dxa"/>
            <w:noWrap/>
            <w:hideMark/>
          </w:tcPr>
          <w:p w:rsidR="00475BBF" w:rsidRPr="00822DCF"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1</w:t>
            </w:r>
          </w:p>
        </w:tc>
        <w:tc>
          <w:tcPr>
            <w:tcW w:w="2159" w:type="dxa"/>
            <w:noWrap/>
            <w:hideMark/>
          </w:tcPr>
          <w:p w:rsidR="00475BBF" w:rsidRPr="00822DCF" w:rsidRDefault="00475BBF" w:rsidP="00475BBF">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32</w:t>
            </w:r>
          </w:p>
        </w:tc>
        <w:tc>
          <w:tcPr>
            <w:tcW w:w="3642" w:type="dxa"/>
            <w:noWrap/>
            <w:hideMark/>
          </w:tcPr>
          <w:p w:rsidR="00475BBF" w:rsidRPr="00822DCF" w:rsidRDefault="00475BBF" w:rsidP="00475BBF">
            <w:pP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822DCF">
              <w:rPr>
                <w:rFonts w:ascii="Arial" w:hAnsi="Arial" w:cs="Arial"/>
                <w:color w:val="000000"/>
                <w:sz w:val="20"/>
                <w:szCs w:val="20"/>
              </w:rPr>
              <w:t>VHA</w:t>
            </w:r>
          </w:p>
        </w:tc>
      </w:tr>
    </w:tbl>
    <w:p w:rsidR="00572E37" w:rsidRDefault="00475BBF" w:rsidP="00822DCF">
      <w:pPr>
        <w:jc w:val="right"/>
        <w:rPr>
          <w:rFonts w:ascii="Arial" w:hAnsi="Arial" w:cs="Arial"/>
          <w:bCs/>
          <w:iCs/>
          <w:color w:val="000000"/>
          <w:sz w:val="22"/>
        </w:rPr>
      </w:pPr>
      <w:r w:rsidRPr="00822DCF">
        <w:rPr>
          <w:rFonts w:ascii="Arial" w:hAnsi="Arial" w:cs="Arial"/>
          <w:b/>
          <w:bCs/>
          <w:iCs/>
          <w:color w:val="000000"/>
          <w:sz w:val="18"/>
          <w:szCs w:val="18"/>
        </w:rPr>
        <w:t xml:space="preserve">Fuente: </w:t>
      </w:r>
      <w:r w:rsidR="001936C0" w:rsidRPr="00822DCF">
        <w:rPr>
          <w:rFonts w:ascii="Arial" w:hAnsi="Arial" w:cs="Arial"/>
          <w:bCs/>
          <w:iCs/>
          <w:color w:val="000000"/>
          <w:sz w:val="18"/>
          <w:szCs w:val="18"/>
        </w:rPr>
        <w:t>INCIENSA, CCSS, Ministerio de Salud</w:t>
      </w:r>
      <w:r w:rsidR="00822DCF">
        <w:rPr>
          <w:rFonts w:ascii="Arial" w:hAnsi="Arial" w:cs="Arial"/>
          <w:bCs/>
          <w:iCs/>
          <w:color w:val="000000"/>
          <w:sz w:val="22"/>
        </w:rPr>
        <w:t>, 2019</w:t>
      </w:r>
      <w:r w:rsidR="001936C0" w:rsidRPr="001936C0">
        <w:rPr>
          <w:rFonts w:ascii="Arial" w:hAnsi="Arial" w:cs="Arial"/>
          <w:bCs/>
          <w:iCs/>
          <w:color w:val="000000"/>
          <w:sz w:val="22"/>
        </w:rPr>
        <w:t>.</w:t>
      </w:r>
      <w:bookmarkEnd w:id="9"/>
    </w:p>
    <w:sectPr w:rsidR="00572E37">
      <w:headerReference w:type="even" r:id="rId74"/>
      <w:headerReference w:type="default" r:id="rId75"/>
      <w:footerReference w:type="even" r:id="rId76"/>
      <w:footerReference w:type="default" r:id="rId77"/>
      <w:headerReference w:type="first" r:id="rId78"/>
      <w:footerReference w:type="first" r:id="rId7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493E" w:rsidRDefault="00E2493E" w:rsidP="001C6615">
      <w:r>
        <w:separator/>
      </w:r>
    </w:p>
  </w:endnote>
  <w:endnote w:type="continuationSeparator" w:id="0">
    <w:p w:rsidR="00E2493E" w:rsidRDefault="00E2493E" w:rsidP="001C66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YHMIE F+ Cholla Sans">
    <w:altName w:val="Calibri"/>
    <w:panose1 w:val="00000000000000000000"/>
    <w:charset w:val="00"/>
    <w:family w:val="swiss"/>
    <w:notTrueType/>
    <w:pitch w:val="default"/>
    <w:sig w:usb0="00000003" w:usb1="00000000" w:usb2="00000000" w:usb3="00000000" w:csb0="00000001" w:csb1="00000000"/>
  </w:font>
  <w:font w:name="□□">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PMingLiU">
    <w:altName w:val="Microsoft JhengHei"/>
    <w:panose1 w:val="02010601000101010101"/>
    <w:charset w:val="88"/>
    <w:family w:val="roman"/>
    <w:pitch w:val="variable"/>
    <w:sig w:usb0="00000000" w:usb1="28CFFCFA" w:usb2="00000016" w:usb3="00000000" w:csb0="00100001" w:csb1="00000000"/>
  </w:font>
  <w:font w:name="Times-Roman">
    <w:charset w:val="00"/>
    <w:family w:val="auto"/>
    <w:pitch w:val="variable"/>
    <w:sig w:usb0="00000003" w:usb1="00000000" w:usb2="00000000" w:usb3="00000000" w:csb0="00000001" w:csb1="00000000"/>
  </w:font>
  <w:font w:name="BookmanOldStyle">
    <w:altName w:val="Bookman Old Style"/>
    <w:panose1 w:val="00000000000000000000"/>
    <w:charset w:val="4D"/>
    <w:family w:val="auto"/>
    <w:notTrueType/>
    <w:pitch w:val="default"/>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TimesNewRoman">
    <w:altName w:val="Arial"/>
    <w:panose1 w:val="00000000000000000000"/>
    <w:charset w:val="00"/>
    <w:family w:val="auto"/>
    <w:notTrueType/>
    <w:pitch w:val="default"/>
    <w:sig w:usb0="00000003" w:usb1="00000000" w:usb2="00000000" w:usb3="00000000" w:csb0="00000001" w:csb1="00000000"/>
  </w:font>
  <w:font w:name="ArialMT">
    <w:altName w:val="MS Gothic"/>
    <w:panose1 w:val="00000000000000000000"/>
    <w:charset w:val="80"/>
    <w:family w:val="auto"/>
    <w:notTrueType/>
    <w:pitch w:val="default"/>
    <w:sig w:usb0="00000000" w:usb1="08070000" w:usb2="00000010" w:usb3="00000000" w:csb0="00020000"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5DB" w:rsidRDefault="003A05DB">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1626231"/>
      <w:docPartObj>
        <w:docPartGallery w:val="Page Numbers (Bottom of Page)"/>
        <w:docPartUnique/>
      </w:docPartObj>
    </w:sdtPr>
    <w:sdtEndPr/>
    <w:sdtContent>
      <w:p w:rsidR="0002094B" w:rsidRDefault="0002094B">
        <w:pPr>
          <w:pStyle w:val="Piedepgina"/>
          <w:jc w:val="right"/>
        </w:pPr>
        <w:r>
          <w:fldChar w:fldCharType="begin"/>
        </w:r>
        <w:r>
          <w:instrText>PAGE   \* MERGEFORMAT</w:instrText>
        </w:r>
        <w:r>
          <w:fldChar w:fldCharType="separate"/>
        </w:r>
        <w:r w:rsidR="00D800F9" w:rsidRPr="00D800F9">
          <w:rPr>
            <w:noProof/>
            <w:lang w:val="es-ES"/>
          </w:rPr>
          <w:t>22</w:t>
        </w:r>
        <w:r>
          <w:fldChar w:fldCharType="end"/>
        </w:r>
      </w:p>
    </w:sdtContent>
  </w:sdt>
  <w:p w:rsidR="0002094B" w:rsidRDefault="0002094B">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5DB" w:rsidRDefault="003A05DB">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493E" w:rsidRDefault="00E2493E" w:rsidP="001C6615">
      <w:r>
        <w:separator/>
      </w:r>
    </w:p>
  </w:footnote>
  <w:footnote w:type="continuationSeparator" w:id="0">
    <w:p w:rsidR="00E2493E" w:rsidRDefault="00E2493E" w:rsidP="001C6615">
      <w:r>
        <w:continuationSeparator/>
      </w:r>
    </w:p>
  </w:footnote>
  <w:footnote w:id="1">
    <w:p w:rsidR="0002094B" w:rsidRPr="00BF5EBF" w:rsidRDefault="0002094B" w:rsidP="001C6615">
      <w:pPr>
        <w:pStyle w:val="Textonotapie"/>
        <w:rPr>
          <w:lang w:val="es-ES"/>
        </w:rPr>
      </w:pPr>
      <w:r w:rsidRPr="00C02692">
        <w:rPr>
          <w:rStyle w:val="Refdenotaalpie"/>
        </w:rPr>
        <w:footnoteRef/>
      </w:r>
      <w:r w:rsidRPr="00C02692">
        <w:t xml:space="preserve"> </w:t>
      </w:r>
      <w:r w:rsidRPr="00C02692">
        <w:rPr>
          <w:rFonts w:ascii="Arial" w:hAnsi="Arial" w:cs="Arial"/>
          <w:szCs w:val="24"/>
        </w:rPr>
        <w:t>Rosero-Bixby, L. y Jiménez-Fontana, P, 2012</w:t>
      </w:r>
    </w:p>
  </w:footnote>
  <w:footnote w:id="2">
    <w:p w:rsidR="0002094B" w:rsidRPr="00DB7E0B" w:rsidRDefault="0002094B" w:rsidP="001C6615">
      <w:pPr>
        <w:pStyle w:val="Textonotapie"/>
        <w:rPr>
          <w:lang w:val="es-ES"/>
        </w:rPr>
      </w:pPr>
      <w:r>
        <w:rPr>
          <w:rStyle w:val="Refdenotaalpie"/>
        </w:rPr>
        <w:footnoteRef/>
      </w:r>
      <w:r>
        <w:t xml:space="preserve"> Robles, A. (2006). Cambio demográfico, inversión social y diferencias generacionales en Costa Rica. Notas de Población, 82, 69-94.</w:t>
      </w:r>
    </w:p>
  </w:footnote>
  <w:footnote w:id="3">
    <w:p w:rsidR="0002094B" w:rsidRDefault="0002094B" w:rsidP="001C6615">
      <w:pPr>
        <w:pStyle w:val="Textonotapie"/>
      </w:pPr>
      <w:r>
        <w:rPr>
          <w:rStyle w:val="Refdenotaalpie"/>
        </w:rPr>
        <w:footnoteRef/>
      </w:r>
      <w:r>
        <w:t xml:space="preserve"> </w:t>
      </w:r>
      <w:r w:rsidRPr="001A2F59">
        <w:t>Instituto Nacional de Estadística y Censos, Estimaciones y proyecciones de población por sexo y edad 1950-2050, CCP - INEC.</w:t>
      </w:r>
    </w:p>
  </w:footnote>
  <w:footnote w:id="4">
    <w:p w:rsidR="0002094B" w:rsidRPr="0036299F" w:rsidRDefault="0002094B" w:rsidP="00B12787">
      <w:pPr>
        <w:spacing w:line="276" w:lineRule="auto"/>
        <w:rPr>
          <w:rFonts w:ascii="Arial" w:hAnsi="Arial" w:cs="Arial"/>
          <w:sz w:val="16"/>
          <w:szCs w:val="16"/>
          <w:lang w:val="es-CR" w:eastAsia="x-none"/>
        </w:rPr>
      </w:pPr>
      <w:r>
        <w:rPr>
          <w:rStyle w:val="Refdenotaalpie"/>
        </w:rPr>
        <w:footnoteRef/>
      </w:r>
      <w:r>
        <w:t xml:space="preserve"> </w:t>
      </w:r>
      <w:r w:rsidRPr="0036299F">
        <w:rPr>
          <w:rFonts w:ascii="Arial" w:hAnsi="Arial" w:cs="Arial"/>
          <w:sz w:val="16"/>
          <w:szCs w:val="16"/>
          <w:lang w:val="es-CR" w:eastAsia="x-none"/>
        </w:rPr>
        <w:t>Los nacimientos con edad ignorada de la madre, fueron redistribuidos en todas las edades.</w:t>
      </w:r>
    </w:p>
    <w:p w:rsidR="0002094B" w:rsidRPr="0036299F" w:rsidRDefault="0002094B">
      <w:pPr>
        <w:pStyle w:val="Textonotapie"/>
        <w:rPr>
          <w:lang w:val="es-CR"/>
        </w:rPr>
      </w:pPr>
    </w:p>
  </w:footnote>
  <w:footnote w:id="5">
    <w:p w:rsidR="0002094B" w:rsidRPr="00E421F0" w:rsidRDefault="0002094B">
      <w:pPr>
        <w:pStyle w:val="Textonotapie"/>
        <w:rPr>
          <w:sz w:val="18"/>
          <w:szCs w:val="18"/>
          <w:lang w:val="es-CR"/>
        </w:rPr>
      </w:pPr>
      <w:r>
        <w:rPr>
          <w:rStyle w:val="Refdenotaalpie"/>
        </w:rPr>
        <w:footnoteRef/>
      </w:r>
      <w:r>
        <w:t xml:space="preserve"> </w:t>
      </w:r>
      <w:r w:rsidRPr="00E421F0">
        <w:rPr>
          <w:rStyle w:val="CharAttribute3"/>
          <w:rFonts w:hAnsi="Arial" w:cs="Arial"/>
          <w:sz w:val="16"/>
          <w:szCs w:val="16"/>
        </w:rPr>
        <w:t>INEC, 2013:8</w:t>
      </w:r>
    </w:p>
  </w:footnote>
  <w:footnote w:id="6">
    <w:p w:rsidR="0002094B" w:rsidRPr="00E421F0" w:rsidRDefault="0002094B" w:rsidP="00E421F0">
      <w:pPr>
        <w:autoSpaceDE w:val="0"/>
        <w:autoSpaceDN w:val="0"/>
        <w:adjustRightInd w:val="0"/>
        <w:spacing w:line="276" w:lineRule="auto"/>
        <w:jc w:val="both"/>
        <w:rPr>
          <w:rStyle w:val="CharAttribute3"/>
          <w:rFonts w:eastAsia="□□" w:hAnsi="Arial" w:cs="Arial"/>
          <w:sz w:val="16"/>
          <w:szCs w:val="16"/>
        </w:rPr>
      </w:pPr>
      <w:r>
        <w:rPr>
          <w:rStyle w:val="Refdenotaalpie"/>
        </w:rPr>
        <w:footnoteRef/>
      </w:r>
      <w:r>
        <w:t xml:space="preserve"> </w:t>
      </w:r>
      <w:r w:rsidRPr="00E421F0">
        <w:rPr>
          <w:rStyle w:val="CharAttribute3"/>
          <w:rFonts w:eastAsia="□□" w:hAnsi="Arial" w:cs="Arial"/>
          <w:sz w:val="16"/>
          <w:szCs w:val="16"/>
        </w:rPr>
        <w:t>Atlas de los territorios indígenas de Costa Rica, ODD UCR,2014)</w:t>
      </w:r>
    </w:p>
    <w:p w:rsidR="0002094B" w:rsidRPr="00E421F0" w:rsidRDefault="0002094B">
      <w:pPr>
        <w:pStyle w:val="Textonotapie"/>
        <w:rPr>
          <w:lang w:val="es-CR"/>
        </w:rPr>
      </w:pPr>
    </w:p>
  </w:footnote>
  <w:footnote w:id="7">
    <w:p w:rsidR="0002094B" w:rsidRPr="00E421F0" w:rsidRDefault="0002094B">
      <w:pPr>
        <w:pStyle w:val="Textonotapie"/>
        <w:rPr>
          <w:sz w:val="16"/>
          <w:szCs w:val="16"/>
          <w:lang w:val="es-CR"/>
        </w:rPr>
      </w:pPr>
      <w:r>
        <w:rPr>
          <w:rStyle w:val="Refdenotaalpie"/>
        </w:rPr>
        <w:footnoteRef/>
      </w:r>
      <w:r>
        <w:t xml:space="preserve"> </w:t>
      </w:r>
      <w:r w:rsidRPr="00E421F0">
        <w:rPr>
          <w:rStyle w:val="CharAttribute3"/>
          <w:rFonts w:hAnsi="Arial" w:cs="Arial"/>
          <w:sz w:val="16"/>
          <w:szCs w:val="16"/>
        </w:rPr>
        <w:t>Mideplan, 2013</w:t>
      </w:r>
    </w:p>
  </w:footnote>
  <w:footnote w:id="8">
    <w:p w:rsidR="0002094B" w:rsidRPr="000B2344" w:rsidRDefault="0002094B">
      <w:pPr>
        <w:pStyle w:val="Textonotapie"/>
        <w:rPr>
          <w:sz w:val="16"/>
          <w:szCs w:val="16"/>
          <w:lang w:val="es-CR"/>
        </w:rPr>
      </w:pPr>
      <w:r>
        <w:rPr>
          <w:rStyle w:val="Refdenotaalpie"/>
        </w:rPr>
        <w:footnoteRef/>
      </w:r>
      <w:r>
        <w:t xml:space="preserve"> </w:t>
      </w:r>
      <w:r w:rsidRPr="000B2344">
        <w:rPr>
          <w:rFonts w:ascii="Arial" w:hAnsi="Arial" w:cs="Arial"/>
          <w:sz w:val="16"/>
          <w:szCs w:val="16"/>
        </w:rPr>
        <w:t>Tasas calculadas con población correspondiente al sexo</w:t>
      </w:r>
    </w:p>
  </w:footnote>
  <w:footnote w:id="9">
    <w:p w:rsidR="0002094B" w:rsidRPr="00442881" w:rsidRDefault="0002094B" w:rsidP="00442881">
      <w:pPr>
        <w:rPr>
          <w:rFonts w:ascii="Arial" w:hAnsi="Arial" w:cs="Arial"/>
          <w:sz w:val="16"/>
          <w:szCs w:val="16"/>
        </w:rPr>
      </w:pPr>
      <w:r>
        <w:rPr>
          <w:rStyle w:val="Refdenotaalpie"/>
        </w:rPr>
        <w:footnoteRef/>
      </w:r>
      <w:r>
        <w:t xml:space="preserve"> </w:t>
      </w:r>
      <w:r w:rsidRPr="00842416">
        <w:rPr>
          <w:rFonts w:ascii="Arial" w:hAnsi="Arial" w:cs="Arial"/>
          <w:sz w:val="20"/>
        </w:rPr>
        <w:t xml:space="preserve">* </w:t>
      </w:r>
      <w:r w:rsidRPr="00442881">
        <w:rPr>
          <w:rFonts w:ascii="Arial" w:hAnsi="Arial" w:cs="Arial"/>
          <w:sz w:val="16"/>
          <w:szCs w:val="16"/>
        </w:rPr>
        <w:t>Tasa calculada con población correspondiente al sexo</w:t>
      </w:r>
    </w:p>
    <w:p w:rsidR="0002094B" w:rsidRPr="00442881" w:rsidRDefault="0002094B">
      <w:pPr>
        <w:pStyle w:val="Textonotapie"/>
        <w:rPr>
          <w:lang w:val="es-CR"/>
        </w:rPr>
      </w:pPr>
    </w:p>
  </w:footnote>
  <w:footnote w:id="10">
    <w:p w:rsidR="0002094B" w:rsidRPr="008D2838" w:rsidRDefault="0002094B">
      <w:pPr>
        <w:pStyle w:val="Textonotapie"/>
        <w:rPr>
          <w:sz w:val="16"/>
          <w:szCs w:val="16"/>
          <w:lang w:val="es-CR"/>
        </w:rPr>
      </w:pPr>
      <w:r>
        <w:rPr>
          <w:rStyle w:val="Refdenotaalpie"/>
        </w:rPr>
        <w:footnoteRef/>
      </w:r>
      <w:r>
        <w:t xml:space="preserve"> </w:t>
      </w:r>
      <w:r w:rsidRPr="008D2838">
        <w:rPr>
          <w:rFonts w:ascii="Arial" w:hAnsi="Arial" w:cs="Arial"/>
          <w:color w:val="000000"/>
          <w:sz w:val="16"/>
          <w:szCs w:val="16"/>
        </w:rPr>
        <w:t>Marshall et al 2002</w:t>
      </w:r>
    </w:p>
  </w:footnote>
  <w:footnote w:id="11">
    <w:p w:rsidR="0002094B" w:rsidRPr="001F6F9F" w:rsidRDefault="0002094B">
      <w:pPr>
        <w:pStyle w:val="Textonotapie"/>
        <w:rPr>
          <w:lang w:val="es-CR"/>
        </w:rPr>
      </w:pPr>
      <w:r>
        <w:rPr>
          <w:rStyle w:val="Refdenotaalpie"/>
        </w:rPr>
        <w:footnoteRef/>
      </w:r>
      <w:r>
        <w:t xml:space="preserve"> </w:t>
      </w:r>
      <w:r w:rsidRPr="001F6F9F">
        <w:rPr>
          <w:rFonts w:ascii="Arial" w:hAnsi="Arial" w:cs="Arial"/>
          <w:sz w:val="16"/>
          <w:szCs w:val="16"/>
        </w:rPr>
        <w:t>Índice de Desarrollo Social, Costa Rica. 2017</w:t>
      </w:r>
    </w:p>
  </w:footnote>
  <w:footnote w:id="12">
    <w:p w:rsidR="0002094B" w:rsidRPr="00C857F1" w:rsidRDefault="0002094B">
      <w:pPr>
        <w:pStyle w:val="Textonotapie"/>
        <w:rPr>
          <w:sz w:val="18"/>
          <w:szCs w:val="18"/>
          <w:lang w:val="es-CR"/>
        </w:rPr>
      </w:pPr>
      <w:r>
        <w:rPr>
          <w:rStyle w:val="Refdenotaalpie"/>
        </w:rPr>
        <w:footnoteRef/>
      </w:r>
      <w:r>
        <w:t xml:space="preserve"> </w:t>
      </w:r>
      <w:r w:rsidRPr="00C857F1">
        <w:rPr>
          <w:rFonts w:ascii="Arial" w:hAnsi="Arial" w:cs="Arial"/>
          <w:sz w:val="18"/>
          <w:szCs w:val="18"/>
        </w:rPr>
        <w:t>Política Local de Prevención de Violencia con Enfoque de Género 2015-2020, Cantón de Coto Brus</w:t>
      </w:r>
    </w:p>
  </w:footnote>
  <w:footnote w:id="13">
    <w:p w:rsidR="0002094B" w:rsidRPr="0024310F" w:rsidRDefault="0002094B" w:rsidP="00ED6258">
      <w:pPr>
        <w:rPr>
          <w:rFonts w:ascii="Arial" w:hAnsi="Arial" w:cs="Arial"/>
          <w:sz w:val="18"/>
          <w:szCs w:val="18"/>
        </w:rPr>
      </w:pPr>
      <w:r>
        <w:rPr>
          <w:rStyle w:val="Refdenotaalpie"/>
        </w:rPr>
        <w:footnoteRef/>
      </w:r>
      <w:r>
        <w:t xml:space="preserve"> </w:t>
      </w:r>
      <w:r>
        <w:tab/>
      </w:r>
      <w:r w:rsidRPr="0024310F">
        <w:rPr>
          <w:rFonts w:ascii="Arial" w:hAnsi="Arial" w:cs="Arial"/>
          <w:sz w:val="18"/>
          <w:szCs w:val="18"/>
        </w:rPr>
        <w:t xml:space="preserve">Coberturas preliminares del 2018; está pendiente que INEC </w:t>
      </w:r>
      <w:r>
        <w:rPr>
          <w:rFonts w:ascii="Arial" w:hAnsi="Arial" w:cs="Arial"/>
          <w:sz w:val="18"/>
          <w:szCs w:val="18"/>
        </w:rPr>
        <w:t>brinde los</w:t>
      </w:r>
      <w:r w:rsidRPr="0024310F">
        <w:rPr>
          <w:rFonts w:ascii="Arial" w:hAnsi="Arial" w:cs="Arial"/>
          <w:sz w:val="18"/>
          <w:szCs w:val="18"/>
        </w:rPr>
        <w:t xml:space="preserve"> datos de na</w:t>
      </w:r>
      <w:r>
        <w:rPr>
          <w:rFonts w:ascii="Arial" w:hAnsi="Arial" w:cs="Arial"/>
          <w:sz w:val="18"/>
          <w:szCs w:val="18"/>
        </w:rPr>
        <w:t xml:space="preserve">cimientos y </w:t>
      </w:r>
      <w:r>
        <w:rPr>
          <w:rFonts w:ascii="Arial" w:hAnsi="Arial" w:cs="Arial"/>
          <w:sz w:val="18"/>
          <w:szCs w:val="18"/>
        </w:rPr>
        <w:tab/>
        <w:t>mortalidad infantil d</w:t>
      </w:r>
      <w:r w:rsidRPr="0024310F">
        <w:rPr>
          <w:rFonts w:ascii="Arial" w:hAnsi="Arial" w:cs="Arial"/>
          <w:sz w:val="18"/>
          <w:szCs w:val="18"/>
        </w:rPr>
        <w:t>el 2018.</w:t>
      </w:r>
    </w:p>
    <w:p w:rsidR="0002094B" w:rsidRPr="00ED6258" w:rsidRDefault="0002094B">
      <w:pPr>
        <w:pStyle w:val="Textonotapie"/>
        <w:rPr>
          <w:lang w:val="es-CR"/>
        </w:rPr>
      </w:pPr>
    </w:p>
  </w:footnote>
  <w:footnote w:id="14">
    <w:p w:rsidR="0002094B" w:rsidRPr="004D5F37" w:rsidRDefault="0002094B" w:rsidP="004D5F37">
      <w:pPr>
        <w:widowControl w:val="0"/>
        <w:tabs>
          <w:tab w:val="left" w:pos="1476"/>
        </w:tabs>
        <w:spacing w:line="276" w:lineRule="auto"/>
        <w:jc w:val="both"/>
        <w:rPr>
          <w:rFonts w:ascii="Arial" w:eastAsia="Calibri" w:hAnsi="Arial" w:cs="Arial"/>
          <w:bCs/>
          <w:sz w:val="18"/>
          <w:szCs w:val="18"/>
        </w:rPr>
      </w:pPr>
      <w:r>
        <w:rPr>
          <w:rStyle w:val="Refdenotaalpie"/>
        </w:rPr>
        <w:footnoteRef/>
      </w:r>
      <w:r>
        <w:t xml:space="preserve"> </w:t>
      </w:r>
      <w:r w:rsidRPr="004D5F37">
        <w:rPr>
          <w:rFonts w:ascii="Arial" w:eastAsia="Calibri" w:hAnsi="Arial" w:cs="Arial"/>
          <w:bCs/>
          <w:sz w:val="18"/>
          <w:szCs w:val="18"/>
        </w:rPr>
        <w:t>Encuesta de comportamiento sexual y prevalencia de VIH y ITS y estimación del tamaño de población en MTS, HSH y mujeres trans, 201</w:t>
      </w:r>
      <w:r>
        <w:rPr>
          <w:rFonts w:ascii="Arial" w:eastAsia="Calibri" w:hAnsi="Arial" w:cs="Arial"/>
          <w:bCs/>
          <w:sz w:val="18"/>
          <w:szCs w:val="18"/>
        </w:rPr>
        <w:t>8</w:t>
      </w:r>
      <w:r w:rsidRPr="004D5F37">
        <w:rPr>
          <w:rFonts w:ascii="Arial" w:eastAsia="Calibri" w:hAnsi="Arial" w:cs="Arial"/>
          <w:bCs/>
          <w:sz w:val="18"/>
          <w:szCs w:val="18"/>
        </w:rPr>
        <w:t>.</w:t>
      </w:r>
    </w:p>
    <w:p w:rsidR="0002094B" w:rsidRPr="004D5F37" w:rsidRDefault="0002094B">
      <w:pPr>
        <w:pStyle w:val="Textonotapie"/>
        <w:rPr>
          <w:lang w:val="es-CR"/>
        </w:rPr>
      </w:pPr>
    </w:p>
  </w:footnote>
  <w:footnote w:id="15">
    <w:p w:rsidR="0002094B" w:rsidRPr="00FE636C" w:rsidRDefault="0002094B">
      <w:pPr>
        <w:pStyle w:val="Textonotapie"/>
        <w:rPr>
          <w:lang w:val="es-CR"/>
        </w:rPr>
      </w:pPr>
      <w:r>
        <w:rPr>
          <w:rStyle w:val="Refdenotaalpie"/>
        </w:rPr>
        <w:footnoteRef/>
      </w:r>
      <w:r>
        <w:t xml:space="preserve"> </w:t>
      </w:r>
      <w:r w:rsidRPr="00B410ED">
        <w:rPr>
          <w:rFonts w:ascii="Arial" w:eastAsia="Times New Roman" w:hAnsi="Arial" w:cs="Arial"/>
          <w:color w:val="000000"/>
          <w:lang w:eastAsia="es-CR"/>
        </w:rPr>
        <w:t>201</w:t>
      </w:r>
      <w:r>
        <w:rPr>
          <w:rFonts w:ascii="Arial" w:eastAsia="Times New Roman" w:hAnsi="Arial" w:cs="Arial"/>
          <w:color w:val="000000"/>
          <w:lang w:eastAsia="es-CR"/>
        </w:rPr>
        <w:t>8</w:t>
      </w:r>
      <w:r w:rsidRPr="00B410ED">
        <w:rPr>
          <w:rFonts w:ascii="Arial" w:eastAsia="Times New Roman" w:hAnsi="Arial" w:cs="Arial"/>
          <w:color w:val="000000"/>
          <w:lang w:eastAsia="es-CR"/>
        </w:rPr>
        <w:t xml:space="preserve"> Datos preliminares</w:t>
      </w:r>
      <w:r>
        <w:rPr>
          <w:rFonts w:ascii="Arial" w:eastAsia="Times New Roman" w:hAnsi="Arial" w:cs="Arial"/>
          <w:color w:val="000000"/>
          <w:lang w:eastAsia="es-CR"/>
        </w:rPr>
        <w:t>.</w:t>
      </w:r>
    </w:p>
  </w:footnote>
  <w:footnote w:id="16">
    <w:p w:rsidR="0002094B" w:rsidRPr="003B0AF0" w:rsidRDefault="0002094B">
      <w:pPr>
        <w:pStyle w:val="Textonotapie"/>
        <w:rPr>
          <w:lang w:val="es-CR"/>
        </w:rPr>
      </w:pPr>
      <w:r>
        <w:rPr>
          <w:rStyle w:val="Refdenotaalpie"/>
        </w:rPr>
        <w:footnoteRef/>
      </w:r>
      <w:r>
        <w:t xml:space="preserve"> </w:t>
      </w:r>
      <w:r>
        <w:rPr>
          <w:rFonts w:ascii="Arial" w:hAnsi="Arial" w:cs="Arial"/>
          <w:color w:val="241F1F"/>
        </w:rPr>
        <w:t>E</w:t>
      </w:r>
      <w:r w:rsidRPr="00367512">
        <w:rPr>
          <w:rFonts w:ascii="Arial" w:hAnsi="Arial" w:cs="Arial"/>
          <w:color w:val="241F1F"/>
        </w:rPr>
        <w:t xml:space="preserve">studio </w:t>
      </w:r>
      <w:r>
        <w:rPr>
          <w:rFonts w:ascii="Arial" w:hAnsi="Arial" w:cs="Arial"/>
          <w:color w:val="241F1F"/>
        </w:rPr>
        <w:t>de carga de la enfermedad,</w:t>
      </w:r>
      <w:r w:rsidRPr="00367512">
        <w:rPr>
          <w:rFonts w:ascii="Arial" w:hAnsi="Arial" w:cs="Arial"/>
          <w:color w:val="241F1F"/>
        </w:rPr>
        <w:t xml:space="preserve"> 2012</w:t>
      </w:r>
      <w:r>
        <w:rPr>
          <w:rFonts w:ascii="Arial" w:hAnsi="Arial" w:cs="Arial"/>
          <w:color w:val="241F1F"/>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94B" w:rsidRDefault="0002094B">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94B" w:rsidRDefault="0002094B">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094B" w:rsidRDefault="0002094B">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B4021B"/>
    <w:multiLevelType w:val="hybridMultilevel"/>
    <w:tmpl w:val="0B505C8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38B96224"/>
    <w:multiLevelType w:val="hybridMultilevel"/>
    <w:tmpl w:val="D0087008"/>
    <w:lvl w:ilvl="0" w:tplc="BB902ACA">
      <w:start w:val="1"/>
      <w:numFmt w:val="decimal"/>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40694666"/>
    <w:multiLevelType w:val="hybridMultilevel"/>
    <w:tmpl w:val="D0087008"/>
    <w:lvl w:ilvl="0" w:tplc="BB902ACA">
      <w:start w:val="1"/>
      <w:numFmt w:val="decimal"/>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4AFC683D"/>
    <w:multiLevelType w:val="hybridMultilevel"/>
    <w:tmpl w:val="6002AFB2"/>
    <w:lvl w:ilvl="0" w:tplc="C9F66FAE">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4FC31F35"/>
    <w:multiLevelType w:val="hybridMultilevel"/>
    <w:tmpl w:val="BF12878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6482208F"/>
    <w:multiLevelType w:val="hybridMultilevel"/>
    <w:tmpl w:val="78EA39C0"/>
    <w:lvl w:ilvl="0" w:tplc="C9F66FAE">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6AA874D8"/>
    <w:multiLevelType w:val="hybridMultilevel"/>
    <w:tmpl w:val="899C97D6"/>
    <w:lvl w:ilvl="0" w:tplc="F89C3542">
      <w:start w:val="164"/>
      <w:numFmt w:val="bullet"/>
      <w:lvlText w:val=""/>
      <w:lvlJc w:val="left"/>
      <w:pPr>
        <w:ind w:left="720" w:hanging="360"/>
      </w:pPr>
      <w:rPr>
        <w:rFonts w:ascii="Wingdings" w:eastAsia="Times New Roman" w:hAnsi="Wingdings" w:cs="Aria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7" w15:restartNumberingAfterBreak="0">
    <w:nsid w:val="6CA306F4"/>
    <w:multiLevelType w:val="hybridMultilevel"/>
    <w:tmpl w:val="F22C3562"/>
    <w:styleLink w:val="ImportedStyle3"/>
    <w:lvl w:ilvl="0" w:tplc="5DECBB66">
      <w:start w:val="1"/>
      <w:numFmt w:val="bullet"/>
      <w:lvlText w:val="·"/>
      <w:lvlJc w:val="left"/>
      <w:pPr>
        <w:tabs>
          <w:tab w:val="left" w:pos="1080"/>
        </w:tabs>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CC85962">
      <w:start w:val="1"/>
      <w:numFmt w:val="bullet"/>
      <w:lvlText w:val="o"/>
      <w:lvlJc w:val="left"/>
      <w:pPr>
        <w:tabs>
          <w:tab w:val="left" w:pos="1080"/>
        </w:tabs>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CA0CCA2">
      <w:start w:val="1"/>
      <w:numFmt w:val="bullet"/>
      <w:lvlText w:val="▪"/>
      <w:lvlJc w:val="left"/>
      <w:pPr>
        <w:tabs>
          <w:tab w:val="left" w:pos="1080"/>
        </w:tabs>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90282AE">
      <w:start w:val="1"/>
      <w:numFmt w:val="bullet"/>
      <w:lvlText w:val="·"/>
      <w:lvlJc w:val="left"/>
      <w:pPr>
        <w:tabs>
          <w:tab w:val="left" w:pos="1080"/>
        </w:tabs>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9C264CC">
      <w:start w:val="1"/>
      <w:numFmt w:val="bullet"/>
      <w:lvlText w:val="o"/>
      <w:lvlJc w:val="left"/>
      <w:pPr>
        <w:tabs>
          <w:tab w:val="left" w:pos="1080"/>
        </w:tabs>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580115A">
      <w:start w:val="1"/>
      <w:numFmt w:val="bullet"/>
      <w:lvlText w:val="▪"/>
      <w:lvlJc w:val="left"/>
      <w:pPr>
        <w:tabs>
          <w:tab w:val="left" w:pos="1080"/>
        </w:tabs>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AC20BC0">
      <w:start w:val="1"/>
      <w:numFmt w:val="bullet"/>
      <w:lvlText w:val="·"/>
      <w:lvlJc w:val="left"/>
      <w:pPr>
        <w:tabs>
          <w:tab w:val="left" w:pos="1080"/>
        </w:tabs>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A4ABC98">
      <w:start w:val="1"/>
      <w:numFmt w:val="bullet"/>
      <w:lvlText w:val="o"/>
      <w:lvlJc w:val="left"/>
      <w:pPr>
        <w:tabs>
          <w:tab w:val="left" w:pos="1080"/>
        </w:tabs>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D30A958">
      <w:start w:val="1"/>
      <w:numFmt w:val="bullet"/>
      <w:lvlText w:val="▪"/>
      <w:lvlJc w:val="left"/>
      <w:pPr>
        <w:tabs>
          <w:tab w:val="left" w:pos="1080"/>
        </w:tabs>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0"/>
  </w:num>
  <w:num w:numId="2">
    <w:abstractNumId w:val="7"/>
  </w:num>
  <w:num w:numId="3">
    <w:abstractNumId w:val="5"/>
  </w:num>
  <w:num w:numId="4">
    <w:abstractNumId w:val="3"/>
  </w:num>
  <w:num w:numId="5">
    <w:abstractNumId w:val="4"/>
  </w:num>
  <w:num w:numId="6">
    <w:abstractNumId w:val="1"/>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B5B"/>
    <w:rsid w:val="00001D7E"/>
    <w:rsid w:val="0002094B"/>
    <w:rsid w:val="00026E23"/>
    <w:rsid w:val="00032691"/>
    <w:rsid w:val="00083C3F"/>
    <w:rsid w:val="00086C28"/>
    <w:rsid w:val="000B2344"/>
    <w:rsid w:val="000D131F"/>
    <w:rsid w:val="000D59B6"/>
    <w:rsid w:val="000E4FF7"/>
    <w:rsid w:val="000F5720"/>
    <w:rsid w:val="001106F5"/>
    <w:rsid w:val="0012184A"/>
    <w:rsid w:val="00122673"/>
    <w:rsid w:val="00132CF9"/>
    <w:rsid w:val="001341F1"/>
    <w:rsid w:val="00151623"/>
    <w:rsid w:val="00165AFD"/>
    <w:rsid w:val="00176962"/>
    <w:rsid w:val="00176E6A"/>
    <w:rsid w:val="00183F00"/>
    <w:rsid w:val="001936C0"/>
    <w:rsid w:val="001A43E0"/>
    <w:rsid w:val="001A7499"/>
    <w:rsid w:val="001B1242"/>
    <w:rsid w:val="001C6615"/>
    <w:rsid w:val="001D75AB"/>
    <w:rsid w:val="001F6F9F"/>
    <w:rsid w:val="0020203E"/>
    <w:rsid w:val="00224B67"/>
    <w:rsid w:val="002268FE"/>
    <w:rsid w:val="002313C3"/>
    <w:rsid w:val="002472B1"/>
    <w:rsid w:val="002511BF"/>
    <w:rsid w:val="00257CAC"/>
    <w:rsid w:val="00260520"/>
    <w:rsid w:val="002720CD"/>
    <w:rsid w:val="00272E4E"/>
    <w:rsid w:val="002818D5"/>
    <w:rsid w:val="00297143"/>
    <w:rsid w:val="002B1A80"/>
    <w:rsid w:val="002C7321"/>
    <w:rsid w:val="002E1254"/>
    <w:rsid w:val="002E4D35"/>
    <w:rsid w:val="00321DCA"/>
    <w:rsid w:val="00322EE3"/>
    <w:rsid w:val="00334A9A"/>
    <w:rsid w:val="0036299F"/>
    <w:rsid w:val="00376406"/>
    <w:rsid w:val="0038015E"/>
    <w:rsid w:val="00383BB3"/>
    <w:rsid w:val="003A05DB"/>
    <w:rsid w:val="003B0AF0"/>
    <w:rsid w:val="003B5ACE"/>
    <w:rsid w:val="003C6043"/>
    <w:rsid w:val="003C6E54"/>
    <w:rsid w:val="003F46CE"/>
    <w:rsid w:val="004040CE"/>
    <w:rsid w:val="00410D0B"/>
    <w:rsid w:val="0043232B"/>
    <w:rsid w:val="0043401B"/>
    <w:rsid w:val="00442881"/>
    <w:rsid w:val="0045579E"/>
    <w:rsid w:val="00472E6D"/>
    <w:rsid w:val="004758C5"/>
    <w:rsid w:val="00475BBF"/>
    <w:rsid w:val="004774AE"/>
    <w:rsid w:val="004777D8"/>
    <w:rsid w:val="0049051E"/>
    <w:rsid w:val="00495886"/>
    <w:rsid w:val="004A3F13"/>
    <w:rsid w:val="004B0AE3"/>
    <w:rsid w:val="004D5F37"/>
    <w:rsid w:val="004F1627"/>
    <w:rsid w:val="00516EBF"/>
    <w:rsid w:val="0052274D"/>
    <w:rsid w:val="0053444F"/>
    <w:rsid w:val="005549E4"/>
    <w:rsid w:val="00562416"/>
    <w:rsid w:val="00565D43"/>
    <w:rsid w:val="00572E37"/>
    <w:rsid w:val="005C54F2"/>
    <w:rsid w:val="005C5A74"/>
    <w:rsid w:val="005C5C2A"/>
    <w:rsid w:val="005F52B2"/>
    <w:rsid w:val="00604F1B"/>
    <w:rsid w:val="00615189"/>
    <w:rsid w:val="0065315E"/>
    <w:rsid w:val="0066355C"/>
    <w:rsid w:val="00686908"/>
    <w:rsid w:val="006919AD"/>
    <w:rsid w:val="00694998"/>
    <w:rsid w:val="006A4DD5"/>
    <w:rsid w:val="006A60CF"/>
    <w:rsid w:val="006D1D00"/>
    <w:rsid w:val="006D48B5"/>
    <w:rsid w:val="006F4212"/>
    <w:rsid w:val="00701F60"/>
    <w:rsid w:val="00705F07"/>
    <w:rsid w:val="0072670E"/>
    <w:rsid w:val="0073748F"/>
    <w:rsid w:val="00741022"/>
    <w:rsid w:val="00761A37"/>
    <w:rsid w:val="007641A6"/>
    <w:rsid w:val="007646DF"/>
    <w:rsid w:val="0079259B"/>
    <w:rsid w:val="0079469A"/>
    <w:rsid w:val="007A5C73"/>
    <w:rsid w:val="007B75E9"/>
    <w:rsid w:val="007F458C"/>
    <w:rsid w:val="008172D7"/>
    <w:rsid w:val="008210BB"/>
    <w:rsid w:val="00822DCF"/>
    <w:rsid w:val="008319B8"/>
    <w:rsid w:val="00833278"/>
    <w:rsid w:val="0084491D"/>
    <w:rsid w:val="00845B3F"/>
    <w:rsid w:val="0085323B"/>
    <w:rsid w:val="00875AA4"/>
    <w:rsid w:val="008776CD"/>
    <w:rsid w:val="00882349"/>
    <w:rsid w:val="00891050"/>
    <w:rsid w:val="008A05CA"/>
    <w:rsid w:val="008B57A1"/>
    <w:rsid w:val="008B629E"/>
    <w:rsid w:val="008B67C1"/>
    <w:rsid w:val="008D2838"/>
    <w:rsid w:val="008D309E"/>
    <w:rsid w:val="008D40CC"/>
    <w:rsid w:val="008F3C53"/>
    <w:rsid w:val="008F5260"/>
    <w:rsid w:val="00900CB3"/>
    <w:rsid w:val="00907B73"/>
    <w:rsid w:val="00925D7E"/>
    <w:rsid w:val="00952DCB"/>
    <w:rsid w:val="0096325E"/>
    <w:rsid w:val="00965B1E"/>
    <w:rsid w:val="00967173"/>
    <w:rsid w:val="00982CAC"/>
    <w:rsid w:val="00983213"/>
    <w:rsid w:val="009B1095"/>
    <w:rsid w:val="009B2F15"/>
    <w:rsid w:val="009C1E30"/>
    <w:rsid w:val="009C24FE"/>
    <w:rsid w:val="009D5F37"/>
    <w:rsid w:val="009E196F"/>
    <w:rsid w:val="009E51D7"/>
    <w:rsid w:val="00A141C2"/>
    <w:rsid w:val="00A27A64"/>
    <w:rsid w:val="00A308AA"/>
    <w:rsid w:val="00A36796"/>
    <w:rsid w:val="00A37C77"/>
    <w:rsid w:val="00A4404C"/>
    <w:rsid w:val="00A51E40"/>
    <w:rsid w:val="00A56A5B"/>
    <w:rsid w:val="00A67D7E"/>
    <w:rsid w:val="00A67F20"/>
    <w:rsid w:val="00A816AC"/>
    <w:rsid w:val="00AA59F4"/>
    <w:rsid w:val="00AC3802"/>
    <w:rsid w:val="00AC5E73"/>
    <w:rsid w:val="00AD53BB"/>
    <w:rsid w:val="00AF4746"/>
    <w:rsid w:val="00B00BF2"/>
    <w:rsid w:val="00B12787"/>
    <w:rsid w:val="00B134A0"/>
    <w:rsid w:val="00B13B2C"/>
    <w:rsid w:val="00B1553C"/>
    <w:rsid w:val="00B247ED"/>
    <w:rsid w:val="00B2543A"/>
    <w:rsid w:val="00B25C19"/>
    <w:rsid w:val="00B312B3"/>
    <w:rsid w:val="00B461AB"/>
    <w:rsid w:val="00B50A0C"/>
    <w:rsid w:val="00B65B68"/>
    <w:rsid w:val="00B67801"/>
    <w:rsid w:val="00B85D41"/>
    <w:rsid w:val="00B87E72"/>
    <w:rsid w:val="00B90470"/>
    <w:rsid w:val="00B93ED1"/>
    <w:rsid w:val="00BA42B6"/>
    <w:rsid w:val="00BB0F6E"/>
    <w:rsid w:val="00BC0914"/>
    <w:rsid w:val="00BC593A"/>
    <w:rsid w:val="00BC5AB0"/>
    <w:rsid w:val="00BC70A3"/>
    <w:rsid w:val="00BE3710"/>
    <w:rsid w:val="00BF5A83"/>
    <w:rsid w:val="00BF5FBE"/>
    <w:rsid w:val="00C02692"/>
    <w:rsid w:val="00C06EA9"/>
    <w:rsid w:val="00C13C7D"/>
    <w:rsid w:val="00C17A54"/>
    <w:rsid w:val="00C32EAD"/>
    <w:rsid w:val="00C40794"/>
    <w:rsid w:val="00C43ABB"/>
    <w:rsid w:val="00C6565F"/>
    <w:rsid w:val="00C72F8F"/>
    <w:rsid w:val="00C73E49"/>
    <w:rsid w:val="00C802FF"/>
    <w:rsid w:val="00C81AD1"/>
    <w:rsid w:val="00C857F1"/>
    <w:rsid w:val="00C863F5"/>
    <w:rsid w:val="00C943E9"/>
    <w:rsid w:val="00CA5E14"/>
    <w:rsid w:val="00CB195D"/>
    <w:rsid w:val="00CB5EE3"/>
    <w:rsid w:val="00CD7576"/>
    <w:rsid w:val="00CE4114"/>
    <w:rsid w:val="00D01310"/>
    <w:rsid w:val="00D0403C"/>
    <w:rsid w:val="00D04774"/>
    <w:rsid w:val="00D20F17"/>
    <w:rsid w:val="00D65DB2"/>
    <w:rsid w:val="00D71023"/>
    <w:rsid w:val="00D800F9"/>
    <w:rsid w:val="00D926B8"/>
    <w:rsid w:val="00DA36A6"/>
    <w:rsid w:val="00DB2C02"/>
    <w:rsid w:val="00DC1EB4"/>
    <w:rsid w:val="00DD69A0"/>
    <w:rsid w:val="00DD77F9"/>
    <w:rsid w:val="00DF79F2"/>
    <w:rsid w:val="00E12726"/>
    <w:rsid w:val="00E144A3"/>
    <w:rsid w:val="00E2493E"/>
    <w:rsid w:val="00E36389"/>
    <w:rsid w:val="00E421F0"/>
    <w:rsid w:val="00E63B5B"/>
    <w:rsid w:val="00E67C62"/>
    <w:rsid w:val="00E726C4"/>
    <w:rsid w:val="00E76BF8"/>
    <w:rsid w:val="00E94E54"/>
    <w:rsid w:val="00EC203F"/>
    <w:rsid w:val="00EC5F4A"/>
    <w:rsid w:val="00ED6258"/>
    <w:rsid w:val="00EE5310"/>
    <w:rsid w:val="00EF3FBA"/>
    <w:rsid w:val="00EF7686"/>
    <w:rsid w:val="00F11B34"/>
    <w:rsid w:val="00F26593"/>
    <w:rsid w:val="00F43724"/>
    <w:rsid w:val="00F47D50"/>
    <w:rsid w:val="00F51325"/>
    <w:rsid w:val="00F559D1"/>
    <w:rsid w:val="00F55FAE"/>
    <w:rsid w:val="00F7510A"/>
    <w:rsid w:val="00F91DFE"/>
    <w:rsid w:val="00F92A47"/>
    <w:rsid w:val="00FA070E"/>
    <w:rsid w:val="00FC4700"/>
    <w:rsid w:val="00FC4BBB"/>
    <w:rsid w:val="00FD74E3"/>
    <w:rsid w:val="00FE35B5"/>
    <w:rsid w:val="00FE636C"/>
    <w:rsid w:val="00FF0A70"/>
    <w:rsid w:val="00FF27FE"/>
  </w:rsids>
  <m:mathPr>
    <m:mathFont m:val="Cambria Math"/>
    <m:brkBin m:val="before"/>
    <m:brkBinSub m:val="--"/>
    <m:smallFrac m:val="0"/>
    <m:dispDef/>
    <m:lMargin m:val="0"/>
    <m:rMargin m:val="0"/>
    <m:defJc m:val="centerGroup"/>
    <m:wrapIndent m:val="1440"/>
    <m:intLim m:val="subSup"/>
    <m:naryLim m:val="undOvr"/>
  </m:mathPr>
  <w:themeFontLang w:val="es-P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FB9DD2"/>
  <w15:chartTrackingRefBased/>
  <w15:docId w15:val="{E7C38913-8486-4C5B-A72E-69FC38ABC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P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3B5B"/>
    <w:pPr>
      <w:spacing w:after="0" w:line="240" w:lineRule="auto"/>
    </w:pPr>
    <w:rPr>
      <w:rFonts w:ascii="Cambria" w:eastAsia="Cambria" w:hAnsi="Cambria" w:cs="Times New Roman"/>
      <w:sz w:val="24"/>
      <w:szCs w:val="24"/>
      <w:lang w:val="en-US"/>
    </w:rPr>
  </w:style>
  <w:style w:type="paragraph" w:styleId="Ttulo1">
    <w:name w:val="heading 1"/>
    <w:basedOn w:val="Normal"/>
    <w:next w:val="Normal"/>
    <w:link w:val="Ttulo1Car"/>
    <w:uiPriority w:val="9"/>
    <w:qFormat/>
    <w:rsid w:val="00E63B5B"/>
    <w:pPr>
      <w:keepNext/>
      <w:spacing w:before="240" w:after="60"/>
      <w:outlineLvl w:val="0"/>
    </w:pPr>
    <w:rPr>
      <w:rFonts w:eastAsia="Times New Roman"/>
      <w:b/>
      <w:bCs/>
      <w:kern w:val="32"/>
      <w:sz w:val="32"/>
      <w:szCs w:val="32"/>
      <w:lang w:val="es-CR"/>
    </w:rPr>
  </w:style>
  <w:style w:type="paragraph" w:styleId="Ttulo2">
    <w:name w:val="heading 2"/>
    <w:basedOn w:val="Normal"/>
    <w:next w:val="Normal"/>
    <w:link w:val="Ttulo2Car"/>
    <w:uiPriority w:val="9"/>
    <w:unhideWhenUsed/>
    <w:qFormat/>
    <w:rsid w:val="00E63B5B"/>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5C5C2A"/>
    <w:pPr>
      <w:keepNext/>
      <w:keepLines/>
      <w:spacing w:before="40" w:line="259" w:lineRule="auto"/>
      <w:outlineLvl w:val="2"/>
    </w:pPr>
    <w:rPr>
      <w:rFonts w:asciiTheme="majorHAnsi" w:eastAsiaTheme="majorEastAsia" w:hAnsiTheme="majorHAnsi" w:cstheme="majorBidi"/>
      <w:color w:val="1F4D78" w:themeColor="accent1" w:themeShade="7F"/>
      <w:lang w:val="es-CR"/>
    </w:rPr>
  </w:style>
  <w:style w:type="paragraph" w:styleId="Ttulo4">
    <w:name w:val="heading 4"/>
    <w:basedOn w:val="Normal"/>
    <w:next w:val="Normal"/>
    <w:link w:val="Ttulo4Car"/>
    <w:uiPriority w:val="9"/>
    <w:semiHidden/>
    <w:unhideWhenUsed/>
    <w:qFormat/>
    <w:rsid w:val="004777D8"/>
    <w:pPr>
      <w:keepNext/>
      <w:keepLines/>
      <w:spacing w:before="200" w:line="276" w:lineRule="auto"/>
      <w:outlineLvl w:val="3"/>
    </w:pPr>
    <w:rPr>
      <w:rFonts w:asciiTheme="majorHAnsi" w:eastAsiaTheme="majorEastAsia" w:hAnsiTheme="majorHAnsi" w:cstheme="majorBidi"/>
      <w:b/>
      <w:bCs/>
      <w:i/>
      <w:iCs/>
      <w:color w:val="5B9BD5" w:themeColor="accent1"/>
      <w:sz w:val="22"/>
      <w:szCs w:val="22"/>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63B5B"/>
    <w:rPr>
      <w:rFonts w:ascii="Cambria" w:eastAsia="Times New Roman" w:hAnsi="Cambria" w:cs="Times New Roman"/>
      <w:b/>
      <w:bCs/>
      <w:kern w:val="32"/>
      <w:sz w:val="32"/>
      <w:szCs w:val="32"/>
      <w:lang w:val="es-CR"/>
    </w:rPr>
  </w:style>
  <w:style w:type="character" w:customStyle="1" w:styleId="Ttulo2Car">
    <w:name w:val="Título 2 Car"/>
    <w:basedOn w:val="Fuentedeprrafopredeter"/>
    <w:link w:val="Ttulo2"/>
    <w:uiPriority w:val="9"/>
    <w:rsid w:val="00E63B5B"/>
    <w:rPr>
      <w:rFonts w:asciiTheme="majorHAnsi" w:eastAsiaTheme="majorEastAsia" w:hAnsiTheme="majorHAnsi" w:cstheme="majorBidi"/>
      <w:color w:val="2E74B5" w:themeColor="accent1" w:themeShade="BF"/>
      <w:sz w:val="26"/>
      <w:szCs w:val="26"/>
      <w:lang w:val="en-US"/>
    </w:rPr>
  </w:style>
  <w:style w:type="paragraph" w:styleId="Encabezado">
    <w:name w:val="header"/>
    <w:basedOn w:val="Normal"/>
    <w:link w:val="EncabezadoCar"/>
    <w:unhideWhenUsed/>
    <w:rsid w:val="00E63B5B"/>
    <w:pPr>
      <w:tabs>
        <w:tab w:val="center" w:pos="4320"/>
        <w:tab w:val="right" w:pos="8640"/>
      </w:tabs>
    </w:pPr>
    <w:rPr>
      <w:lang w:val="x-none" w:eastAsia="x-none"/>
    </w:rPr>
  </w:style>
  <w:style w:type="character" w:customStyle="1" w:styleId="EncabezadoCar">
    <w:name w:val="Encabezado Car"/>
    <w:basedOn w:val="Fuentedeprrafopredeter"/>
    <w:link w:val="Encabezado"/>
    <w:uiPriority w:val="99"/>
    <w:rsid w:val="00E63B5B"/>
    <w:rPr>
      <w:rFonts w:ascii="Cambria" w:eastAsia="Cambria" w:hAnsi="Cambria" w:cs="Times New Roman"/>
      <w:sz w:val="24"/>
      <w:szCs w:val="24"/>
      <w:lang w:val="x-none" w:eastAsia="x-none"/>
    </w:rPr>
  </w:style>
  <w:style w:type="paragraph" w:styleId="NormalWeb">
    <w:name w:val="Normal (Web)"/>
    <w:basedOn w:val="Normal"/>
    <w:uiPriority w:val="99"/>
    <w:unhideWhenUsed/>
    <w:rsid w:val="00DC1EB4"/>
    <w:pPr>
      <w:spacing w:before="100" w:beforeAutospacing="1" w:after="100" w:afterAutospacing="1"/>
    </w:pPr>
    <w:rPr>
      <w:rFonts w:ascii="Times New Roman" w:eastAsiaTheme="minorEastAsia" w:hAnsi="Times New Roman"/>
      <w:lang w:val="es-PA" w:eastAsia="es-PA"/>
    </w:rPr>
  </w:style>
  <w:style w:type="paragraph" w:styleId="Textonotapie">
    <w:name w:val="footnote text"/>
    <w:basedOn w:val="Normal"/>
    <w:link w:val="TextonotapieCar"/>
    <w:uiPriority w:val="99"/>
    <w:unhideWhenUsed/>
    <w:rsid w:val="001C6615"/>
    <w:rPr>
      <w:rFonts w:ascii="Calibri" w:eastAsia="Calibri" w:hAnsi="Calibri"/>
      <w:sz w:val="20"/>
      <w:szCs w:val="20"/>
      <w:lang w:val="es-MX"/>
    </w:rPr>
  </w:style>
  <w:style w:type="character" w:customStyle="1" w:styleId="TextonotapieCar">
    <w:name w:val="Texto nota pie Car"/>
    <w:basedOn w:val="Fuentedeprrafopredeter"/>
    <w:link w:val="Textonotapie"/>
    <w:uiPriority w:val="99"/>
    <w:rsid w:val="001C6615"/>
    <w:rPr>
      <w:rFonts w:ascii="Calibri" w:eastAsia="Calibri" w:hAnsi="Calibri" w:cs="Times New Roman"/>
      <w:sz w:val="20"/>
      <w:szCs w:val="20"/>
      <w:lang w:val="es-MX"/>
    </w:rPr>
  </w:style>
  <w:style w:type="character" w:styleId="Refdenotaalpie">
    <w:name w:val="footnote reference"/>
    <w:aliases w:val="referencia nota al pie"/>
    <w:basedOn w:val="Fuentedeprrafopredeter"/>
    <w:uiPriority w:val="99"/>
    <w:unhideWhenUsed/>
    <w:rsid w:val="001C6615"/>
    <w:rPr>
      <w:vertAlign w:val="superscript"/>
    </w:rPr>
  </w:style>
  <w:style w:type="paragraph" w:customStyle="1" w:styleId="Default">
    <w:name w:val="Default"/>
    <w:rsid w:val="001C6615"/>
    <w:pPr>
      <w:autoSpaceDE w:val="0"/>
      <w:autoSpaceDN w:val="0"/>
      <w:adjustRightInd w:val="0"/>
      <w:spacing w:after="0" w:line="240" w:lineRule="auto"/>
    </w:pPr>
    <w:rPr>
      <w:rFonts w:ascii="YHMIE F+ Cholla Sans" w:hAnsi="YHMIE F+ Cholla Sans" w:cs="YHMIE F+ Cholla Sans"/>
      <w:color w:val="000000"/>
      <w:sz w:val="24"/>
      <w:szCs w:val="24"/>
      <w:lang w:val="es-ES"/>
    </w:rPr>
  </w:style>
  <w:style w:type="character" w:customStyle="1" w:styleId="Ttulo3Car">
    <w:name w:val="Título 3 Car"/>
    <w:basedOn w:val="Fuentedeprrafopredeter"/>
    <w:link w:val="Ttulo3"/>
    <w:uiPriority w:val="9"/>
    <w:rsid w:val="005C5C2A"/>
    <w:rPr>
      <w:rFonts w:asciiTheme="majorHAnsi" w:eastAsiaTheme="majorEastAsia" w:hAnsiTheme="majorHAnsi" w:cstheme="majorBidi"/>
      <w:color w:val="1F4D78" w:themeColor="accent1" w:themeShade="7F"/>
      <w:sz w:val="24"/>
      <w:szCs w:val="24"/>
      <w:lang w:val="es-CR"/>
    </w:rPr>
  </w:style>
  <w:style w:type="table" w:customStyle="1" w:styleId="Tabladecuadrcula4-nfasis11">
    <w:name w:val="Tabla de cuadrícula 4 - Énfasis 11"/>
    <w:basedOn w:val="Tablanormal"/>
    <w:uiPriority w:val="49"/>
    <w:rsid w:val="005C5C2A"/>
    <w:pPr>
      <w:spacing w:after="0" w:line="240" w:lineRule="auto"/>
    </w:pPr>
    <w:rPr>
      <w:lang w:val="es-CR"/>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ParaAttribute0">
    <w:name w:val="ParaAttribute0"/>
    <w:rsid w:val="005C5C2A"/>
    <w:pPr>
      <w:spacing w:after="200" w:line="240" w:lineRule="auto"/>
      <w:jc w:val="both"/>
    </w:pPr>
    <w:rPr>
      <w:rFonts w:ascii="Times New Roman" w:eastAsia="□□" w:hAnsi="Times New Roman" w:cs="Times New Roman"/>
      <w:sz w:val="20"/>
      <w:szCs w:val="20"/>
      <w:lang w:val="es-CR" w:eastAsia="es-CR"/>
    </w:rPr>
  </w:style>
  <w:style w:type="paragraph" w:customStyle="1" w:styleId="ParaAttribute1">
    <w:name w:val="ParaAttribute1"/>
    <w:rsid w:val="005C5C2A"/>
    <w:pPr>
      <w:spacing w:after="0" w:line="240" w:lineRule="auto"/>
      <w:jc w:val="both"/>
    </w:pPr>
    <w:rPr>
      <w:rFonts w:ascii="Times New Roman" w:eastAsia="□□" w:hAnsi="Times New Roman" w:cs="Times New Roman"/>
      <w:sz w:val="20"/>
      <w:szCs w:val="20"/>
      <w:lang w:val="es-CR" w:eastAsia="es-CR"/>
    </w:rPr>
  </w:style>
  <w:style w:type="paragraph" w:customStyle="1" w:styleId="ParaAttribute2">
    <w:name w:val="ParaAttribute2"/>
    <w:rsid w:val="005C5C2A"/>
    <w:pPr>
      <w:spacing w:after="200" w:line="240" w:lineRule="auto"/>
      <w:jc w:val="center"/>
    </w:pPr>
    <w:rPr>
      <w:rFonts w:ascii="Times New Roman" w:eastAsia="□□" w:hAnsi="Times New Roman" w:cs="Times New Roman"/>
      <w:sz w:val="20"/>
      <w:szCs w:val="20"/>
      <w:lang w:val="es-CR" w:eastAsia="es-CR"/>
    </w:rPr>
  </w:style>
  <w:style w:type="paragraph" w:customStyle="1" w:styleId="ParaAttribute4">
    <w:name w:val="ParaAttribute4"/>
    <w:rsid w:val="005C5C2A"/>
    <w:pPr>
      <w:spacing w:after="0" w:line="240" w:lineRule="auto"/>
      <w:jc w:val="center"/>
    </w:pPr>
    <w:rPr>
      <w:rFonts w:ascii="Times New Roman" w:eastAsia="□□" w:hAnsi="Times New Roman" w:cs="Times New Roman"/>
      <w:sz w:val="20"/>
      <w:szCs w:val="20"/>
      <w:lang w:val="es-CR" w:eastAsia="es-CR"/>
    </w:rPr>
  </w:style>
  <w:style w:type="paragraph" w:customStyle="1" w:styleId="ParaAttribute6">
    <w:name w:val="ParaAttribute6"/>
    <w:rsid w:val="005C5C2A"/>
    <w:pPr>
      <w:spacing w:after="0" w:line="240" w:lineRule="auto"/>
    </w:pPr>
    <w:rPr>
      <w:rFonts w:ascii="Times New Roman" w:eastAsia="□□" w:hAnsi="Times New Roman" w:cs="Times New Roman"/>
      <w:sz w:val="20"/>
      <w:szCs w:val="20"/>
      <w:lang w:val="es-CR" w:eastAsia="es-CR"/>
    </w:rPr>
  </w:style>
  <w:style w:type="paragraph" w:customStyle="1" w:styleId="ParaAttribute8">
    <w:name w:val="ParaAttribute8"/>
    <w:rsid w:val="005C5C2A"/>
    <w:pPr>
      <w:tabs>
        <w:tab w:val="left" w:pos="838"/>
      </w:tabs>
      <w:spacing w:after="200" w:line="240" w:lineRule="auto"/>
      <w:jc w:val="both"/>
    </w:pPr>
    <w:rPr>
      <w:rFonts w:ascii="Times New Roman" w:eastAsia="□□" w:hAnsi="Times New Roman" w:cs="Times New Roman"/>
      <w:sz w:val="20"/>
      <w:szCs w:val="20"/>
      <w:lang w:val="es-CR" w:eastAsia="es-CR"/>
    </w:rPr>
  </w:style>
  <w:style w:type="paragraph" w:customStyle="1" w:styleId="ParaAttribute9">
    <w:name w:val="ParaAttribute9"/>
    <w:rsid w:val="005C5C2A"/>
    <w:pPr>
      <w:tabs>
        <w:tab w:val="left" w:pos="838"/>
      </w:tabs>
      <w:spacing w:after="200" w:line="240" w:lineRule="auto"/>
      <w:jc w:val="center"/>
    </w:pPr>
    <w:rPr>
      <w:rFonts w:ascii="Times New Roman" w:eastAsia="□□" w:hAnsi="Times New Roman" w:cs="Times New Roman"/>
      <w:sz w:val="20"/>
      <w:szCs w:val="20"/>
      <w:lang w:val="es-CR" w:eastAsia="es-CR"/>
    </w:rPr>
  </w:style>
  <w:style w:type="paragraph" w:customStyle="1" w:styleId="ParaAttribute14">
    <w:name w:val="ParaAttribute14"/>
    <w:rsid w:val="005C5C2A"/>
    <w:pPr>
      <w:spacing w:after="0" w:line="240" w:lineRule="auto"/>
      <w:jc w:val="both"/>
    </w:pPr>
    <w:rPr>
      <w:rFonts w:ascii="Times New Roman" w:eastAsia="□□" w:hAnsi="Times New Roman" w:cs="Times New Roman"/>
      <w:sz w:val="20"/>
      <w:szCs w:val="20"/>
      <w:lang w:val="es-CR" w:eastAsia="es-CR"/>
    </w:rPr>
  </w:style>
  <w:style w:type="character" w:customStyle="1" w:styleId="CharAttribute1">
    <w:name w:val="CharAttribute1"/>
    <w:rsid w:val="005C5C2A"/>
    <w:rPr>
      <w:rFonts w:ascii="Arial" w:eastAsia="Arial"/>
      <w:b/>
      <w:sz w:val="24"/>
    </w:rPr>
  </w:style>
  <w:style w:type="character" w:customStyle="1" w:styleId="CharAttribute3">
    <w:name w:val="CharAttribute3"/>
    <w:rsid w:val="005C5C2A"/>
    <w:rPr>
      <w:rFonts w:ascii="Arial" w:eastAsia="Arial"/>
      <w:sz w:val="24"/>
    </w:rPr>
  </w:style>
  <w:style w:type="character" w:customStyle="1" w:styleId="CharAttribute5">
    <w:name w:val="CharAttribute5"/>
    <w:rsid w:val="005C5C2A"/>
    <w:rPr>
      <w:rFonts w:ascii="Arial" w:eastAsia="Arial"/>
      <w:b/>
      <w:sz w:val="18"/>
    </w:rPr>
  </w:style>
  <w:style w:type="character" w:customStyle="1" w:styleId="CharAttribute12">
    <w:name w:val="CharAttribute12"/>
    <w:rsid w:val="005C5C2A"/>
    <w:rPr>
      <w:rFonts w:ascii="Arial" w:eastAsia="Arial"/>
      <w:sz w:val="16"/>
    </w:rPr>
  </w:style>
  <w:style w:type="character" w:customStyle="1" w:styleId="CharAttribute28">
    <w:name w:val="CharAttribute28"/>
    <w:rsid w:val="005C5C2A"/>
    <w:rPr>
      <w:rFonts w:ascii="Arial" w:eastAsia="Arial"/>
      <w:sz w:val="14"/>
    </w:rPr>
  </w:style>
  <w:style w:type="character" w:customStyle="1" w:styleId="CharAttribute29">
    <w:name w:val="CharAttribute29"/>
    <w:rsid w:val="005C5C2A"/>
    <w:rPr>
      <w:rFonts w:ascii="Arial" w:eastAsia="Arial"/>
      <w:b/>
      <w:color w:val="FF0000"/>
      <w:sz w:val="18"/>
    </w:rPr>
  </w:style>
  <w:style w:type="character" w:customStyle="1" w:styleId="CharAttribute32">
    <w:name w:val="CharAttribute32"/>
    <w:rsid w:val="005C5C2A"/>
    <w:rPr>
      <w:rFonts w:ascii="Arial" w:eastAsia="Arial"/>
      <w:sz w:val="18"/>
    </w:rPr>
  </w:style>
  <w:style w:type="character" w:customStyle="1" w:styleId="CharAttribute35">
    <w:name w:val="CharAttribute35"/>
    <w:rsid w:val="005C5C2A"/>
    <w:rPr>
      <w:rFonts w:ascii="Arial" w:eastAsia="Arial"/>
      <w:color w:val="003300"/>
      <w:sz w:val="24"/>
    </w:rPr>
  </w:style>
  <w:style w:type="table" w:customStyle="1" w:styleId="DefaultTable">
    <w:name w:val="Default Table"/>
    <w:rsid w:val="005C5C2A"/>
    <w:pPr>
      <w:spacing w:after="0" w:line="240" w:lineRule="auto"/>
    </w:pPr>
    <w:rPr>
      <w:rFonts w:ascii="Times New Roman" w:eastAsia="□□" w:hAnsi="Times New Roman" w:cs="Times New Roman"/>
      <w:sz w:val="20"/>
      <w:szCs w:val="20"/>
      <w:lang w:val="es-CR" w:eastAsia="es-C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Attribute15">
    <w:name w:val="CharAttribute15"/>
    <w:rsid w:val="005C5C2A"/>
    <w:rPr>
      <w:rFonts w:ascii="Times New Roman" w:eastAsia="Times New Roman"/>
    </w:rPr>
  </w:style>
  <w:style w:type="character" w:customStyle="1" w:styleId="CharAttribute17">
    <w:name w:val="CharAttribute17"/>
    <w:rsid w:val="005C5C2A"/>
    <w:rPr>
      <w:rFonts w:ascii="Times New Roman" w:eastAsia="Times New Roman"/>
      <w:sz w:val="24"/>
    </w:rPr>
  </w:style>
  <w:style w:type="character" w:customStyle="1" w:styleId="CharAttribute18">
    <w:name w:val="CharAttribute18"/>
    <w:rsid w:val="005C5C2A"/>
    <w:rPr>
      <w:rFonts w:ascii="Times New Roman" w:eastAsia="Times New Roman"/>
      <w:sz w:val="16"/>
    </w:rPr>
  </w:style>
  <w:style w:type="character" w:customStyle="1" w:styleId="Ttulo4Car">
    <w:name w:val="Título 4 Car"/>
    <w:basedOn w:val="Fuentedeprrafopredeter"/>
    <w:link w:val="Ttulo4"/>
    <w:uiPriority w:val="9"/>
    <w:semiHidden/>
    <w:rsid w:val="004777D8"/>
    <w:rPr>
      <w:rFonts w:asciiTheme="majorHAnsi" w:eastAsiaTheme="majorEastAsia" w:hAnsiTheme="majorHAnsi" w:cstheme="majorBidi"/>
      <w:b/>
      <w:bCs/>
      <w:i/>
      <w:iCs/>
      <w:color w:val="5B9BD5" w:themeColor="accent1"/>
      <w:lang w:val="es-CR"/>
    </w:rPr>
  </w:style>
  <w:style w:type="character" w:styleId="Refdecomentario">
    <w:name w:val="annotation reference"/>
    <w:basedOn w:val="Fuentedeprrafopredeter"/>
    <w:uiPriority w:val="99"/>
    <w:semiHidden/>
    <w:unhideWhenUsed/>
    <w:rsid w:val="004777D8"/>
    <w:rPr>
      <w:sz w:val="16"/>
      <w:szCs w:val="16"/>
    </w:rPr>
  </w:style>
  <w:style w:type="paragraph" w:styleId="Textocomentario">
    <w:name w:val="annotation text"/>
    <w:basedOn w:val="Normal"/>
    <w:link w:val="TextocomentarioCar"/>
    <w:uiPriority w:val="99"/>
    <w:semiHidden/>
    <w:unhideWhenUsed/>
    <w:rsid w:val="004777D8"/>
    <w:pPr>
      <w:spacing w:after="160"/>
    </w:pPr>
    <w:rPr>
      <w:rFonts w:asciiTheme="minorHAnsi" w:eastAsiaTheme="minorHAnsi" w:hAnsiTheme="minorHAnsi" w:cstheme="minorBidi"/>
      <w:sz w:val="20"/>
      <w:szCs w:val="20"/>
      <w:lang w:val="es-CR"/>
    </w:rPr>
  </w:style>
  <w:style w:type="character" w:customStyle="1" w:styleId="TextocomentarioCar">
    <w:name w:val="Texto comentario Car"/>
    <w:basedOn w:val="Fuentedeprrafopredeter"/>
    <w:link w:val="Textocomentario"/>
    <w:uiPriority w:val="99"/>
    <w:semiHidden/>
    <w:rsid w:val="004777D8"/>
    <w:rPr>
      <w:sz w:val="20"/>
      <w:szCs w:val="20"/>
      <w:lang w:val="es-CR"/>
    </w:rPr>
  </w:style>
  <w:style w:type="paragraph" w:styleId="Asuntodelcomentario">
    <w:name w:val="annotation subject"/>
    <w:basedOn w:val="Textocomentario"/>
    <w:next w:val="Textocomentario"/>
    <w:link w:val="AsuntodelcomentarioCar"/>
    <w:uiPriority w:val="99"/>
    <w:semiHidden/>
    <w:unhideWhenUsed/>
    <w:rsid w:val="004777D8"/>
    <w:rPr>
      <w:b/>
      <w:bCs/>
    </w:rPr>
  </w:style>
  <w:style w:type="character" w:customStyle="1" w:styleId="AsuntodelcomentarioCar">
    <w:name w:val="Asunto del comentario Car"/>
    <w:basedOn w:val="TextocomentarioCar"/>
    <w:link w:val="Asuntodelcomentario"/>
    <w:uiPriority w:val="99"/>
    <w:semiHidden/>
    <w:rsid w:val="004777D8"/>
    <w:rPr>
      <w:b/>
      <w:bCs/>
      <w:sz w:val="20"/>
      <w:szCs w:val="20"/>
      <w:lang w:val="es-CR"/>
    </w:rPr>
  </w:style>
  <w:style w:type="paragraph" w:styleId="Textodeglobo">
    <w:name w:val="Balloon Text"/>
    <w:basedOn w:val="Normal"/>
    <w:link w:val="TextodegloboCar"/>
    <w:uiPriority w:val="99"/>
    <w:semiHidden/>
    <w:unhideWhenUsed/>
    <w:rsid w:val="004777D8"/>
    <w:rPr>
      <w:rFonts w:ascii="Segoe UI" w:eastAsiaTheme="minorHAnsi" w:hAnsi="Segoe UI" w:cs="Segoe UI"/>
      <w:sz w:val="18"/>
      <w:szCs w:val="18"/>
      <w:lang w:val="es-CR"/>
    </w:rPr>
  </w:style>
  <w:style w:type="character" w:customStyle="1" w:styleId="TextodegloboCar">
    <w:name w:val="Texto de globo Car"/>
    <w:basedOn w:val="Fuentedeprrafopredeter"/>
    <w:link w:val="Textodeglobo"/>
    <w:uiPriority w:val="99"/>
    <w:semiHidden/>
    <w:rsid w:val="004777D8"/>
    <w:rPr>
      <w:rFonts w:ascii="Segoe UI" w:hAnsi="Segoe UI" w:cs="Segoe UI"/>
      <w:sz w:val="18"/>
      <w:szCs w:val="18"/>
      <w:lang w:val="es-CR"/>
    </w:rPr>
  </w:style>
  <w:style w:type="paragraph" w:customStyle="1" w:styleId="Cuadrculamedia21">
    <w:name w:val="Cuadrícula media 21"/>
    <w:link w:val="Cuadrculamedia2Car"/>
    <w:qFormat/>
    <w:rsid w:val="004777D8"/>
    <w:pPr>
      <w:spacing w:after="0" w:line="240" w:lineRule="auto"/>
    </w:pPr>
    <w:rPr>
      <w:rFonts w:ascii="PMingLiU" w:eastAsia="Times New Roman" w:hAnsi="PMingLiU" w:cs="Times New Roman"/>
      <w:lang w:val="en-US"/>
    </w:rPr>
  </w:style>
  <w:style w:type="character" w:customStyle="1" w:styleId="Cuadrculamedia2Car">
    <w:name w:val="Cuadrícula media 2 Car"/>
    <w:link w:val="Cuadrculamedia21"/>
    <w:rsid w:val="004777D8"/>
    <w:rPr>
      <w:rFonts w:ascii="PMingLiU" w:eastAsia="Times New Roman" w:hAnsi="PMingLiU" w:cs="Times New Roman"/>
      <w:lang w:val="en-US"/>
    </w:rPr>
  </w:style>
  <w:style w:type="paragraph" w:styleId="Piedepgina">
    <w:name w:val="footer"/>
    <w:basedOn w:val="Normal"/>
    <w:link w:val="PiedepginaCar"/>
    <w:uiPriority w:val="99"/>
    <w:unhideWhenUsed/>
    <w:rsid w:val="004777D8"/>
    <w:pPr>
      <w:tabs>
        <w:tab w:val="center" w:pos="4320"/>
        <w:tab w:val="right" w:pos="8640"/>
      </w:tabs>
    </w:pPr>
    <w:rPr>
      <w:lang w:val="x-none" w:eastAsia="x-none"/>
    </w:rPr>
  </w:style>
  <w:style w:type="character" w:customStyle="1" w:styleId="PiedepginaCar">
    <w:name w:val="Pie de página Car"/>
    <w:basedOn w:val="Fuentedeprrafopredeter"/>
    <w:link w:val="Piedepgina"/>
    <w:uiPriority w:val="99"/>
    <w:rsid w:val="004777D8"/>
    <w:rPr>
      <w:rFonts w:ascii="Cambria" w:eastAsia="Cambria" w:hAnsi="Cambria" w:cs="Times New Roman"/>
      <w:sz w:val="24"/>
      <w:szCs w:val="24"/>
      <w:lang w:val="x-none" w:eastAsia="x-none"/>
    </w:rPr>
  </w:style>
  <w:style w:type="paragraph" w:customStyle="1" w:styleId="BasicParagraph">
    <w:name w:val="[Basic Paragraph]"/>
    <w:basedOn w:val="Normal"/>
    <w:uiPriority w:val="99"/>
    <w:rsid w:val="004777D8"/>
    <w:pPr>
      <w:widowControl w:val="0"/>
      <w:autoSpaceDE w:val="0"/>
      <w:autoSpaceDN w:val="0"/>
      <w:adjustRightInd w:val="0"/>
      <w:spacing w:line="288" w:lineRule="auto"/>
      <w:textAlignment w:val="center"/>
    </w:pPr>
    <w:rPr>
      <w:rFonts w:ascii="Times-Roman" w:hAnsi="Times-Roman" w:cs="Times-Roman"/>
      <w:color w:val="000000"/>
    </w:rPr>
  </w:style>
  <w:style w:type="character" w:customStyle="1" w:styleId="Textodocumento">
    <w:name w:val="Texto documento"/>
    <w:uiPriority w:val="99"/>
    <w:rsid w:val="004777D8"/>
    <w:rPr>
      <w:rFonts w:ascii="BookmanOldStyle" w:hAnsi="BookmanOldStyle" w:cs="BookmanOldStyle"/>
      <w:sz w:val="22"/>
      <w:szCs w:val="22"/>
      <w:lang w:val="es-ES_tradnl"/>
    </w:rPr>
  </w:style>
  <w:style w:type="character" w:styleId="Hipervnculo">
    <w:name w:val="Hyperlink"/>
    <w:uiPriority w:val="99"/>
    <w:unhideWhenUsed/>
    <w:rsid w:val="004777D8"/>
    <w:rPr>
      <w:color w:val="0000FF"/>
      <w:u w:val="single"/>
    </w:rPr>
  </w:style>
  <w:style w:type="paragraph" w:customStyle="1" w:styleId="Listamulticolor-nfasis11">
    <w:name w:val="Lista multicolor - Énfasis 11"/>
    <w:basedOn w:val="Normal"/>
    <w:uiPriority w:val="72"/>
    <w:qFormat/>
    <w:rsid w:val="004777D8"/>
    <w:pPr>
      <w:ind w:left="720"/>
      <w:contextualSpacing/>
    </w:pPr>
  </w:style>
  <w:style w:type="paragraph" w:customStyle="1" w:styleId="Noparagraphstyle">
    <w:name w:val="[No paragraph style]"/>
    <w:rsid w:val="004777D8"/>
    <w:pPr>
      <w:widowControl w:val="0"/>
      <w:autoSpaceDE w:val="0"/>
      <w:autoSpaceDN w:val="0"/>
      <w:adjustRightInd w:val="0"/>
      <w:spacing w:after="0" w:line="288" w:lineRule="auto"/>
    </w:pPr>
    <w:rPr>
      <w:rFonts w:ascii="Times New Roman" w:eastAsia="Times New Roman" w:hAnsi="Times New Roman" w:cs="Times New Roman"/>
      <w:color w:val="000000"/>
      <w:sz w:val="24"/>
      <w:szCs w:val="24"/>
      <w:lang w:val="es-ES" w:eastAsia="es-ES"/>
    </w:rPr>
  </w:style>
  <w:style w:type="table" w:styleId="Tablaconcuadrcula">
    <w:name w:val="Table Grid"/>
    <w:basedOn w:val="Tablanormal"/>
    <w:uiPriority w:val="39"/>
    <w:rsid w:val="004777D8"/>
    <w:pPr>
      <w:spacing w:after="0" w:line="240" w:lineRule="auto"/>
    </w:pPr>
    <w:rPr>
      <w:rFonts w:ascii="Cambria" w:eastAsia="Cambria" w:hAnsi="Cambria" w:cs="Times New Roman"/>
      <w:sz w:val="20"/>
      <w:szCs w:val="20"/>
      <w:lang w:val="es-CR"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aliases w:val="titulo 5"/>
    <w:basedOn w:val="Normal"/>
    <w:link w:val="PrrafodelistaCar"/>
    <w:uiPriority w:val="34"/>
    <w:qFormat/>
    <w:rsid w:val="004777D8"/>
    <w:pPr>
      <w:ind w:left="720"/>
      <w:contextualSpacing/>
    </w:pPr>
  </w:style>
  <w:style w:type="paragraph" w:styleId="Sinespaciado">
    <w:name w:val="No Spacing"/>
    <w:uiPriority w:val="1"/>
    <w:qFormat/>
    <w:rsid w:val="004777D8"/>
    <w:pPr>
      <w:spacing w:after="0" w:line="240" w:lineRule="auto"/>
    </w:pPr>
    <w:rPr>
      <w:rFonts w:ascii="Calibri" w:eastAsia="Cambria" w:hAnsi="Calibri" w:cs="Times New Roman"/>
      <w:lang w:val="es-CR"/>
    </w:rPr>
  </w:style>
  <w:style w:type="character" w:styleId="Hipervnculovisitado">
    <w:name w:val="FollowedHyperlink"/>
    <w:basedOn w:val="Fuentedeprrafopredeter"/>
    <w:uiPriority w:val="99"/>
    <w:semiHidden/>
    <w:unhideWhenUsed/>
    <w:rsid w:val="004777D8"/>
    <w:rPr>
      <w:color w:val="800080"/>
      <w:u w:val="single"/>
    </w:rPr>
  </w:style>
  <w:style w:type="paragraph" w:customStyle="1" w:styleId="msonormal0">
    <w:name w:val="msonormal"/>
    <w:basedOn w:val="Normal"/>
    <w:rsid w:val="004777D8"/>
    <w:pPr>
      <w:spacing w:before="100" w:beforeAutospacing="1" w:after="100" w:afterAutospacing="1"/>
    </w:pPr>
    <w:rPr>
      <w:rFonts w:ascii="Times New Roman" w:eastAsia="Times New Roman" w:hAnsi="Times New Roman"/>
      <w:lang w:val="es-PA" w:eastAsia="es-PA"/>
    </w:rPr>
  </w:style>
  <w:style w:type="paragraph" w:customStyle="1" w:styleId="xl65">
    <w:name w:val="xl65"/>
    <w:basedOn w:val="Normal"/>
    <w:rsid w:val="004777D8"/>
    <w:pPr>
      <w:spacing w:before="100" w:beforeAutospacing="1" w:after="100" w:afterAutospacing="1"/>
    </w:pPr>
    <w:rPr>
      <w:rFonts w:ascii="Arial" w:eastAsia="Times New Roman" w:hAnsi="Arial" w:cs="Arial"/>
      <w:b/>
      <w:bCs/>
      <w:lang w:val="es-PA" w:eastAsia="es-PA"/>
    </w:rPr>
  </w:style>
  <w:style w:type="paragraph" w:customStyle="1" w:styleId="xl66">
    <w:name w:val="xl66"/>
    <w:basedOn w:val="Normal"/>
    <w:rsid w:val="004777D8"/>
    <w:pPr>
      <w:pBdr>
        <w:top w:val="single" w:sz="4" w:space="0" w:color="auto"/>
        <w:bottom w:val="single" w:sz="4" w:space="0" w:color="auto"/>
      </w:pBdr>
      <w:spacing w:before="100" w:beforeAutospacing="1" w:after="100" w:afterAutospacing="1"/>
    </w:pPr>
    <w:rPr>
      <w:rFonts w:ascii="Times New Roman" w:eastAsia="Times New Roman" w:hAnsi="Times New Roman"/>
      <w:b/>
      <w:bCs/>
      <w:lang w:val="es-PA" w:eastAsia="es-PA"/>
    </w:rPr>
  </w:style>
  <w:style w:type="paragraph" w:customStyle="1" w:styleId="xl67">
    <w:name w:val="xl67"/>
    <w:basedOn w:val="Normal"/>
    <w:rsid w:val="004777D8"/>
    <w:pPr>
      <w:pBdr>
        <w:top w:val="single" w:sz="4" w:space="0" w:color="auto"/>
        <w:bottom w:val="single" w:sz="4" w:space="0" w:color="auto"/>
      </w:pBdr>
      <w:spacing w:before="100" w:beforeAutospacing="1" w:after="100" w:afterAutospacing="1"/>
    </w:pPr>
    <w:rPr>
      <w:rFonts w:ascii="Times New Roman" w:eastAsia="Times New Roman" w:hAnsi="Times New Roman"/>
      <w:lang w:val="es-PA" w:eastAsia="es-PA"/>
    </w:rPr>
  </w:style>
  <w:style w:type="paragraph" w:customStyle="1" w:styleId="xl68">
    <w:name w:val="xl68"/>
    <w:basedOn w:val="Normal"/>
    <w:rsid w:val="004777D8"/>
    <w:pPr>
      <w:spacing w:before="100" w:beforeAutospacing="1" w:after="100" w:afterAutospacing="1"/>
    </w:pPr>
    <w:rPr>
      <w:rFonts w:ascii="Times New Roman" w:eastAsia="Times New Roman" w:hAnsi="Times New Roman"/>
      <w:b/>
      <w:bCs/>
      <w:lang w:val="es-PA" w:eastAsia="es-PA"/>
    </w:rPr>
  </w:style>
  <w:style w:type="paragraph" w:customStyle="1" w:styleId="xl69">
    <w:name w:val="xl69"/>
    <w:basedOn w:val="Normal"/>
    <w:rsid w:val="004777D8"/>
    <w:pPr>
      <w:spacing w:before="100" w:beforeAutospacing="1" w:after="100" w:afterAutospacing="1"/>
      <w:jc w:val="center"/>
      <w:textAlignment w:val="center"/>
    </w:pPr>
    <w:rPr>
      <w:rFonts w:ascii="Times New Roman" w:eastAsia="Times New Roman" w:hAnsi="Times New Roman"/>
      <w:b/>
      <w:bCs/>
      <w:lang w:val="es-PA" w:eastAsia="es-PA"/>
    </w:rPr>
  </w:style>
  <w:style w:type="paragraph" w:customStyle="1" w:styleId="xl70">
    <w:name w:val="xl70"/>
    <w:basedOn w:val="Normal"/>
    <w:rsid w:val="004777D8"/>
    <w:pPr>
      <w:spacing w:before="100" w:beforeAutospacing="1" w:after="100" w:afterAutospacing="1"/>
      <w:jc w:val="center"/>
      <w:textAlignment w:val="center"/>
    </w:pPr>
    <w:rPr>
      <w:rFonts w:ascii="Times New Roman" w:eastAsia="Times New Roman" w:hAnsi="Times New Roman"/>
      <w:lang w:val="es-PA" w:eastAsia="es-PA"/>
    </w:rPr>
  </w:style>
  <w:style w:type="paragraph" w:customStyle="1" w:styleId="xl71">
    <w:name w:val="xl71"/>
    <w:basedOn w:val="Normal"/>
    <w:rsid w:val="004777D8"/>
    <w:pPr>
      <w:pBdr>
        <w:top w:val="single" w:sz="4" w:space="0" w:color="auto"/>
      </w:pBdr>
      <w:spacing w:before="100" w:beforeAutospacing="1" w:after="100" w:afterAutospacing="1"/>
      <w:jc w:val="center"/>
      <w:textAlignment w:val="center"/>
    </w:pPr>
    <w:rPr>
      <w:rFonts w:ascii="Times New Roman" w:eastAsia="Times New Roman" w:hAnsi="Times New Roman"/>
      <w:lang w:val="es-PA" w:eastAsia="es-PA"/>
    </w:rPr>
  </w:style>
  <w:style w:type="paragraph" w:customStyle="1" w:styleId="xl72">
    <w:name w:val="xl72"/>
    <w:basedOn w:val="Normal"/>
    <w:rsid w:val="004777D8"/>
    <w:pPr>
      <w:pBdr>
        <w:bottom w:val="single" w:sz="4" w:space="0" w:color="auto"/>
      </w:pBdr>
      <w:spacing w:before="100" w:beforeAutospacing="1" w:after="100" w:afterAutospacing="1"/>
      <w:jc w:val="center"/>
      <w:textAlignment w:val="center"/>
    </w:pPr>
    <w:rPr>
      <w:rFonts w:ascii="Times New Roman" w:eastAsia="Times New Roman" w:hAnsi="Times New Roman"/>
      <w:lang w:val="es-PA" w:eastAsia="es-PA"/>
    </w:rPr>
  </w:style>
  <w:style w:type="paragraph" w:customStyle="1" w:styleId="xl73">
    <w:name w:val="xl73"/>
    <w:basedOn w:val="Normal"/>
    <w:rsid w:val="004777D8"/>
    <w:pPr>
      <w:pBdr>
        <w:top w:val="single" w:sz="4" w:space="0" w:color="auto"/>
        <w:bottom w:val="single" w:sz="4" w:space="0" w:color="auto"/>
      </w:pBdr>
      <w:spacing w:before="100" w:beforeAutospacing="1" w:after="100" w:afterAutospacing="1"/>
      <w:textAlignment w:val="center"/>
    </w:pPr>
    <w:rPr>
      <w:rFonts w:ascii="Times New Roman" w:eastAsia="Times New Roman" w:hAnsi="Times New Roman"/>
      <w:b/>
      <w:bCs/>
      <w:lang w:val="es-PA" w:eastAsia="es-PA"/>
    </w:rPr>
  </w:style>
  <w:style w:type="paragraph" w:customStyle="1" w:styleId="xl74">
    <w:name w:val="xl74"/>
    <w:basedOn w:val="Normal"/>
    <w:rsid w:val="004777D8"/>
    <w:pPr>
      <w:spacing w:before="100" w:beforeAutospacing="1" w:after="100" w:afterAutospacing="1"/>
      <w:textAlignment w:val="center"/>
    </w:pPr>
    <w:rPr>
      <w:rFonts w:ascii="Times New Roman" w:eastAsia="Times New Roman" w:hAnsi="Times New Roman"/>
      <w:b/>
      <w:bCs/>
      <w:lang w:val="es-PA" w:eastAsia="es-PA"/>
    </w:rPr>
  </w:style>
  <w:style w:type="paragraph" w:customStyle="1" w:styleId="xl75">
    <w:name w:val="xl75"/>
    <w:basedOn w:val="Normal"/>
    <w:rsid w:val="004777D8"/>
    <w:pPr>
      <w:spacing w:before="100" w:beforeAutospacing="1" w:after="100" w:afterAutospacing="1"/>
      <w:textAlignment w:val="center"/>
    </w:pPr>
    <w:rPr>
      <w:rFonts w:ascii="Times New Roman" w:eastAsia="Times New Roman" w:hAnsi="Times New Roman"/>
      <w:lang w:val="es-PA" w:eastAsia="es-PA"/>
    </w:rPr>
  </w:style>
  <w:style w:type="paragraph" w:customStyle="1" w:styleId="xl76">
    <w:name w:val="xl76"/>
    <w:basedOn w:val="Normal"/>
    <w:rsid w:val="004777D8"/>
    <w:pPr>
      <w:spacing w:before="100" w:beforeAutospacing="1" w:after="100" w:afterAutospacing="1"/>
      <w:textAlignment w:val="center"/>
    </w:pPr>
    <w:rPr>
      <w:rFonts w:ascii="Times New Roman" w:eastAsia="Times New Roman" w:hAnsi="Times New Roman"/>
      <w:lang w:val="es-PA" w:eastAsia="es-PA"/>
    </w:rPr>
  </w:style>
  <w:style w:type="paragraph" w:customStyle="1" w:styleId="xl77">
    <w:name w:val="xl77"/>
    <w:basedOn w:val="Normal"/>
    <w:rsid w:val="004777D8"/>
    <w:pPr>
      <w:pBdr>
        <w:top w:val="single" w:sz="4" w:space="0" w:color="auto"/>
      </w:pBdr>
      <w:spacing w:before="100" w:beforeAutospacing="1" w:after="100" w:afterAutospacing="1"/>
      <w:textAlignment w:val="center"/>
    </w:pPr>
    <w:rPr>
      <w:rFonts w:ascii="Times New Roman" w:eastAsia="Times New Roman" w:hAnsi="Times New Roman"/>
      <w:lang w:val="es-PA" w:eastAsia="es-PA"/>
    </w:rPr>
  </w:style>
  <w:style w:type="paragraph" w:customStyle="1" w:styleId="xl78">
    <w:name w:val="xl78"/>
    <w:basedOn w:val="Normal"/>
    <w:rsid w:val="004777D8"/>
    <w:pPr>
      <w:pBdr>
        <w:bottom w:val="single" w:sz="4" w:space="0" w:color="auto"/>
      </w:pBdr>
      <w:spacing w:before="100" w:beforeAutospacing="1" w:after="100" w:afterAutospacing="1"/>
      <w:textAlignment w:val="center"/>
    </w:pPr>
    <w:rPr>
      <w:rFonts w:ascii="Times New Roman" w:eastAsia="Times New Roman" w:hAnsi="Times New Roman"/>
      <w:lang w:val="es-PA" w:eastAsia="es-PA"/>
    </w:rPr>
  </w:style>
  <w:style w:type="paragraph" w:customStyle="1" w:styleId="xl79">
    <w:name w:val="xl79"/>
    <w:basedOn w:val="Normal"/>
    <w:rsid w:val="004777D8"/>
    <w:pPr>
      <w:spacing w:before="100" w:beforeAutospacing="1" w:after="100" w:afterAutospacing="1"/>
      <w:textAlignment w:val="center"/>
    </w:pPr>
    <w:rPr>
      <w:rFonts w:ascii="Times New Roman" w:eastAsia="Times New Roman" w:hAnsi="Times New Roman"/>
      <w:lang w:val="es-PA" w:eastAsia="es-PA"/>
    </w:rPr>
  </w:style>
  <w:style w:type="paragraph" w:customStyle="1" w:styleId="xl80">
    <w:name w:val="xl80"/>
    <w:basedOn w:val="Normal"/>
    <w:rsid w:val="004777D8"/>
    <w:pPr>
      <w:spacing w:before="100" w:beforeAutospacing="1" w:after="100" w:afterAutospacing="1"/>
      <w:jc w:val="center"/>
      <w:textAlignment w:val="center"/>
    </w:pPr>
    <w:rPr>
      <w:rFonts w:ascii="Times New Roman" w:eastAsia="Times New Roman" w:hAnsi="Times New Roman"/>
      <w:b/>
      <w:bCs/>
      <w:lang w:val="es-PA" w:eastAsia="es-PA"/>
    </w:rPr>
  </w:style>
  <w:style w:type="paragraph" w:customStyle="1" w:styleId="xl81">
    <w:name w:val="xl81"/>
    <w:basedOn w:val="Normal"/>
    <w:rsid w:val="004777D8"/>
    <w:pPr>
      <w:pBdr>
        <w:top w:val="single" w:sz="4" w:space="0" w:color="auto"/>
      </w:pBdr>
      <w:spacing w:before="100" w:beforeAutospacing="1" w:after="100" w:afterAutospacing="1"/>
      <w:jc w:val="center"/>
      <w:textAlignment w:val="center"/>
    </w:pPr>
    <w:rPr>
      <w:rFonts w:ascii="Times New Roman" w:eastAsia="Times New Roman" w:hAnsi="Times New Roman"/>
      <w:b/>
      <w:bCs/>
      <w:lang w:val="es-PA" w:eastAsia="es-PA"/>
    </w:rPr>
  </w:style>
  <w:style w:type="paragraph" w:customStyle="1" w:styleId="xl82">
    <w:name w:val="xl82"/>
    <w:basedOn w:val="Normal"/>
    <w:rsid w:val="004777D8"/>
    <w:pPr>
      <w:pBdr>
        <w:bottom w:val="single" w:sz="4" w:space="0" w:color="auto"/>
      </w:pBdr>
      <w:spacing w:before="100" w:beforeAutospacing="1" w:after="100" w:afterAutospacing="1"/>
      <w:jc w:val="center"/>
      <w:textAlignment w:val="center"/>
    </w:pPr>
    <w:rPr>
      <w:rFonts w:ascii="Times New Roman" w:eastAsia="Times New Roman" w:hAnsi="Times New Roman"/>
      <w:b/>
      <w:bCs/>
      <w:lang w:val="es-PA" w:eastAsia="es-PA"/>
    </w:rPr>
  </w:style>
  <w:style w:type="paragraph" w:customStyle="1" w:styleId="xl83">
    <w:name w:val="xl83"/>
    <w:basedOn w:val="Normal"/>
    <w:rsid w:val="004777D8"/>
    <w:pPr>
      <w:pBdr>
        <w:top w:val="single" w:sz="4" w:space="0" w:color="auto"/>
        <w:bottom w:val="single" w:sz="4" w:space="0" w:color="auto"/>
      </w:pBdr>
      <w:spacing w:before="100" w:beforeAutospacing="1" w:after="100" w:afterAutospacing="1"/>
      <w:jc w:val="center"/>
    </w:pPr>
    <w:rPr>
      <w:rFonts w:ascii="Times New Roman" w:eastAsia="Times New Roman" w:hAnsi="Times New Roman"/>
      <w:b/>
      <w:bCs/>
      <w:lang w:val="es-PA" w:eastAsia="es-PA"/>
    </w:rPr>
  </w:style>
  <w:style w:type="paragraph" w:customStyle="1" w:styleId="xl84">
    <w:name w:val="xl84"/>
    <w:basedOn w:val="Normal"/>
    <w:rsid w:val="004777D8"/>
    <w:pPr>
      <w:pBdr>
        <w:top w:val="single" w:sz="4" w:space="0" w:color="auto"/>
        <w:bottom w:val="single" w:sz="4" w:space="0" w:color="auto"/>
      </w:pBdr>
      <w:spacing w:before="100" w:beforeAutospacing="1" w:after="100" w:afterAutospacing="1"/>
      <w:jc w:val="center"/>
    </w:pPr>
    <w:rPr>
      <w:rFonts w:ascii="Times New Roman" w:eastAsia="Times New Roman" w:hAnsi="Times New Roman"/>
      <w:lang w:val="es-PA" w:eastAsia="es-PA"/>
    </w:rPr>
  </w:style>
  <w:style w:type="paragraph" w:customStyle="1" w:styleId="xl85">
    <w:name w:val="xl85"/>
    <w:basedOn w:val="Normal"/>
    <w:rsid w:val="004777D8"/>
    <w:pPr>
      <w:spacing w:before="100" w:beforeAutospacing="1" w:after="100" w:afterAutospacing="1"/>
      <w:jc w:val="center"/>
    </w:pPr>
    <w:rPr>
      <w:rFonts w:ascii="Times New Roman" w:eastAsia="Times New Roman" w:hAnsi="Times New Roman"/>
      <w:b/>
      <w:bCs/>
      <w:lang w:val="es-PA" w:eastAsia="es-PA"/>
    </w:rPr>
  </w:style>
  <w:style w:type="paragraph" w:customStyle="1" w:styleId="xl86">
    <w:name w:val="xl86"/>
    <w:basedOn w:val="Normal"/>
    <w:rsid w:val="004777D8"/>
    <w:pPr>
      <w:pBdr>
        <w:bottom w:val="single" w:sz="4" w:space="0" w:color="auto"/>
      </w:pBdr>
      <w:spacing w:before="100" w:beforeAutospacing="1" w:after="100" w:afterAutospacing="1"/>
      <w:jc w:val="center"/>
    </w:pPr>
    <w:rPr>
      <w:rFonts w:ascii="Times New Roman" w:eastAsia="Times New Roman" w:hAnsi="Times New Roman"/>
      <w:b/>
      <w:bCs/>
      <w:lang w:val="es-PA" w:eastAsia="es-PA"/>
    </w:rPr>
  </w:style>
  <w:style w:type="table" w:styleId="Sombreadoclaro-nfasis3">
    <w:name w:val="Light Shading Accent 3"/>
    <w:basedOn w:val="Tablanormal"/>
    <w:uiPriority w:val="60"/>
    <w:rsid w:val="004777D8"/>
    <w:pPr>
      <w:spacing w:after="0" w:line="240" w:lineRule="auto"/>
    </w:pPr>
    <w:rPr>
      <w:color w:val="7B7B7B" w:themeColor="accent3" w:themeShade="BF"/>
      <w:lang w:val="es-CR"/>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Sombreadoclaro-nfasis1">
    <w:name w:val="Light Shading Accent 1"/>
    <w:basedOn w:val="Tablanormal"/>
    <w:uiPriority w:val="60"/>
    <w:rsid w:val="004777D8"/>
    <w:pPr>
      <w:spacing w:after="0" w:line="240" w:lineRule="auto"/>
    </w:pPr>
    <w:rPr>
      <w:color w:val="2E74B5" w:themeColor="accent1" w:themeShade="BF"/>
      <w:lang w:val="es-CR"/>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customStyle="1" w:styleId="Body">
    <w:name w:val="Body"/>
    <w:rsid w:val="004777D8"/>
    <w:pPr>
      <w:pBdr>
        <w:top w:val="nil"/>
        <w:left w:val="nil"/>
        <w:bottom w:val="nil"/>
        <w:right w:val="nil"/>
        <w:between w:val="nil"/>
        <w:bar w:val="nil"/>
      </w:pBdr>
      <w:spacing w:after="200" w:line="276" w:lineRule="auto"/>
    </w:pPr>
    <w:rPr>
      <w:rFonts w:ascii="Calibri" w:eastAsia="Calibri" w:hAnsi="Calibri" w:cs="Calibri"/>
      <w:color w:val="000000"/>
      <w:u w:color="000000"/>
      <w:bdr w:val="nil"/>
      <w:lang w:val="es-ES_tradnl" w:eastAsia="es-CR"/>
    </w:rPr>
  </w:style>
  <w:style w:type="numbering" w:customStyle="1" w:styleId="ImportedStyle3">
    <w:name w:val="Imported Style 3"/>
    <w:rsid w:val="004777D8"/>
    <w:pPr>
      <w:numPr>
        <w:numId w:val="2"/>
      </w:numPr>
    </w:pPr>
  </w:style>
  <w:style w:type="table" w:customStyle="1" w:styleId="Tablanormal21">
    <w:name w:val="Tabla normal 21"/>
    <w:basedOn w:val="Tablanormal"/>
    <w:uiPriority w:val="42"/>
    <w:rsid w:val="004777D8"/>
    <w:pPr>
      <w:spacing w:after="0" w:line="240" w:lineRule="auto"/>
    </w:pPr>
    <w:rPr>
      <w:rFonts w:eastAsiaTheme="minorEastAsia"/>
      <w:lang w:val="es-E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Sombreadoclaro-nfasis4">
    <w:name w:val="Light Shading Accent 4"/>
    <w:basedOn w:val="Tablanormal"/>
    <w:uiPriority w:val="60"/>
    <w:rsid w:val="004777D8"/>
    <w:pPr>
      <w:spacing w:after="0" w:line="240" w:lineRule="auto"/>
    </w:pPr>
    <w:rPr>
      <w:color w:val="BF8F00" w:themeColor="accent4" w:themeShade="BF"/>
      <w:lang w:val="es-CR"/>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Sombreadoclaro">
    <w:name w:val="Light Shading"/>
    <w:basedOn w:val="Tablanormal"/>
    <w:uiPriority w:val="60"/>
    <w:rsid w:val="004777D8"/>
    <w:pPr>
      <w:spacing w:after="0" w:line="240" w:lineRule="auto"/>
    </w:pPr>
    <w:rPr>
      <w:color w:val="000000" w:themeColor="text1" w:themeShade="BF"/>
      <w:lang w:val="es-CR"/>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medio2-nfasis4">
    <w:name w:val="Medium Shading 2 Accent 4"/>
    <w:basedOn w:val="Tablanormal"/>
    <w:uiPriority w:val="64"/>
    <w:rsid w:val="004777D8"/>
    <w:pPr>
      <w:spacing w:after="0" w:line="240" w:lineRule="auto"/>
    </w:pPr>
    <w:rPr>
      <w:lang w:val="es-CR"/>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clara-nfasis6">
    <w:name w:val="Light List Accent 6"/>
    <w:basedOn w:val="Tablanormal"/>
    <w:uiPriority w:val="61"/>
    <w:rsid w:val="004777D8"/>
    <w:pPr>
      <w:spacing w:after="0" w:line="240" w:lineRule="auto"/>
    </w:pPr>
    <w:rPr>
      <w:lang w:val="es-CR"/>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paragraph" w:styleId="Textoindependiente">
    <w:name w:val="Body Text"/>
    <w:basedOn w:val="Normal"/>
    <w:link w:val="TextoindependienteCar"/>
    <w:rsid w:val="004777D8"/>
    <w:pPr>
      <w:widowControl w:val="0"/>
      <w:suppressAutoHyphens/>
      <w:spacing w:after="120"/>
    </w:pPr>
    <w:rPr>
      <w:rFonts w:ascii="Times New Roman" w:eastAsia="Arial Unicode MS" w:hAnsi="Times New Roman"/>
      <w:kern w:val="1"/>
      <w:lang w:val="es-CR"/>
    </w:rPr>
  </w:style>
  <w:style w:type="character" w:customStyle="1" w:styleId="TextoindependienteCar">
    <w:name w:val="Texto independiente Car"/>
    <w:basedOn w:val="Fuentedeprrafopredeter"/>
    <w:link w:val="Textoindependiente"/>
    <w:rsid w:val="004777D8"/>
    <w:rPr>
      <w:rFonts w:ascii="Times New Roman" w:eastAsia="Arial Unicode MS" w:hAnsi="Times New Roman" w:cs="Times New Roman"/>
      <w:kern w:val="1"/>
      <w:sz w:val="24"/>
      <w:szCs w:val="24"/>
      <w:lang w:val="es-CR"/>
    </w:rPr>
  </w:style>
  <w:style w:type="paragraph" w:styleId="Textoindependiente3">
    <w:name w:val="Body Text 3"/>
    <w:basedOn w:val="Normal"/>
    <w:link w:val="Textoindependiente3Car"/>
    <w:uiPriority w:val="99"/>
    <w:unhideWhenUsed/>
    <w:rsid w:val="004777D8"/>
    <w:pPr>
      <w:spacing w:after="120" w:line="259" w:lineRule="auto"/>
    </w:pPr>
    <w:rPr>
      <w:rFonts w:ascii="Calibri" w:eastAsia="Calibri" w:hAnsi="Calibri"/>
      <w:sz w:val="16"/>
      <w:szCs w:val="16"/>
      <w:lang w:val="es-CR"/>
    </w:rPr>
  </w:style>
  <w:style w:type="character" w:customStyle="1" w:styleId="Textoindependiente3Car">
    <w:name w:val="Texto independiente 3 Car"/>
    <w:basedOn w:val="Fuentedeprrafopredeter"/>
    <w:link w:val="Textoindependiente3"/>
    <w:uiPriority w:val="99"/>
    <w:rsid w:val="004777D8"/>
    <w:rPr>
      <w:rFonts w:ascii="Calibri" w:eastAsia="Calibri" w:hAnsi="Calibri" w:cs="Times New Roman"/>
      <w:sz w:val="16"/>
      <w:szCs w:val="16"/>
      <w:lang w:val="es-CR"/>
    </w:rPr>
  </w:style>
  <w:style w:type="paragraph" w:styleId="TtuloTDC">
    <w:name w:val="TOC Heading"/>
    <w:basedOn w:val="Ttulo1"/>
    <w:next w:val="Normal"/>
    <w:uiPriority w:val="39"/>
    <w:unhideWhenUsed/>
    <w:qFormat/>
    <w:rsid w:val="004777D8"/>
    <w:pPr>
      <w:keepLines/>
      <w:spacing w:after="0" w:line="259" w:lineRule="auto"/>
      <w:outlineLvl w:val="9"/>
    </w:pPr>
    <w:rPr>
      <w:rFonts w:asciiTheme="majorHAnsi" w:eastAsiaTheme="majorEastAsia" w:hAnsiTheme="majorHAnsi" w:cstheme="majorBidi"/>
      <w:b w:val="0"/>
      <w:bCs w:val="0"/>
      <w:color w:val="2E74B5" w:themeColor="accent1" w:themeShade="BF"/>
      <w:kern w:val="0"/>
      <w:lang w:val="es-PA" w:eastAsia="es-PA"/>
    </w:rPr>
  </w:style>
  <w:style w:type="paragraph" w:styleId="TDC1">
    <w:name w:val="toc 1"/>
    <w:basedOn w:val="Normal"/>
    <w:next w:val="Normal"/>
    <w:autoRedefine/>
    <w:uiPriority w:val="39"/>
    <w:unhideWhenUsed/>
    <w:rsid w:val="004777D8"/>
    <w:pPr>
      <w:spacing w:after="100"/>
    </w:pPr>
  </w:style>
  <w:style w:type="paragraph" w:styleId="TDC2">
    <w:name w:val="toc 2"/>
    <w:basedOn w:val="Normal"/>
    <w:next w:val="Normal"/>
    <w:autoRedefine/>
    <w:uiPriority w:val="39"/>
    <w:unhideWhenUsed/>
    <w:rsid w:val="004777D8"/>
    <w:pPr>
      <w:spacing w:after="100"/>
      <w:ind w:left="240"/>
    </w:pPr>
  </w:style>
  <w:style w:type="paragraph" w:styleId="TDC3">
    <w:name w:val="toc 3"/>
    <w:basedOn w:val="Normal"/>
    <w:next w:val="Normal"/>
    <w:autoRedefine/>
    <w:uiPriority w:val="39"/>
    <w:unhideWhenUsed/>
    <w:rsid w:val="004777D8"/>
    <w:pPr>
      <w:spacing w:after="100"/>
      <w:ind w:left="480"/>
    </w:pPr>
  </w:style>
  <w:style w:type="paragraph" w:customStyle="1" w:styleId="p1">
    <w:name w:val="p1"/>
    <w:basedOn w:val="Normal"/>
    <w:rsid w:val="004777D8"/>
    <w:pPr>
      <w:spacing w:after="240"/>
      <w:jc w:val="both"/>
    </w:pPr>
    <w:rPr>
      <w:rFonts w:ascii="Times" w:eastAsia="MS Mincho" w:hAnsi="Times"/>
      <w:sz w:val="17"/>
      <w:szCs w:val="17"/>
    </w:rPr>
  </w:style>
  <w:style w:type="character" w:customStyle="1" w:styleId="PrrafodelistaCar">
    <w:name w:val="Párrafo de lista Car"/>
    <w:aliases w:val="titulo 5 Car"/>
    <w:link w:val="Prrafodelista"/>
    <w:uiPriority w:val="34"/>
    <w:rsid w:val="004777D8"/>
    <w:rPr>
      <w:rFonts w:ascii="Cambria" w:eastAsia="Cambria" w:hAnsi="Cambria" w:cs="Times New Roman"/>
      <w:sz w:val="24"/>
      <w:szCs w:val="24"/>
      <w:lang w:val="en-US"/>
    </w:rPr>
  </w:style>
  <w:style w:type="table" w:customStyle="1" w:styleId="Tablanormal51">
    <w:name w:val="Tabla normal 51"/>
    <w:basedOn w:val="Tablanormal"/>
    <w:uiPriority w:val="45"/>
    <w:rsid w:val="004777D8"/>
    <w:pPr>
      <w:spacing w:after="0" w:line="240" w:lineRule="auto"/>
    </w:pPr>
    <w:rPr>
      <w:kern w:val="2"/>
      <w:lang w:val="en-US"/>
      <w14:ligatures w14:val="standard"/>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cuadrcula2-nfasis61">
    <w:name w:val="Tabla de cuadrícula 2 - Énfasis 61"/>
    <w:basedOn w:val="Tablanormal"/>
    <w:uiPriority w:val="47"/>
    <w:rsid w:val="004777D8"/>
    <w:pPr>
      <w:spacing w:after="0" w:line="240" w:lineRule="auto"/>
    </w:pPr>
    <w:rPr>
      <w:kern w:val="2"/>
      <w:lang w:val="en-US"/>
      <w14:ligatures w14:val="standard"/>
    </w:r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lista7concolores-nfasis11">
    <w:name w:val="Tabla de lista 7 con colores - Énfasis 11"/>
    <w:basedOn w:val="Tablanormal"/>
    <w:uiPriority w:val="52"/>
    <w:rsid w:val="004777D8"/>
    <w:pPr>
      <w:spacing w:after="0" w:line="240" w:lineRule="auto"/>
    </w:pPr>
    <w:rPr>
      <w:color w:val="2E74B5" w:themeColor="accent1" w:themeShade="BF"/>
      <w:kern w:val="2"/>
      <w:lang w:val="en-US"/>
      <w14:ligatures w14:val="standard"/>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7concolores-nfasis21">
    <w:name w:val="Tabla de lista 7 con colores - Énfasis 21"/>
    <w:basedOn w:val="Tablanormal"/>
    <w:uiPriority w:val="52"/>
    <w:rsid w:val="004777D8"/>
    <w:pPr>
      <w:spacing w:after="0" w:line="240" w:lineRule="auto"/>
    </w:pPr>
    <w:rPr>
      <w:color w:val="C45911" w:themeColor="accent2" w:themeShade="BF"/>
      <w:kern w:val="2"/>
      <w:lang w:val="en-US"/>
      <w14:ligatures w14:val="standard"/>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41">
    <w:name w:val="Tabla normal 41"/>
    <w:basedOn w:val="Tablanormal"/>
    <w:uiPriority w:val="44"/>
    <w:rsid w:val="004777D8"/>
    <w:pPr>
      <w:spacing w:after="0" w:line="240" w:lineRule="auto"/>
    </w:pPr>
    <w:rPr>
      <w:kern w:val="2"/>
      <w:lang w:val="en-US"/>
      <w14:ligatures w14:val="standard"/>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4-nfasis61">
    <w:name w:val="Tabla de cuadrícula 4 - Énfasis 61"/>
    <w:basedOn w:val="Tablanormal"/>
    <w:uiPriority w:val="49"/>
    <w:rsid w:val="004777D8"/>
    <w:pPr>
      <w:spacing w:after="0" w:line="240" w:lineRule="auto"/>
    </w:pPr>
    <w:rPr>
      <w:kern w:val="2"/>
      <w:lang w:val="en-US"/>
      <w14:ligatures w14:val="standard"/>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normal2">
    <w:name w:val="Plain Table 2"/>
    <w:basedOn w:val="Tablanormal"/>
    <w:uiPriority w:val="42"/>
    <w:rsid w:val="00475BBF"/>
    <w:pPr>
      <w:spacing w:after="0" w:line="240" w:lineRule="auto"/>
    </w:pPr>
    <w:rPr>
      <w:lang w:val="es-CR"/>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435249">
      <w:bodyDiv w:val="1"/>
      <w:marLeft w:val="0"/>
      <w:marRight w:val="0"/>
      <w:marTop w:val="0"/>
      <w:marBottom w:val="0"/>
      <w:divBdr>
        <w:top w:val="none" w:sz="0" w:space="0" w:color="auto"/>
        <w:left w:val="none" w:sz="0" w:space="0" w:color="auto"/>
        <w:bottom w:val="none" w:sz="0" w:space="0" w:color="auto"/>
        <w:right w:val="none" w:sz="0" w:space="0" w:color="auto"/>
      </w:divBdr>
    </w:div>
    <w:div w:id="1181821706">
      <w:bodyDiv w:val="1"/>
      <w:marLeft w:val="0"/>
      <w:marRight w:val="0"/>
      <w:marTop w:val="0"/>
      <w:marBottom w:val="0"/>
      <w:divBdr>
        <w:top w:val="none" w:sz="0" w:space="0" w:color="auto"/>
        <w:left w:val="none" w:sz="0" w:space="0" w:color="auto"/>
        <w:bottom w:val="none" w:sz="0" w:space="0" w:color="auto"/>
        <w:right w:val="none" w:sz="0" w:space="0" w:color="auto"/>
      </w:divBdr>
    </w:div>
    <w:div w:id="1414274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21" Type="http://schemas.openxmlformats.org/officeDocument/2006/relationships/chart" Target="charts/chart5.xml"/><Relationship Id="rId42" Type="http://schemas.openxmlformats.org/officeDocument/2006/relationships/hyperlink" Target="https://es.wikipedia.org/wiki/Vector_biol%C3%B3gico" TargetMode="External"/><Relationship Id="rId47" Type="http://schemas.openxmlformats.org/officeDocument/2006/relationships/hyperlink" Target="https://es.wikipedia.org/wiki/Am%C3%A9rica_Central" TargetMode="External"/><Relationship Id="rId63" Type="http://schemas.openxmlformats.org/officeDocument/2006/relationships/chart" Target="charts/chart30.xml"/><Relationship Id="rId68" Type="http://schemas.openxmlformats.org/officeDocument/2006/relationships/image" Target="media/image12.emf"/><Relationship Id="rId16" Type="http://schemas.openxmlformats.org/officeDocument/2006/relationships/image" Target="media/image6.jpeg"/><Relationship Id="rId11" Type="http://schemas.openxmlformats.org/officeDocument/2006/relationships/chart" Target="charts/chart1.xml"/><Relationship Id="rId32" Type="http://schemas.openxmlformats.org/officeDocument/2006/relationships/chart" Target="charts/chart15.xml"/><Relationship Id="rId37" Type="http://schemas.openxmlformats.org/officeDocument/2006/relationships/hyperlink" Target="https://es.wikipedia.org/wiki/G%C3%A9nero_(biolog%C3%ADa)" TargetMode="External"/><Relationship Id="rId53" Type="http://schemas.openxmlformats.org/officeDocument/2006/relationships/chart" Target="charts/chart22.xml"/><Relationship Id="rId58" Type="http://schemas.openxmlformats.org/officeDocument/2006/relationships/chart" Target="charts/chart25.xml"/><Relationship Id="rId74" Type="http://schemas.openxmlformats.org/officeDocument/2006/relationships/header" Target="header1.xml"/><Relationship Id="rId79"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chart" Target="charts/chart28.xml"/><Relationship Id="rId19" Type="http://schemas.openxmlformats.org/officeDocument/2006/relationships/chart" Target="charts/chart3.xml"/><Relationship Id="rId14" Type="http://schemas.openxmlformats.org/officeDocument/2006/relationships/image" Target="media/image5.emf"/><Relationship Id="rId22" Type="http://schemas.openxmlformats.org/officeDocument/2006/relationships/chart" Target="charts/chart6.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7.xml"/><Relationship Id="rId43" Type="http://schemas.openxmlformats.org/officeDocument/2006/relationships/hyperlink" Target="https://es.wikipedia.org/wiki/Aedes" TargetMode="External"/><Relationship Id="rId48" Type="http://schemas.openxmlformats.org/officeDocument/2006/relationships/hyperlink" Target="https://es.wikipedia.org/wiki/El_Caribe" TargetMode="External"/><Relationship Id="rId56" Type="http://schemas.openxmlformats.org/officeDocument/2006/relationships/chart" Target="charts/chart23.xml"/><Relationship Id="rId64" Type="http://schemas.openxmlformats.org/officeDocument/2006/relationships/chart" Target="charts/chart31.xml"/><Relationship Id="rId69" Type="http://schemas.openxmlformats.org/officeDocument/2006/relationships/image" Target="media/image13.png"/><Relationship Id="rId77" Type="http://schemas.openxmlformats.org/officeDocument/2006/relationships/footer" Target="footer2.xml"/><Relationship Id="rId8" Type="http://schemas.openxmlformats.org/officeDocument/2006/relationships/image" Target="media/image1.jpeg"/><Relationship Id="rId51" Type="http://schemas.openxmlformats.org/officeDocument/2006/relationships/chart" Target="charts/chart20.xml"/><Relationship Id="rId72" Type="http://schemas.openxmlformats.org/officeDocument/2006/relationships/chart" Target="charts/chart35.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7.emf"/><Relationship Id="rId25" Type="http://schemas.openxmlformats.org/officeDocument/2006/relationships/image" Target="media/image8.png"/><Relationship Id="rId33" Type="http://schemas.openxmlformats.org/officeDocument/2006/relationships/chart" Target="charts/chart16.xml"/><Relationship Id="rId38" Type="http://schemas.openxmlformats.org/officeDocument/2006/relationships/hyperlink" Target="https://es.wikipedia.org/wiki/Flavivirus" TargetMode="External"/><Relationship Id="rId46" Type="http://schemas.openxmlformats.org/officeDocument/2006/relationships/hyperlink" Target="https://es.wikipedia.org/wiki/Isla_de_Pascua" TargetMode="External"/><Relationship Id="rId59" Type="http://schemas.openxmlformats.org/officeDocument/2006/relationships/chart" Target="charts/chart26.xml"/><Relationship Id="rId67" Type="http://schemas.openxmlformats.org/officeDocument/2006/relationships/image" Target="media/image11.png"/><Relationship Id="rId20" Type="http://schemas.openxmlformats.org/officeDocument/2006/relationships/chart" Target="charts/chart4.xml"/><Relationship Id="rId41" Type="http://schemas.openxmlformats.org/officeDocument/2006/relationships/hyperlink" Target="https://es.wikipedia.org/wiki/Culicidae" TargetMode="External"/><Relationship Id="rId54" Type="http://schemas.openxmlformats.org/officeDocument/2006/relationships/hyperlink" Target="https://es.wikipedia.org/wiki/Zoonosis" TargetMode="External"/><Relationship Id="rId62" Type="http://schemas.openxmlformats.org/officeDocument/2006/relationships/chart" Target="charts/chart29.xml"/><Relationship Id="rId70" Type="http://schemas.openxmlformats.org/officeDocument/2006/relationships/chart" Target="charts/chart33.xm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Hoja_de_c_lculo_de_Microsoft_Excel.xlsx"/><Relationship Id="rId23" Type="http://schemas.openxmlformats.org/officeDocument/2006/relationships/chart" Target="charts/chart7.xml"/><Relationship Id="rId28" Type="http://schemas.openxmlformats.org/officeDocument/2006/relationships/chart" Target="charts/chart11.xml"/><Relationship Id="rId36" Type="http://schemas.openxmlformats.org/officeDocument/2006/relationships/chart" Target="charts/chart18.xml"/><Relationship Id="rId49" Type="http://schemas.openxmlformats.org/officeDocument/2006/relationships/hyperlink" Target="https://es.wikipedia.org/wiki/Am%C3%A9rica_del_Sur" TargetMode="External"/><Relationship Id="rId57" Type="http://schemas.openxmlformats.org/officeDocument/2006/relationships/chart" Target="charts/chart24.xml"/><Relationship Id="rId10" Type="http://schemas.openxmlformats.org/officeDocument/2006/relationships/image" Target="media/image3.png"/><Relationship Id="rId31" Type="http://schemas.openxmlformats.org/officeDocument/2006/relationships/chart" Target="charts/chart14.xml"/><Relationship Id="rId44" Type="http://schemas.openxmlformats.org/officeDocument/2006/relationships/hyperlink" Target="https://es.wikipedia.org/wiki/Oc%C3%A9ano_Pac%C3%ADfico" TargetMode="External"/><Relationship Id="rId52" Type="http://schemas.openxmlformats.org/officeDocument/2006/relationships/chart" Target="charts/chart21.xml"/><Relationship Id="rId60" Type="http://schemas.openxmlformats.org/officeDocument/2006/relationships/chart" Target="charts/chart27.xml"/><Relationship Id="rId65" Type="http://schemas.openxmlformats.org/officeDocument/2006/relationships/chart" Target="charts/chart32.xml"/><Relationship Id="rId73" Type="http://schemas.openxmlformats.org/officeDocument/2006/relationships/chart" Target="charts/chart36.xml"/><Relationship Id="rId78" Type="http://schemas.openxmlformats.org/officeDocument/2006/relationships/header" Target="header3.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chart" Target="charts/chart2.xml"/><Relationship Id="rId18" Type="http://schemas.openxmlformats.org/officeDocument/2006/relationships/package" Target="embeddings/Hoja_de_c_lculo_de_Microsoft_Excel1.xlsx"/><Relationship Id="rId39" Type="http://schemas.openxmlformats.org/officeDocument/2006/relationships/hyperlink" Target="https://es.wikipedia.org/wiki/Familia_(biolog%C3%ADa)" TargetMode="External"/><Relationship Id="rId34" Type="http://schemas.openxmlformats.org/officeDocument/2006/relationships/image" Target="media/image9.jpeg"/><Relationship Id="rId50" Type="http://schemas.openxmlformats.org/officeDocument/2006/relationships/chart" Target="charts/chart19.xml"/><Relationship Id="rId55" Type="http://schemas.openxmlformats.org/officeDocument/2006/relationships/hyperlink" Target="https://es.wikipedia.org/wiki/Orina" TargetMode="External"/><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chart" Target="charts/chart34.xml"/><Relationship Id="rId2" Type="http://schemas.openxmlformats.org/officeDocument/2006/relationships/numbering" Target="numbering.xml"/><Relationship Id="rId29" Type="http://schemas.openxmlformats.org/officeDocument/2006/relationships/chart" Target="charts/chart12.xml"/><Relationship Id="rId24" Type="http://schemas.openxmlformats.org/officeDocument/2006/relationships/chart" Target="charts/chart8.xml"/><Relationship Id="rId40" Type="http://schemas.openxmlformats.org/officeDocument/2006/relationships/hyperlink" Target="https://es.wikipedia.org/wiki/Flaviviridae" TargetMode="External"/><Relationship Id="rId45" Type="http://schemas.openxmlformats.org/officeDocument/2006/relationships/hyperlink" Target="https://es.wikipedia.org/wiki/Polinesia_Francesa" TargetMode="External"/><Relationship Id="rId66" Type="http://schemas.openxmlformats.org/officeDocument/2006/relationships/image" Target="media/image10.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G:\ARCHIVO%20DE%20TRABAJO%2022-07-2018%20en%20uso\ESTADISTICAS\INEC\PIRAMIDE%20POBLACIONALY%20CICLO%20DE%20VIDA.xlsx" TargetMode="External"/></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11.xml.rels><?xml version="1.0" encoding="UTF-8" standalone="yes"?>
<Relationships xmlns="http://schemas.openxmlformats.org/package/2006/relationships"><Relationship Id="rId3" Type="http://schemas.openxmlformats.org/officeDocument/2006/relationships/oleObject" Target="Libro3" TargetMode="External"/><Relationship Id="rId2" Type="http://schemas.microsoft.com/office/2011/relationships/chartColorStyle" Target="colors8.xml"/><Relationship Id="rId1" Type="http://schemas.microsoft.com/office/2011/relationships/chartStyle" Target="style8.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chartUserShapes" Target="../drawings/drawing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10.xml"/><Relationship Id="rId1" Type="http://schemas.microsoft.com/office/2011/relationships/chartStyle" Target="style10.xml"/></Relationships>
</file>

<file path=word/charts/_rels/chart14.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11.xml"/><Relationship Id="rId1" Type="http://schemas.microsoft.com/office/2011/relationships/chartStyle" Target="style11.xml"/></Relationships>
</file>

<file path=word/charts/_rels/chart15.xml.rels><?xml version="1.0" encoding="UTF-8" standalone="yes"?>
<Relationships xmlns="http://schemas.openxmlformats.org/package/2006/relationships"><Relationship Id="rId3" Type="http://schemas.openxmlformats.org/officeDocument/2006/relationships/oleObject" Target="Gr&#225;fico%20en%20Microsoft%20Word" TargetMode="External"/><Relationship Id="rId2" Type="http://schemas.microsoft.com/office/2011/relationships/chartColorStyle" Target="colors12.xml"/><Relationship Id="rId1" Type="http://schemas.microsoft.com/office/2011/relationships/chartStyle" Target="style12.xml"/></Relationships>
</file>

<file path=word/charts/_rels/chart16.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2.xml.rels><?xml version="1.0" encoding="UTF-8" standalone="yes"?>
<Relationships xmlns="http://schemas.openxmlformats.org/package/2006/relationships"><Relationship Id="rId3" Type="http://schemas.openxmlformats.org/officeDocument/2006/relationships/oleObject" Target="file:///G:\ARCHIVO%20DE%20TRABAJO%2022-07-2018%20en%20uso\ESTADISTICAS\INEC\Indicadores%20demograficos%202014-2017%20memoria.xlsx" TargetMode="External"/><Relationship Id="rId2" Type="http://schemas.microsoft.com/office/2011/relationships/chartColorStyle" Target="colors1.xml"/><Relationship Id="rId1" Type="http://schemas.microsoft.com/office/2011/relationships/chartStyle" Target="style1.xml"/></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file:///C:\Users\Adriana\Documents\Chagas\Resumen%20casos%202014-2017.xlsx" TargetMode="External"/></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Hoja_de_c_lculo_de_Microsoft_Excel11.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Hoja_de_c_lculo_de_Microsoft_Excel12.xlsx"/></Relationships>
</file>

<file path=word/charts/_rels/chart23.xml.rels><?xml version="1.0" encoding="UTF-8" standalone="yes"?>
<Relationships xmlns="http://schemas.openxmlformats.org/package/2006/relationships"><Relationship Id="rId3" Type="http://schemas.openxmlformats.org/officeDocument/2006/relationships/oleObject" Target="file:///C:\Users\HP\Desktop\INSUMOS%20ASIS%202019\DATOS%20ANALISIS%20EVOLUTIVO%20CURSO%20VIDA\ZOONOTICAS\LEPTOSPIROSIS%202014-2018%20-%20copia%20(5).xlsx" TargetMode="External"/><Relationship Id="rId2" Type="http://schemas.microsoft.com/office/2011/relationships/chartColorStyle" Target="colors16.xml"/><Relationship Id="rId1" Type="http://schemas.microsoft.com/office/2011/relationships/chartStyle" Target="style16.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HP\Desktop\INSUMOS%20ASIS%202019\DATOS%20ANALISIS%20EVOLUTIVO%20CURSO%20VIDA\ZOONOTICAS\LEPTOSPIROSIS%202014-2018%20-%20copia%20(5).xlsx" TargetMode="External"/><Relationship Id="rId2" Type="http://schemas.microsoft.com/office/2011/relationships/chartColorStyle" Target="colors17.xml"/><Relationship Id="rId1" Type="http://schemas.microsoft.com/office/2011/relationships/chartStyle" Target="style17.xml"/></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file:///C:\Users\aguer\Documents\Memoria%20Instucional%202019\Memoria%20Institucional%202019\Sarampi&#243;n%20Rubeola\SARAMPION%202014-%202018.xlsx" TargetMode="External"/></Relationships>
</file>

<file path=word/charts/_rels/chart26.xml.rels><?xml version="1.0" encoding="UTF-8" standalone="yes"?>
<Relationships xmlns="http://schemas.openxmlformats.org/package/2006/relationships"><Relationship Id="rId3" Type="http://schemas.openxmlformats.org/officeDocument/2006/relationships/oleObject" Target="file:///C:\Users\HP\Desktop\MEMORIA%20%20borrador%202019\CAPITULO%20III%20MORBIMORTALIDA%20DE%20ENO\TOSFERINA%202014%20-%202018%204.3.2019.xlsx" TargetMode="External"/><Relationship Id="rId2" Type="http://schemas.microsoft.com/office/2011/relationships/chartColorStyle" Target="colors19.xml"/><Relationship Id="rId1" Type="http://schemas.microsoft.com/office/2011/relationships/chartStyle" Target="style19.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HP\Desktop\MEMORIA%20%20borrador%202019\CAPITULO%20III%20MORBIMORTALIDA%20DE%20ENO\VARICELA%202014-%202018.xlsx" TargetMode="External"/><Relationship Id="rId2" Type="http://schemas.microsoft.com/office/2011/relationships/chartColorStyle" Target="colors20.xml"/><Relationship Id="rId1" Type="http://schemas.microsoft.com/office/2011/relationships/chartStyle" Target="style20.xml"/></Relationships>
</file>

<file path=word/charts/_rels/chart28.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29.xml.rels><?xml version="1.0" encoding="UTF-8" standalone="yes"?>
<Relationships xmlns="http://schemas.openxmlformats.org/package/2006/relationships"><Relationship Id="rId3" Type="http://schemas.openxmlformats.org/officeDocument/2006/relationships/oleObject" Target="file:///C:\Users\HP\Desktop\MEMORIA%20%20borrador%202019\CAPITULO%20III%20MORBIMORTALIDA%20DE%20ENO\MORTALIDAD%20POR%20TUBERCULOSIS%202014-2017.xlsx" TargetMode="External"/><Relationship Id="rId2" Type="http://schemas.microsoft.com/office/2011/relationships/chartColorStyle" Target="colors21.xml"/><Relationship Id="rId1" Type="http://schemas.microsoft.com/office/2011/relationships/chartStyle" Target="style2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P\Desktop\INSUMOS%20ASIS%202019\DATOS%20ANALISIS%20EVOLUTIVO%20CURSO%20VIDA\CRONICAS\CUADROS%20DE%20HIPERTENCION.xlsx" TargetMode="External"/><Relationship Id="rId2" Type="http://schemas.microsoft.com/office/2011/relationships/chartColorStyle" Target="colors2.xml"/><Relationship Id="rId1" Type="http://schemas.microsoft.com/office/2011/relationships/chartStyle" Target="style2.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HP\Desktop\MEMORIA%20%20borrador%202019\CAPITULO%20III%20MORBIMORTALIDA%20DE%20ENO\MORTALIDAD%20POR%20TUBERCULOSIS%202014-2017.xlsx" TargetMode="External"/><Relationship Id="rId2" Type="http://schemas.microsoft.com/office/2011/relationships/chartColorStyle" Target="colors22.xml"/><Relationship Id="rId1" Type="http://schemas.microsoft.com/office/2011/relationships/chartStyle" Target="style22.xml"/></Relationships>
</file>

<file path=word/charts/_rels/chart31.xml.rels><?xml version="1.0" encoding="UTF-8" standalone="yes"?>
<Relationships xmlns="http://schemas.openxmlformats.org/package/2006/relationships"><Relationship Id="rId3" Type="http://schemas.openxmlformats.org/officeDocument/2006/relationships/package" Target="../embeddings/Hoja_de_c_lculo_de_Microsoft_Excel14.xlsx"/><Relationship Id="rId2" Type="http://schemas.microsoft.com/office/2011/relationships/chartColorStyle" Target="colors23.xml"/><Relationship Id="rId1" Type="http://schemas.microsoft.com/office/2011/relationships/chartStyle" Target="style23.xml"/></Relationships>
</file>

<file path=word/charts/_rels/chart32.xml.rels><?xml version="1.0" encoding="UTF-8" standalone="yes"?>
<Relationships xmlns="http://schemas.openxmlformats.org/package/2006/relationships"><Relationship Id="rId3" Type="http://schemas.openxmlformats.org/officeDocument/2006/relationships/oleObject" Target="file:///C:\Users\HP\Desktop\MEMORIA%20%20borrador%202019\CAPITULO%20III%20MORBIMORTALIDA%20DE%20ENO\NEUMONIA%202014-2018%20I.xlsx" TargetMode="External"/><Relationship Id="rId2" Type="http://schemas.microsoft.com/office/2011/relationships/chartColorStyle" Target="colors24.xml"/><Relationship Id="rId1" Type="http://schemas.microsoft.com/office/2011/relationships/chartStyle" Target="style24.xml"/></Relationships>
</file>

<file path=word/charts/_rels/chart33.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5.xml"/><Relationship Id="rId1" Type="http://schemas.microsoft.com/office/2011/relationships/chartStyle" Target="style25.xml"/></Relationships>
</file>

<file path=word/charts/_rels/chart34.xml.rels><?xml version="1.0" encoding="UTF-8" standalone="yes"?>
<Relationships xmlns="http://schemas.openxmlformats.org/package/2006/relationships"><Relationship Id="rId1" Type="http://schemas.openxmlformats.org/officeDocument/2006/relationships/package" Target="../embeddings/Hoja_de_c_lculo_de_Microsoft_Excel15.xlsx"/></Relationships>
</file>

<file path=word/charts/_rels/chart35.xml.rels><?xml version="1.0" encoding="UTF-8" standalone="yes"?>
<Relationships xmlns="http://schemas.openxmlformats.org/package/2006/relationships"><Relationship Id="rId2" Type="http://schemas.openxmlformats.org/officeDocument/2006/relationships/package" Target="../embeddings/Hoja_de_c_lculo_de_Microsoft_Excel16.xlsx"/><Relationship Id="rId1" Type="http://schemas.openxmlformats.org/officeDocument/2006/relationships/themeOverride" Target="../theme/themeOverride5.xml"/></Relationships>
</file>

<file path=word/charts/_rels/chart36.xml.rels><?xml version="1.0" encoding="UTF-8" standalone="yes"?>
<Relationships xmlns="http://schemas.openxmlformats.org/package/2006/relationships"><Relationship Id="rId3" Type="http://schemas.openxmlformats.org/officeDocument/2006/relationships/oleObject" Target="file:///C:\Users\DVS\Documents\2019\Diarreas\ENFERMEDAD%20DIARREICA%20AGUDA%20(EDA)%20MEMORIA%202014-2018-Analisis.xlsx" TargetMode="External"/><Relationship Id="rId2" Type="http://schemas.microsoft.com/office/2011/relationships/chartColorStyle" Target="colors26.xml"/><Relationship Id="rId1" Type="http://schemas.microsoft.com/office/2011/relationships/chartStyle" Target="style26.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P\Desktop\INSUMOS%20ASIS%202019\DATOS%20ANALISIS%20EVOLUTIVO%20CURSO%20VIDA\CRONICAS\CUADROS%20DE%20HIPERTENCION.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P\Desktop\INSUMOS%20ASIS%202019\MORTALIDAD%20MEMORIA%202014%20-%202017\MORTALIDAD%20MEMORIA%202018%20I\MORTALIDAD%20POR%20HIPERTENSI&#211;N%20ARTERIAL%202014-2017.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P\Desktop\INSUMOS%20ASIS%202019\DATOS%20ANALISIS%20EVOLUTIVO%20CURSO%20VIDA\CRONICAS\CUADROS%20DE%20DIABETES.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HP\Desktop\INSUMOS%20ASIS%202019\DATOS%20ANALISIS%20EVOLUTIVO%20CURSO%20VIDA\CRONICAS\CUADROS%20DE%20DIABETES.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P\Desktop\INSUMOS%20ASIS%202019\MORTALIDAD%20MEMORIA%202014%20-%202017\MORTALIDAD%20MEMORIA%202018%20I\MORTALIDAD%20POR%20DIABETES%202014-2017.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2.4992026587692989E-2"/>
          <c:y val="6.9142312924274904E-2"/>
          <c:w val="0.87200469928814894"/>
          <c:h val="0.81606088668621879"/>
        </c:manualLayout>
      </c:layout>
      <c:lineChart>
        <c:grouping val="standard"/>
        <c:varyColors val="0"/>
        <c:ser>
          <c:idx val="1"/>
          <c:order val="0"/>
          <c:tx>
            <c:strRef>
              <c:f>'10-19'!$S$42</c:f>
              <c:strCache>
                <c:ptCount val="1"/>
                <c:pt idx="0">
                  <c:v>20-64</c:v>
                </c:pt>
              </c:strCache>
            </c:strRef>
          </c:tx>
          <c:spPr>
            <a:ln w="34925">
              <a:solidFill>
                <a:srgbClr val="00B050"/>
              </a:solidFill>
            </a:ln>
          </c:spPr>
          <c:marker>
            <c:symbol val="none"/>
          </c:marker>
          <c:dLbls>
            <c:dLbl>
              <c:idx val="0"/>
              <c:layout>
                <c:manualLayout>
                  <c:x val="-8.9794229029878853E-2"/>
                  <c:y val="2.40380577427821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064-44DC-8DDF-3539AB96614F}"/>
                </c:ext>
              </c:extLst>
            </c:dLbl>
            <c:dLbl>
              <c:idx val="1"/>
              <c:layout>
                <c:manualLayout>
                  <c:x val="1.8867924528301887E-3"/>
                  <c:y val="-2.5200167075668439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064-44DC-8DDF-3539AB96614F}"/>
                </c:ext>
              </c:extLst>
            </c:dLbl>
            <c:spPr>
              <a:noFill/>
              <a:ln>
                <a:noFill/>
              </a:ln>
              <a:effectLst/>
            </c:spPr>
            <c:txPr>
              <a:bodyPr/>
              <a:lstStyle/>
              <a:p>
                <a:pPr>
                  <a:defRPr sz="1050"/>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'10-19'!$T$34:$U$34</c:f>
              <c:numCache>
                <c:formatCode>General</c:formatCode>
                <c:ptCount val="2"/>
                <c:pt idx="0">
                  <c:v>2010</c:v>
                </c:pt>
                <c:pt idx="1">
                  <c:v>2019</c:v>
                </c:pt>
              </c:numCache>
            </c:numRef>
          </c:cat>
          <c:val>
            <c:numRef>
              <c:f>'10-19'!$T$42:$U$42</c:f>
              <c:numCache>
                <c:formatCode>0.00</c:formatCode>
                <c:ptCount val="2"/>
                <c:pt idx="0">
                  <c:v>58.951488499731134</c:v>
                </c:pt>
                <c:pt idx="1">
                  <c:v>61.814227325865431</c:v>
                </c:pt>
              </c:numCache>
            </c:numRef>
          </c:val>
          <c:smooth val="0"/>
          <c:extLst>
            <c:ext xmlns:c16="http://schemas.microsoft.com/office/drawing/2014/chart" uri="{C3380CC4-5D6E-409C-BE32-E72D297353CC}">
              <c16:uniqueId val="{00000002-E064-44DC-8DDF-3539AB96614F}"/>
            </c:ext>
          </c:extLst>
        </c:ser>
        <c:ser>
          <c:idx val="0"/>
          <c:order val="1"/>
          <c:tx>
            <c:strRef>
              <c:f>'10-19'!$S$41</c:f>
              <c:strCache>
                <c:ptCount val="1"/>
                <c:pt idx="0">
                  <c:v>0 a 19</c:v>
                </c:pt>
              </c:strCache>
            </c:strRef>
          </c:tx>
          <c:spPr>
            <a:ln w="34925">
              <a:solidFill>
                <a:schemeClr val="bg2">
                  <a:lumMod val="50000"/>
                </a:schemeClr>
              </a:solidFill>
            </a:ln>
          </c:spPr>
          <c:marker>
            <c:symbol val="none"/>
          </c:marker>
          <c:dLbls>
            <c:dLbl>
              <c:idx val="0"/>
              <c:layout>
                <c:manualLayout>
                  <c:x val="-9.9403866410139027E-2"/>
                  <c:y val="-5.49825021872265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064-44DC-8DDF-3539AB96614F}"/>
                </c:ext>
              </c:extLst>
            </c:dLbl>
            <c:spPr>
              <a:noFill/>
              <a:ln>
                <a:noFill/>
              </a:ln>
              <a:effectLst/>
            </c:spPr>
            <c:txPr>
              <a:bodyPr/>
              <a:lstStyle/>
              <a:p>
                <a:pPr>
                  <a:defRPr sz="1050"/>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'10-19'!$T$34:$U$34</c:f>
              <c:numCache>
                <c:formatCode>General</c:formatCode>
                <c:ptCount val="2"/>
                <c:pt idx="0">
                  <c:v>2010</c:v>
                </c:pt>
                <c:pt idx="1">
                  <c:v>2019</c:v>
                </c:pt>
              </c:numCache>
            </c:numRef>
          </c:cat>
          <c:val>
            <c:numRef>
              <c:f>'10-19'!$T$41:$U$41</c:f>
              <c:numCache>
                <c:formatCode>0.00</c:formatCode>
                <c:ptCount val="2"/>
                <c:pt idx="0">
                  <c:v>34.589008918161738</c:v>
                </c:pt>
                <c:pt idx="1">
                  <c:v>29.678950114462261</c:v>
                </c:pt>
              </c:numCache>
            </c:numRef>
          </c:val>
          <c:smooth val="0"/>
          <c:extLst>
            <c:ext xmlns:c16="http://schemas.microsoft.com/office/drawing/2014/chart" uri="{C3380CC4-5D6E-409C-BE32-E72D297353CC}">
              <c16:uniqueId val="{00000004-E064-44DC-8DDF-3539AB96614F}"/>
            </c:ext>
          </c:extLst>
        </c:ser>
        <c:ser>
          <c:idx val="2"/>
          <c:order val="2"/>
          <c:tx>
            <c:strRef>
              <c:f>'10-19'!$S$43</c:f>
              <c:strCache>
                <c:ptCount val="1"/>
                <c:pt idx="0">
                  <c:v>&gt;65</c:v>
                </c:pt>
              </c:strCache>
            </c:strRef>
          </c:tx>
          <c:spPr>
            <a:ln w="34925">
              <a:solidFill>
                <a:schemeClr val="accent5">
                  <a:lumMod val="50000"/>
                </a:schemeClr>
              </a:solidFill>
            </a:ln>
          </c:spPr>
          <c:marker>
            <c:symbol val="none"/>
          </c:marker>
          <c:dLbls>
            <c:dLbl>
              <c:idx val="0"/>
              <c:layout>
                <c:manualLayout>
                  <c:x val="-8.4585987003423138E-2"/>
                  <c:y val="-1.37121169206368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064-44DC-8DDF-3539AB96614F}"/>
                </c:ext>
              </c:extLst>
            </c:dLbl>
            <c:dLbl>
              <c:idx val="1"/>
              <c:layout>
                <c:manualLayout>
                  <c:x val="-2.5693730729702893E-3"/>
                  <c:y val="-1.43884892086330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064-44DC-8DDF-3539AB96614F}"/>
                </c:ext>
              </c:extLst>
            </c:dLbl>
            <c:spPr>
              <a:noFill/>
              <a:ln>
                <a:noFill/>
              </a:ln>
              <a:effectLst/>
            </c:spPr>
            <c:txPr>
              <a:bodyPr/>
              <a:lstStyle/>
              <a:p>
                <a:pPr>
                  <a:defRPr sz="1050"/>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'10-19'!$T$34:$U$34</c:f>
              <c:numCache>
                <c:formatCode>General</c:formatCode>
                <c:ptCount val="2"/>
                <c:pt idx="0">
                  <c:v>2010</c:v>
                </c:pt>
                <c:pt idx="1">
                  <c:v>2019</c:v>
                </c:pt>
              </c:numCache>
            </c:numRef>
          </c:cat>
          <c:val>
            <c:numRef>
              <c:f>'10-19'!$T$43:$U$43</c:f>
              <c:numCache>
                <c:formatCode>0.00</c:formatCode>
                <c:ptCount val="2"/>
                <c:pt idx="0">
                  <c:v>6.4595025821071248</c:v>
                </c:pt>
                <c:pt idx="1">
                  <c:v>8.5068225596723117</c:v>
                </c:pt>
              </c:numCache>
            </c:numRef>
          </c:val>
          <c:smooth val="0"/>
          <c:extLst>
            <c:ext xmlns:c16="http://schemas.microsoft.com/office/drawing/2014/chart" uri="{C3380CC4-5D6E-409C-BE32-E72D297353CC}">
              <c16:uniqueId val="{00000007-E064-44DC-8DDF-3539AB96614F}"/>
            </c:ext>
          </c:extLst>
        </c:ser>
        <c:dLbls>
          <c:showLegendKey val="0"/>
          <c:showVal val="0"/>
          <c:showCatName val="0"/>
          <c:showSerName val="0"/>
          <c:showPercent val="0"/>
          <c:showBubbleSize val="0"/>
        </c:dLbls>
        <c:smooth val="0"/>
        <c:axId val="1707997408"/>
        <c:axId val="1708014816"/>
      </c:lineChart>
      <c:catAx>
        <c:axId val="1707997408"/>
        <c:scaling>
          <c:orientation val="minMax"/>
        </c:scaling>
        <c:delete val="0"/>
        <c:axPos val="b"/>
        <c:numFmt formatCode="General" sourceLinked="1"/>
        <c:majorTickMark val="none"/>
        <c:minorTickMark val="none"/>
        <c:tickLblPos val="nextTo"/>
        <c:spPr>
          <a:noFill/>
          <a:ln w="19050">
            <a:solidFill>
              <a:schemeClr val="tx1">
                <a:lumMod val="95000"/>
                <a:lumOff val="5000"/>
              </a:schemeClr>
            </a:solidFill>
          </a:ln>
        </c:spPr>
        <c:txPr>
          <a:bodyPr/>
          <a:lstStyle/>
          <a:p>
            <a:pPr>
              <a:defRPr sz="1100" b="1">
                <a:solidFill>
                  <a:schemeClr val="tx1"/>
                </a:solidFill>
              </a:defRPr>
            </a:pPr>
            <a:endParaRPr lang="es-CR"/>
          </a:p>
        </c:txPr>
        <c:crossAx val="1708014816"/>
        <c:crosses val="autoZero"/>
        <c:auto val="1"/>
        <c:lblAlgn val="ctr"/>
        <c:lblOffset val="100"/>
        <c:tickLblSkip val="1"/>
        <c:tickMarkSkip val="1"/>
        <c:noMultiLvlLbl val="0"/>
      </c:catAx>
      <c:valAx>
        <c:axId val="1708014816"/>
        <c:scaling>
          <c:orientation val="minMax"/>
        </c:scaling>
        <c:delete val="1"/>
        <c:axPos val="l"/>
        <c:numFmt formatCode="0.00" sourceLinked="1"/>
        <c:majorTickMark val="none"/>
        <c:minorTickMark val="none"/>
        <c:tickLblPos val="nextTo"/>
        <c:crossAx val="1707997408"/>
        <c:crosses val="autoZero"/>
        <c:crossBetween val="between"/>
      </c:valAx>
    </c:plotArea>
    <c:legend>
      <c:legendPos val="r"/>
      <c:legendEntry>
        <c:idx val="0"/>
        <c:txPr>
          <a:bodyPr/>
          <a:lstStyle/>
          <a:p>
            <a:pPr>
              <a:defRPr sz="1100" baseline="0"/>
            </a:pPr>
            <a:endParaRPr lang="es-CR"/>
          </a:p>
        </c:txPr>
      </c:legendEntry>
      <c:legendEntry>
        <c:idx val="1"/>
        <c:txPr>
          <a:bodyPr/>
          <a:lstStyle/>
          <a:p>
            <a:pPr>
              <a:defRPr sz="1100" baseline="0"/>
            </a:pPr>
            <a:endParaRPr lang="es-CR"/>
          </a:p>
        </c:txPr>
      </c:legendEntry>
      <c:legendEntry>
        <c:idx val="2"/>
        <c:txPr>
          <a:bodyPr/>
          <a:lstStyle/>
          <a:p>
            <a:pPr>
              <a:defRPr sz="1100" baseline="0"/>
            </a:pPr>
            <a:endParaRPr lang="es-CR"/>
          </a:p>
        </c:txPr>
      </c:legendEntry>
      <c:layout>
        <c:manualLayout>
          <c:xMode val="edge"/>
          <c:yMode val="edge"/>
          <c:x val="0.81478725902073745"/>
          <c:y val="7.9183286755961452E-2"/>
          <c:w val="0.17079245283018868"/>
          <c:h val="0.85463624560227847"/>
        </c:manualLayout>
      </c:layout>
      <c:overlay val="0"/>
      <c:txPr>
        <a:bodyPr/>
        <a:lstStyle/>
        <a:p>
          <a:pPr>
            <a:defRPr sz="1400" baseline="0"/>
          </a:pPr>
          <a:endParaRPr lang="es-CR"/>
        </a:p>
      </c:txPr>
    </c:legend>
    <c:plotVisOnly val="1"/>
    <c:dispBlanksAs val="gap"/>
    <c:showDLblsOverMax val="0"/>
  </c:chart>
  <c:spPr>
    <a:ln>
      <a:noFill/>
    </a:ln>
  </c:sp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9.0638076349053659E-2"/>
          <c:y val="6.6902800150885025E-2"/>
          <c:w val="0.74583753953832699"/>
          <c:h val="0.7426584707944951"/>
        </c:manualLayout>
      </c:layout>
      <c:barChart>
        <c:barDir val="col"/>
        <c:grouping val="clustered"/>
        <c:varyColors val="0"/>
        <c:ser>
          <c:idx val="0"/>
          <c:order val="0"/>
          <c:tx>
            <c:strRef>
              <c:f>Hoja3!$A$7</c:f>
              <c:strCache>
                <c:ptCount val="1"/>
                <c:pt idx="0">
                  <c:v>OBESIDAD</c:v>
                </c:pt>
              </c:strCache>
            </c:strRef>
          </c:tx>
          <c:spPr>
            <a:solidFill>
              <a:schemeClr val="tx2">
                <a:lumMod val="50000"/>
              </a:schemeClr>
            </a:solidFill>
          </c:spPr>
          <c:invertIfNegative val="0"/>
          <c:cat>
            <c:multiLvlStrRef>
              <c:f>Hoja3!$B$5:$I$6</c:f>
              <c:multiLvlStrCache>
                <c:ptCount val="8"/>
                <c:lvl>
                  <c:pt idx="0">
                    <c:v>F</c:v>
                  </c:pt>
                  <c:pt idx="1">
                    <c:v>M</c:v>
                  </c:pt>
                  <c:pt idx="2">
                    <c:v>F</c:v>
                  </c:pt>
                  <c:pt idx="3">
                    <c:v>M</c:v>
                  </c:pt>
                  <c:pt idx="4">
                    <c:v>F</c:v>
                  </c:pt>
                  <c:pt idx="5">
                    <c:v>M</c:v>
                  </c:pt>
                  <c:pt idx="6">
                    <c:v>F</c:v>
                  </c:pt>
                  <c:pt idx="7">
                    <c:v>M</c:v>
                  </c:pt>
                </c:lvl>
                <c:lvl>
                  <c:pt idx="0">
                    <c:v>2014</c:v>
                  </c:pt>
                  <c:pt idx="2">
                    <c:v>2015</c:v>
                  </c:pt>
                  <c:pt idx="4">
                    <c:v>2016</c:v>
                  </c:pt>
                  <c:pt idx="6">
                    <c:v>2017</c:v>
                  </c:pt>
                </c:lvl>
              </c:multiLvlStrCache>
            </c:multiLvlStrRef>
          </c:cat>
          <c:val>
            <c:numRef>
              <c:f>Hoja3!$B$7:$I$7</c:f>
              <c:numCache>
                <c:formatCode>General</c:formatCode>
                <c:ptCount val="8"/>
                <c:pt idx="0">
                  <c:v>17</c:v>
                </c:pt>
                <c:pt idx="1">
                  <c:v>17</c:v>
                </c:pt>
                <c:pt idx="2">
                  <c:v>27</c:v>
                </c:pt>
                <c:pt idx="3">
                  <c:v>21</c:v>
                </c:pt>
                <c:pt idx="4">
                  <c:v>28</c:v>
                </c:pt>
                <c:pt idx="5">
                  <c:v>20</c:v>
                </c:pt>
                <c:pt idx="6">
                  <c:v>21</c:v>
                </c:pt>
                <c:pt idx="7">
                  <c:v>18</c:v>
                </c:pt>
              </c:numCache>
            </c:numRef>
          </c:val>
          <c:extLst>
            <c:ext xmlns:c16="http://schemas.microsoft.com/office/drawing/2014/chart" uri="{C3380CC4-5D6E-409C-BE32-E72D297353CC}">
              <c16:uniqueId val="{00000000-A0C7-4340-84DC-E7342DFCA34D}"/>
            </c:ext>
          </c:extLst>
        </c:ser>
        <c:ser>
          <c:idx val="1"/>
          <c:order val="1"/>
          <c:tx>
            <c:strRef>
              <c:f>Hoja3!$A$8</c:f>
              <c:strCache>
                <c:ptCount val="1"/>
                <c:pt idx="0">
                  <c:v>HIPERTENSION </c:v>
                </c:pt>
              </c:strCache>
            </c:strRef>
          </c:tx>
          <c:spPr>
            <a:solidFill>
              <a:srgbClr val="00B0F0"/>
            </a:solidFill>
          </c:spPr>
          <c:invertIfNegative val="0"/>
          <c:cat>
            <c:multiLvlStrRef>
              <c:f>Hoja3!$B$5:$I$6</c:f>
              <c:multiLvlStrCache>
                <c:ptCount val="8"/>
                <c:lvl>
                  <c:pt idx="0">
                    <c:v>F</c:v>
                  </c:pt>
                  <c:pt idx="1">
                    <c:v>M</c:v>
                  </c:pt>
                  <c:pt idx="2">
                    <c:v>F</c:v>
                  </c:pt>
                  <c:pt idx="3">
                    <c:v>M</c:v>
                  </c:pt>
                  <c:pt idx="4">
                    <c:v>F</c:v>
                  </c:pt>
                  <c:pt idx="5">
                    <c:v>M</c:v>
                  </c:pt>
                  <c:pt idx="6">
                    <c:v>F</c:v>
                  </c:pt>
                  <c:pt idx="7">
                    <c:v>M</c:v>
                  </c:pt>
                </c:lvl>
                <c:lvl>
                  <c:pt idx="0">
                    <c:v>2014</c:v>
                  </c:pt>
                  <c:pt idx="2">
                    <c:v>2015</c:v>
                  </c:pt>
                  <c:pt idx="4">
                    <c:v>2016</c:v>
                  </c:pt>
                  <c:pt idx="6">
                    <c:v>2017</c:v>
                  </c:pt>
                </c:lvl>
              </c:multiLvlStrCache>
            </c:multiLvlStrRef>
          </c:cat>
          <c:val>
            <c:numRef>
              <c:f>Hoja3!$B$8:$I$8</c:f>
              <c:numCache>
                <c:formatCode>General</c:formatCode>
                <c:ptCount val="8"/>
                <c:pt idx="0">
                  <c:v>42</c:v>
                </c:pt>
                <c:pt idx="1">
                  <c:v>27</c:v>
                </c:pt>
                <c:pt idx="2">
                  <c:v>59</c:v>
                </c:pt>
                <c:pt idx="3">
                  <c:v>51</c:v>
                </c:pt>
                <c:pt idx="4">
                  <c:v>65</c:v>
                </c:pt>
                <c:pt idx="5">
                  <c:v>54</c:v>
                </c:pt>
                <c:pt idx="6">
                  <c:v>63</c:v>
                </c:pt>
                <c:pt idx="7">
                  <c:v>56</c:v>
                </c:pt>
              </c:numCache>
            </c:numRef>
          </c:val>
          <c:extLst>
            <c:ext xmlns:c16="http://schemas.microsoft.com/office/drawing/2014/chart" uri="{C3380CC4-5D6E-409C-BE32-E72D297353CC}">
              <c16:uniqueId val="{00000001-A0C7-4340-84DC-E7342DFCA34D}"/>
            </c:ext>
          </c:extLst>
        </c:ser>
        <c:ser>
          <c:idx val="2"/>
          <c:order val="2"/>
          <c:tx>
            <c:strRef>
              <c:f>Hoja3!$A$9</c:f>
              <c:strCache>
                <c:ptCount val="1"/>
                <c:pt idx="0">
                  <c:v>DIABETES</c:v>
                </c:pt>
              </c:strCache>
            </c:strRef>
          </c:tx>
          <c:spPr>
            <a:solidFill>
              <a:schemeClr val="accent2">
                <a:lumMod val="75000"/>
              </a:schemeClr>
            </a:solidFill>
          </c:spPr>
          <c:invertIfNegative val="0"/>
          <c:cat>
            <c:multiLvlStrRef>
              <c:f>Hoja3!$B$5:$I$6</c:f>
              <c:multiLvlStrCache>
                <c:ptCount val="8"/>
                <c:lvl>
                  <c:pt idx="0">
                    <c:v>F</c:v>
                  </c:pt>
                  <c:pt idx="1">
                    <c:v>M</c:v>
                  </c:pt>
                  <c:pt idx="2">
                    <c:v>F</c:v>
                  </c:pt>
                  <c:pt idx="3">
                    <c:v>M</c:v>
                  </c:pt>
                  <c:pt idx="4">
                    <c:v>F</c:v>
                  </c:pt>
                  <c:pt idx="5">
                    <c:v>M</c:v>
                  </c:pt>
                  <c:pt idx="6">
                    <c:v>F</c:v>
                  </c:pt>
                  <c:pt idx="7">
                    <c:v>M</c:v>
                  </c:pt>
                </c:lvl>
                <c:lvl>
                  <c:pt idx="0">
                    <c:v>2014</c:v>
                  </c:pt>
                  <c:pt idx="2">
                    <c:v>2015</c:v>
                  </c:pt>
                  <c:pt idx="4">
                    <c:v>2016</c:v>
                  </c:pt>
                  <c:pt idx="6">
                    <c:v>2017</c:v>
                  </c:pt>
                </c:lvl>
              </c:multiLvlStrCache>
            </c:multiLvlStrRef>
          </c:cat>
          <c:val>
            <c:numRef>
              <c:f>Hoja3!$B$9:$I$9</c:f>
              <c:numCache>
                <c:formatCode>General</c:formatCode>
                <c:ptCount val="8"/>
                <c:pt idx="0">
                  <c:v>390</c:v>
                </c:pt>
                <c:pt idx="1">
                  <c:v>334</c:v>
                </c:pt>
                <c:pt idx="2">
                  <c:v>508</c:v>
                </c:pt>
                <c:pt idx="3">
                  <c:v>477</c:v>
                </c:pt>
                <c:pt idx="4">
                  <c:v>591</c:v>
                </c:pt>
                <c:pt idx="5">
                  <c:v>547</c:v>
                </c:pt>
                <c:pt idx="6">
                  <c:v>671</c:v>
                </c:pt>
                <c:pt idx="7">
                  <c:v>628</c:v>
                </c:pt>
              </c:numCache>
            </c:numRef>
          </c:val>
          <c:extLst>
            <c:ext xmlns:c16="http://schemas.microsoft.com/office/drawing/2014/chart" uri="{C3380CC4-5D6E-409C-BE32-E72D297353CC}">
              <c16:uniqueId val="{00000002-A0C7-4340-84DC-E7342DFCA34D}"/>
            </c:ext>
          </c:extLst>
        </c:ser>
        <c:ser>
          <c:idx val="3"/>
          <c:order val="3"/>
          <c:tx>
            <c:strRef>
              <c:f>Hoja3!$A$10</c:f>
              <c:strCache>
                <c:ptCount val="1"/>
                <c:pt idx="0">
                  <c:v>INFARTO AGUDO DEL MIOCARDIO</c:v>
                </c:pt>
              </c:strCache>
            </c:strRef>
          </c:tx>
          <c:spPr>
            <a:solidFill>
              <a:schemeClr val="accent6">
                <a:lumMod val="75000"/>
              </a:schemeClr>
            </a:solidFill>
          </c:spPr>
          <c:invertIfNegative val="0"/>
          <c:cat>
            <c:multiLvlStrRef>
              <c:f>Hoja3!$B$5:$I$6</c:f>
              <c:multiLvlStrCache>
                <c:ptCount val="8"/>
                <c:lvl>
                  <c:pt idx="0">
                    <c:v>F</c:v>
                  </c:pt>
                  <c:pt idx="1">
                    <c:v>M</c:v>
                  </c:pt>
                  <c:pt idx="2">
                    <c:v>F</c:v>
                  </c:pt>
                  <c:pt idx="3">
                    <c:v>M</c:v>
                  </c:pt>
                  <c:pt idx="4">
                    <c:v>F</c:v>
                  </c:pt>
                  <c:pt idx="5">
                    <c:v>M</c:v>
                  </c:pt>
                  <c:pt idx="6">
                    <c:v>F</c:v>
                  </c:pt>
                  <c:pt idx="7">
                    <c:v>M</c:v>
                  </c:pt>
                </c:lvl>
                <c:lvl>
                  <c:pt idx="0">
                    <c:v>2014</c:v>
                  </c:pt>
                  <c:pt idx="2">
                    <c:v>2015</c:v>
                  </c:pt>
                  <c:pt idx="4">
                    <c:v>2016</c:v>
                  </c:pt>
                  <c:pt idx="6">
                    <c:v>2017</c:v>
                  </c:pt>
                </c:lvl>
              </c:multiLvlStrCache>
            </c:multiLvlStrRef>
          </c:cat>
          <c:val>
            <c:numRef>
              <c:f>Hoja3!$B$10:$I$10</c:f>
              <c:numCache>
                <c:formatCode>General</c:formatCode>
                <c:ptCount val="8"/>
                <c:pt idx="0">
                  <c:v>600</c:v>
                </c:pt>
                <c:pt idx="1">
                  <c:v>1047</c:v>
                </c:pt>
                <c:pt idx="2">
                  <c:v>516</c:v>
                </c:pt>
                <c:pt idx="3">
                  <c:v>892</c:v>
                </c:pt>
                <c:pt idx="4">
                  <c:v>588</c:v>
                </c:pt>
                <c:pt idx="5">
                  <c:v>897</c:v>
                </c:pt>
                <c:pt idx="6">
                  <c:v>598</c:v>
                </c:pt>
                <c:pt idx="7">
                  <c:v>928</c:v>
                </c:pt>
              </c:numCache>
            </c:numRef>
          </c:val>
          <c:extLst>
            <c:ext xmlns:c16="http://schemas.microsoft.com/office/drawing/2014/chart" uri="{C3380CC4-5D6E-409C-BE32-E72D297353CC}">
              <c16:uniqueId val="{00000003-A0C7-4340-84DC-E7342DFCA34D}"/>
            </c:ext>
          </c:extLst>
        </c:ser>
        <c:dLbls>
          <c:showLegendKey val="0"/>
          <c:showVal val="0"/>
          <c:showCatName val="0"/>
          <c:showSerName val="0"/>
          <c:showPercent val="0"/>
          <c:showBubbleSize val="0"/>
        </c:dLbls>
        <c:gapWidth val="150"/>
        <c:axId val="1826729744"/>
        <c:axId val="1826731376"/>
      </c:barChart>
      <c:catAx>
        <c:axId val="1826729744"/>
        <c:scaling>
          <c:orientation val="minMax"/>
        </c:scaling>
        <c:delete val="0"/>
        <c:axPos val="b"/>
        <c:numFmt formatCode="General" sourceLinked="0"/>
        <c:majorTickMark val="none"/>
        <c:minorTickMark val="none"/>
        <c:tickLblPos val="nextTo"/>
        <c:txPr>
          <a:bodyPr/>
          <a:lstStyle/>
          <a:p>
            <a:pPr>
              <a:defRPr sz="700"/>
            </a:pPr>
            <a:endParaRPr lang="es-CR"/>
          </a:p>
        </c:txPr>
        <c:crossAx val="1826731376"/>
        <c:crosses val="autoZero"/>
        <c:auto val="1"/>
        <c:lblAlgn val="ctr"/>
        <c:lblOffset val="100"/>
        <c:noMultiLvlLbl val="0"/>
      </c:catAx>
      <c:valAx>
        <c:axId val="1826731376"/>
        <c:scaling>
          <c:orientation val="minMax"/>
        </c:scaling>
        <c:delete val="0"/>
        <c:axPos val="l"/>
        <c:majorGridlines/>
        <c:numFmt formatCode="General" sourceLinked="1"/>
        <c:majorTickMark val="none"/>
        <c:minorTickMark val="none"/>
        <c:tickLblPos val="nextTo"/>
        <c:txPr>
          <a:bodyPr/>
          <a:lstStyle/>
          <a:p>
            <a:pPr>
              <a:defRPr sz="800"/>
            </a:pPr>
            <a:endParaRPr lang="es-CR"/>
          </a:p>
        </c:txPr>
        <c:crossAx val="1826729744"/>
        <c:crosses val="autoZero"/>
        <c:crossBetween val="between"/>
      </c:valAx>
    </c:plotArea>
    <c:legend>
      <c:legendPos val="r"/>
      <c:layout>
        <c:manualLayout>
          <c:xMode val="edge"/>
          <c:yMode val="edge"/>
          <c:x val="0.85407239819004521"/>
          <c:y val="0.17407102509293901"/>
          <c:w val="0.12078934137757667"/>
          <c:h val="0.42287284140702658"/>
        </c:manualLayout>
      </c:layout>
      <c:overlay val="0"/>
      <c:txPr>
        <a:bodyPr/>
        <a:lstStyle/>
        <a:p>
          <a:pPr>
            <a:defRPr sz="500"/>
          </a:pPr>
          <a:endParaRPr lang="es-CR"/>
        </a:p>
      </c:txPr>
    </c:legend>
    <c:plotVisOnly val="1"/>
    <c:dispBlanksAs val="gap"/>
    <c:showDLblsOverMax val="0"/>
  </c:chart>
  <c:spPr>
    <a:ln>
      <a:noFill/>
    </a:ln>
  </c:spPr>
  <c:txPr>
    <a:bodyPr/>
    <a:lstStyle/>
    <a:p>
      <a:pPr>
        <a:defRPr>
          <a:solidFill>
            <a:sysClr val="windowText" lastClr="000000"/>
          </a:solidFill>
        </a:defRPr>
      </a:pPr>
      <a:endParaRPr lang="es-C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Hoja1!$C$8</c:f>
              <c:strCache>
                <c:ptCount val="1"/>
                <c:pt idx="0">
                  <c:v>Casos </c:v>
                </c:pt>
              </c:strCache>
            </c:strRef>
          </c:tx>
          <c:spPr>
            <a:solidFill>
              <a:schemeClr val="tx2">
                <a:lumMod val="75000"/>
              </a:schemeClr>
            </a:solidFill>
            <a:ln>
              <a:noFill/>
            </a:ln>
            <a:effectLst/>
          </c:spPr>
          <c:invertIfNegative val="0"/>
          <c:cat>
            <c:numRef>
              <c:f>Hoja1!$B$9:$B$12</c:f>
              <c:numCache>
                <c:formatCode>General</c:formatCode>
                <c:ptCount val="4"/>
                <c:pt idx="0">
                  <c:v>2015</c:v>
                </c:pt>
                <c:pt idx="1">
                  <c:v>2016</c:v>
                </c:pt>
                <c:pt idx="2">
                  <c:v>2017</c:v>
                </c:pt>
                <c:pt idx="3">
                  <c:v>2018</c:v>
                </c:pt>
              </c:numCache>
            </c:numRef>
          </c:cat>
          <c:val>
            <c:numRef>
              <c:f>Hoja1!$C$9:$C$12</c:f>
              <c:numCache>
                <c:formatCode>General</c:formatCode>
                <c:ptCount val="4"/>
                <c:pt idx="0">
                  <c:v>203</c:v>
                </c:pt>
                <c:pt idx="1">
                  <c:v>202</c:v>
                </c:pt>
                <c:pt idx="2">
                  <c:v>174</c:v>
                </c:pt>
                <c:pt idx="3">
                  <c:v>95</c:v>
                </c:pt>
              </c:numCache>
            </c:numRef>
          </c:val>
          <c:extLst>
            <c:ext xmlns:c16="http://schemas.microsoft.com/office/drawing/2014/chart" uri="{C3380CC4-5D6E-409C-BE32-E72D297353CC}">
              <c16:uniqueId val="{00000000-8C12-42E6-9CCE-4415EA0008D2}"/>
            </c:ext>
          </c:extLst>
        </c:ser>
        <c:dLbls>
          <c:showLegendKey val="0"/>
          <c:showVal val="0"/>
          <c:showCatName val="0"/>
          <c:showSerName val="0"/>
          <c:showPercent val="0"/>
          <c:showBubbleSize val="0"/>
        </c:dLbls>
        <c:gapWidth val="100"/>
        <c:axId val="1826717232"/>
        <c:axId val="1826733008"/>
      </c:barChart>
      <c:lineChart>
        <c:grouping val="standard"/>
        <c:varyColors val="0"/>
        <c:ser>
          <c:idx val="1"/>
          <c:order val="1"/>
          <c:tx>
            <c:strRef>
              <c:f>Hoja1!$D$8</c:f>
              <c:strCache>
                <c:ptCount val="1"/>
                <c:pt idx="0">
                  <c:v>Tasa</c:v>
                </c:pt>
              </c:strCache>
            </c:strRef>
          </c:tx>
          <c:spPr>
            <a:ln w="28575" cap="rnd">
              <a:solidFill>
                <a:schemeClr val="accent2"/>
              </a:solidFill>
              <a:round/>
            </a:ln>
            <a:effectLst/>
          </c:spPr>
          <c:marker>
            <c:symbol val="none"/>
          </c:marker>
          <c:cat>
            <c:numRef>
              <c:f>Hoja1!$B$9:$B$12</c:f>
              <c:numCache>
                <c:formatCode>General</c:formatCode>
                <c:ptCount val="4"/>
                <c:pt idx="0">
                  <c:v>2015</c:v>
                </c:pt>
                <c:pt idx="1">
                  <c:v>2016</c:v>
                </c:pt>
                <c:pt idx="2">
                  <c:v>2017</c:v>
                </c:pt>
                <c:pt idx="3">
                  <c:v>2018</c:v>
                </c:pt>
              </c:numCache>
            </c:numRef>
          </c:cat>
          <c:val>
            <c:numRef>
              <c:f>Hoja1!$D$9:$D$12</c:f>
              <c:numCache>
                <c:formatCode>0.00</c:formatCode>
                <c:ptCount val="4"/>
                <c:pt idx="0">
                  <c:v>4.2</c:v>
                </c:pt>
                <c:pt idx="1">
                  <c:v>4.0999999999999996</c:v>
                </c:pt>
                <c:pt idx="2">
                  <c:v>3.5</c:v>
                </c:pt>
                <c:pt idx="3">
                  <c:v>1.89</c:v>
                </c:pt>
              </c:numCache>
            </c:numRef>
          </c:val>
          <c:smooth val="0"/>
          <c:extLst>
            <c:ext xmlns:c16="http://schemas.microsoft.com/office/drawing/2014/chart" uri="{C3380CC4-5D6E-409C-BE32-E72D297353CC}">
              <c16:uniqueId val="{00000001-8C12-42E6-9CCE-4415EA0008D2}"/>
            </c:ext>
          </c:extLst>
        </c:ser>
        <c:dLbls>
          <c:showLegendKey val="0"/>
          <c:showVal val="0"/>
          <c:showCatName val="0"/>
          <c:showSerName val="0"/>
          <c:showPercent val="0"/>
          <c:showBubbleSize val="0"/>
        </c:dLbls>
        <c:marker val="1"/>
        <c:smooth val="0"/>
        <c:axId val="1826733552"/>
        <c:axId val="1826707984"/>
      </c:lineChart>
      <c:catAx>
        <c:axId val="1826717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R"/>
          </a:p>
        </c:txPr>
        <c:crossAx val="1826733008"/>
        <c:crosses val="autoZero"/>
        <c:auto val="1"/>
        <c:lblAlgn val="ctr"/>
        <c:lblOffset val="100"/>
        <c:noMultiLvlLbl val="0"/>
      </c:catAx>
      <c:valAx>
        <c:axId val="1826733008"/>
        <c:scaling>
          <c:orientation val="minMax"/>
          <c:max val="25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solidFill>
                    <a:latin typeface="+mn-lt"/>
                    <a:ea typeface="+mn-ea"/>
                    <a:cs typeface="+mn-cs"/>
                  </a:defRPr>
                </a:pPr>
                <a:r>
                  <a:rPr lang="es-PA" sz="700">
                    <a:solidFill>
                      <a:schemeClr val="tx1"/>
                    </a:solidFill>
                  </a:rPr>
                  <a:t>N°</a:t>
                </a:r>
                <a:r>
                  <a:rPr lang="es-PA" sz="700" baseline="0">
                    <a:solidFill>
                      <a:schemeClr val="tx1"/>
                    </a:solidFill>
                  </a:rPr>
                  <a:t> Casos </a:t>
                </a:r>
                <a:endParaRPr lang="es-PA" sz="700">
                  <a:solidFill>
                    <a:schemeClr val="tx1"/>
                  </a:solidFill>
                </a:endParaRPr>
              </a:p>
            </c:rich>
          </c:tx>
          <c:layout>
            <c:manualLayout>
              <c:xMode val="edge"/>
              <c:yMode val="edge"/>
              <c:x val="1.3888888888888888E-2"/>
              <c:y val="0.31390419947506559"/>
            </c:manualLayout>
          </c:layout>
          <c:overlay val="0"/>
          <c:spPr>
            <a:noFill/>
            <a:ln>
              <a:noFill/>
            </a:ln>
            <a:effectLst/>
          </c:spPr>
          <c:txPr>
            <a:bodyPr rot="-540000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es-CR"/>
          </a:p>
        </c:txPr>
        <c:crossAx val="1826717232"/>
        <c:crosses val="autoZero"/>
        <c:crossBetween val="between"/>
      </c:valAx>
      <c:valAx>
        <c:axId val="1826707984"/>
        <c:scaling>
          <c:orientation val="minMax"/>
          <c:max val="4.3"/>
          <c:min val="0"/>
        </c:scaling>
        <c:delete val="0"/>
        <c:axPos val="r"/>
        <c:title>
          <c:tx>
            <c:rich>
              <a:bodyPr rot="-5400000" spcFirstLastPara="1" vertOverflow="ellipsis" vert="horz" wrap="square" anchor="ctr" anchorCtr="1"/>
              <a:lstStyle/>
              <a:p>
                <a:pPr>
                  <a:defRPr sz="700" b="0" i="0" u="none" strike="noStrike" kern="1200" baseline="0">
                    <a:solidFill>
                      <a:schemeClr val="tx1"/>
                    </a:solidFill>
                    <a:latin typeface="+mn-lt"/>
                    <a:ea typeface="+mn-ea"/>
                    <a:cs typeface="+mn-cs"/>
                  </a:defRPr>
                </a:pPr>
                <a:r>
                  <a:rPr lang="es-PA" sz="700">
                    <a:solidFill>
                      <a:schemeClr val="tx1"/>
                    </a:solidFill>
                  </a:rPr>
                  <a:t>Tasa por 100.000 habitantes</a:t>
                </a:r>
              </a:p>
            </c:rich>
          </c:tx>
          <c:layout>
            <c:manualLayout>
              <c:xMode val="edge"/>
              <c:yMode val="edge"/>
              <c:x val="0.94387489063867014"/>
              <c:y val="0.13795494313210849"/>
            </c:manualLayout>
          </c:layout>
          <c:overlay val="0"/>
          <c:spPr>
            <a:noFill/>
            <a:ln>
              <a:noFill/>
            </a:ln>
            <a:effectLst/>
          </c:spPr>
          <c:txPr>
            <a:bodyPr rot="-540000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es-CR"/>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solidFill>
                <a:latin typeface="+mn-lt"/>
                <a:ea typeface="+mn-ea"/>
                <a:cs typeface="+mn-cs"/>
              </a:defRPr>
            </a:pPr>
            <a:endParaRPr lang="es-CR"/>
          </a:p>
        </c:txPr>
        <c:crossAx val="1826733552"/>
        <c:crosses val="max"/>
        <c:crossBetween val="between"/>
        <c:majorUnit val="1"/>
      </c:valAx>
      <c:catAx>
        <c:axId val="1826733552"/>
        <c:scaling>
          <c:orientation val="minMax"/>
        </c:scaling>
        <c:delete val="1"/>
        <c:axPos val="b"/>
        <c:numFmt formatCode="General" sourceLinked="1"/>
        <c:majorTickMark val="none"/>
        <c:minorTickMark val="none"/>
        <c:tickLblPos val="nextTo"/>
        <c:crossAx val="18267079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362199442493803E-2"/>
          <c:y val="0.10171312093295228"/>
          <c:w val="0.89578938889556448"/>
          <c:h val="0.75986576834471897"/>
        </c:manualLayout>
      </c:layout>
      <c:barChart>
        <c:barDir val="col"/>
        <c:grouping val="clustered"/>
        <c:varyColors val="0"/>
        <c:ser>
          <c:idx val="0"/>
          <c:order val="0"/>
          <c:tx>
            <c:strRef>
              <c:f>'Incidencia VIF 2014-2018'!$C$13</c:f>
              <c:strCache>
                <c:ptCount val="1"/>
                <c:pt idx="0">
                  <c:v>Tasa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'Incidencia VIF 2014-2018'!$B$14:$B$18</c:f>
              <c:numCache>
                <c:formatCode>General</c:formatCode>
                <c:ptCount val="5"/>
                <c:pt idx="0">
                  <c:v>2014</c:v>
                </c:pt>
                <c:pt idx="1">
                  <c:v>2015</c:v>
                </c:pt>
                <c:pt idx="2">
                  <c:v>2016</c:v>
                </c:pt>
                <c:pt idx="3">
                  <c:v>2017</c:v>
                </c:pt>
                <c:pt idx="4">
                  <c:v>2018</c:v>
                </c:pt>
              </c:numCache>
            </c:numRef>
          </c:cat>
          <c:val>
            <c:numRef>
              <c:f>'Incidencia VIF 2014-2018'!$C$14:$C$18</c:f>
              <c:numCache>
                <c:formatCode>General</c:formatCode>
                <c:ptCount val="5"/>
                <c:pt idx="0">
                  <c:v>225.8</c:v>
                </c:pt>
                <c:pt idx="1">
                  <c:v>258.5</c:v>
                </c:pt>
                <c:pt idx="2">
                  <c:v>266.60000000000002</c:v>
                </c:pt>
                <c:pt idx="3">
                  <c:v>262.89999999999998</c:v>
                </c:pt>
                <c:pt idx="4">
                  <c:v>232.7</c:v>
                </c:pt>
              </c:numCache>
            </c:numRef>
          </c:val>
          <c:extLst>
            <c:ext xmlns:c16="http://schemas.microsoft.com/office/drawing/2014/chart" uri="{C3380CC4-5D6E-409C-BE32-E72D297353CC}">
              <c16:uniqueId val="{00000000-FF97-4412-82D7-478B26E738AF}"/>
            </c:ext>
          </c:extLst>
        </c:ser>
        <c:dLbls>
          <c:showLegendKey val="0"/>
          <c:showVal val="0"/>
          <c:showCatName val="0"/>
          <c:showSerName val="0"/>
          <c:showPercent val="0"/>
          <c:showBubbleSize val="0"/>
        </c:dLbls>
        <c:gapWidth val="100"/>
        <c:overlap val="-24"/>
        <c:axId val="1826703632"/>
        <c:axId val="1826724304"/>
      </c:barChart>
      <c:catAx>
        <c:axId val="182670363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crossAx val="1826724304"/>
        <c:crosses val="autoZero"/>
        <c:auto val="1"/>
        <c:lblAlgn val="ctr"/>
        <c:lblOffset val="100"/>
        <c:noMultiLvlLbl val="0"/>
      </c:catAx>
      <c:valAx>
        <c:axId val="1826724304"/>
        <c:scaling>
          <c:orientation val="minMax"/>
        </c:scaling>
        <c:delete val="1"/>
        <c:axPos val="l"/>
        <c:title>
          <c:tx>
            <c:rich>
              <a:bodyPr rot="-5400000" spcFirstLastPara="1" vertOverflow="ellipsis" vert="horz" wrap="square" anchor="ctr" anchorCtr="1"/>
              <a:lstStyle/>
              <a:p>
                <a:pPr>
                  <a:defRPr sz="6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CR" sz="600">
                    <a:solidFill>
                      <a:sysClr val="windowText" lastClr="000000"/>
                    </a:solidFill>
                    <a:latin typeface="Arial" panose="020B0604020202020204" pitchFamily="34" charset="0"/>
                    <a:cs typeface="Arial" panose="020B0604020202020204" pitchFamily="34" charset="0"/>
                  </a:rPr>
                  <a:t>Tasas</a:t>
                </a:r>
                <a:r>
                  <a:rPr lang="es-CR" sz="600" baseline="0">
                    <a:solidFill>
                      <a:sysClr val="windowText" lastClr="000000"/>
                    </a:solidFill>
                    <a:latin typeface="Arial" panose="020B0604020202020204" pitchFamily="34" charset="0"/>
                    <a:cs typeface="Arial" panose="020B0604020202020204" pitchFamily="34" charset="0"/>
                  </a:rPr>
                  <a:t> por 100.000 habitantees</a:t>
                </a:r>
                <a:endParaRPr lang="es-CR" sz="6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1.9334980410695351E-2"/>
              <c:y val="0.22409782284521321"/>
            </c:manualLayout>
          </c:layout>
          <c:overlay val="0"/>
          <c:spPr>
            <a:noFill/>
            <a:ln>
              <a:noFill/>
            </a:ln>
            <a:effectLst/>
          </c:spPr>
          <c:txPr>
            <a:bodyPr rot="-5400000" spcFirstLastPara="1" vertOverflow="ellipsis" vert="horz" wrap="square" anchor="ctr" anchorCtr="1"/>
            <a:lstStyle/>
            <a:p>
              <a:pPr>
                <a:defRPr sz="6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title>
        <c:numFmt formatCode="General" sourceLinked="1"/>
        <c:majorTickMark val="none"/>
        <c:minorTickMark val="none"/>
        <c:tickLblPos val="nextTo"/>
        <c:crossAx val="182670363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userShapes r:id="rId4"/>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84548302429938"/>
          <c:y val="4.8305243502275177E-2"/>
          <c:w val="0.84804030141393616"/>
          <c:h val="0.813103619146609"/>
        </c:manualLayout>
      </c:layout>
      <c:barChart>
        <c:barDir val="bar"/>
        <c:grouping val="clustered"/>
        <c:varyColors val="0"/>
        <c:ser>
          <c:idx val="0"/>
          <c:order val="0"/>
          <c:tx>
            <c:strRef>
              <c:f>Provincia!$D$4</c:f>
              <c:strCache>
                <c:ptCount val="1"/>
                <c:pt idx="0">
                  <c:v>2014</c:v>
                </c:pt>
              </c:strCache>
            </c:strRef>
          </c:tx>
          <c:spPr>
            <a:solidFill>
              <a:schemeClr val="accent1"/>
            </a:solidFill>
            <a:ln>
              <a:noFill/>
            </a:ln>
            <a:effectLst/>
          </c:spPr>
          <c:invertIfNegative val="0"/>
          <c:cat>
            <c:strRef>
              <c:f>Provincia!$C$5:$C$11</c:f>
              <c:strCache>
                <c:ptCount val="7"/>
                <c:pt idx="0">
                  <c:v>San José</c:v>
                </c:pt>
                <c:pt idx="1">
                  <c:v>Alajuela</c:v>
                </c:pt>
                <c:pt idx="2">
                  <c:v>Cartago</c:v>
                </c:pt>
                <c:pt idx="3">
                  <c:v>Heredia</c:v>
                </c:pt>
                <c:pt idx="4">
                  <c:v>Guanacaste </c:v>
                </c:pt>
                <c:pt idx="5">
                  <c:v>Puntarenas</c:v>
                </c:pt>
                <c:pt idx="6">
                  <c:v>Limón</c:v>
                </c:pt>
              </c:strCache>
            </c:strRef>
          </c:cat>
          <c:val>
            <c:numRef>
              <c:f>Provincia!$D$5:$D$11</c:f>
              <c:numCache>
                <c:formatCode>General</c:formatCode>
                <c:ptCount val="7"/>
                <c:pt idx="0">
                  <c:v>302.5</c:v>
                </c:pt>
                <c:pt idx="1">
                  <c:v>198</c:v>
                </c:pt>
                <c:pt idx="2">
                  <c:v>207.8</c:v>
                </c:pt>
                <c:pt idx="3">
                  <c:v>148.6</c:v>
                </c:pt>
                <c:pt idx="4">
                  <c:v>161.4</c:v>
                </c:pt>
                <c:pt idx="5">
                  <c:v>228.1</c:v>
                </c:pt>
                <c:pt idx="6">
                  <c:v>164.9</c:v>
                </c:pt>
              </c:numCache>
            </c:numRef>
          </c:val>
          <c:extLst>
            <c:ext xmlns:c16="http://schemas.microsoft.com/office/drawing/2014/chart" uri="{C3380CC4-5D6E-409C-BE32-E72D297353CC}">
              <c16:uniqueId val="{00000000-784A-489C-9724-E85ABB2934AA}"/>
            </c:ext>
          </c:extLst>
        </c:ser>
        <c:ser>
          <c:idx val="1"/>
          <c:order val="1"/>
          <c:tx>
            <c:strRef>
              <c:f>Provincia!$E$4</c:f>
              <c:strCache>
                <c:ptCount val="1"/>
                <c:pt idx="0">
                  <c:v>2015</c:v>
                </c:pt>
              </c:strCache>
            </c:strRef>
          </c:tx>
          <c:spPr>
            <a:solidFill>
              <a:schemeClr val="accent2"/>
            </a:solidFill>
            <a:ln>
              <a:noFill/>
            </a:ln>
            <a:effectLst/>
          </c:spPr>
          <c:invertIfNegative val="0"/>
          <c:cat>
            <c:strRef>
              <c:f>Provincia!$C$5:$C$11</c:f>
              <c:strCache>
                <c:ptCount val="7"/>
                <c:pt idx="0">
                  <c:v>San José</c:v>
                </c:pt>
                <c:pt idx="1">
                  <c:v>Alajuela</c:v>
                </c:pt>
                <c:pt idx="2">
                  <c:v>Cartago</c:v>
                </c:pt>
                <c:pt idx="3">
                  <c:v>Heredia</c:v>
                </c:pt>
                <c:pt idx="4">
                  <c:v>Guanacaste </c:v>
                </c:pt>
                <c:pt idx="5">
                  <c:v>Puntarenas</c:v>
                </c:pt>
                <c:pt idx="6">
                  <c:v>Limón</c:v>
                </c:pt>
              </c:strCache>
            </c:strRef>
          </c:cat>
          <c:val>
            <c:numRef>
              <c:f>Provincia!$E$5:$E$11</c:f>
              <c:numCache>
                <c:formatCode>General</c:formatCode>
                <c:ptCount val="7"/>
                <c:pt idx="0">
                  <c:v>300.39999999999998</c:v>
                </c:pt>
                <c:pt idx="1">
                  <c:v>271.8</c:v>
                </c:pt>
                <c:pt idx="2">
                  <c:v>227.4</c:v>
                </c:pt>
                <c:pt idx="3">
                  <c:v>137.19999999999999</c:v>
                </c:pt>
                <c:pt idx="4">
                  <c:v>235.3</c:v>
                </c:pt>
                <c:pt idx="5">
                  <c:v>323.7</c:v>
                </c:pt>
                <c:pt idx="6">
                  <c:v>198.8</c:v>
                </c:pt>
              </c:numCache>
            </c:numRef>
          </c:val>
          <c:extLst>
            <c:ext xmlns:c16="http://schemas.microsoft.com/office/drawing/2014/chart" uri="{C3380CC4-5D6E-409C-BE32-E72D297353CC}">
              <c16:uniqueId val="{00000001-784A-489C-9724-E85ABB2934AA}"/>
            </c:ext>
          </c:extLst>
        </c:ser>
        <c:ser>
          <c:idx val="2"/>
          <c:order val="2"/>
          <c:tx>
            <c:strRef>
              <c:f>Provincia!$F$4</c:f>
              <c:strCache>
                <c:ptCount val="1"/>
                <c:pt idx="0">
                  <c:v>2016</c:v>
                </c:pt>
              </c:strCache>
            </c:strRef>
          </c:tx>
          <c:spPr>
            <a:solidFill>
              <a:schemeClr val="accent3"/>
            </a:solidFill>
            <a:ln>
              <a:noFill/>
            </a:ln>
            <a:effectLst/>
          </c:spPr>
          <c:invertIfNegative val="0"/>
          <c:cat>
            <c:strRef>
              <c:f>Provincia!$C$5:$C$11</c:f>
              <c:strCache>
                <c:ptCount val="7"/>
                <c:pt idx="0">
                  <c:v>San José</c:v>
                </c:pt>
                <c:pt idx="1">
                  <c:v>Alajuela</c:v>
                </c:pt>
                <c:pt idx="2">
                  <c:v>Cartago</c:v>
                </c:pt>
                <c:pt idx="3">
                  <c:v>Heredia</c:v>
                </c:pt>
                <c:pt idx="4">
                  <c:v>Guanacaste </c:v>
                </c:pt>
                <c:pt idx="5">
                  <c:v>Puntarenas</c:v>
                </c:pt>
                <c:pt idx="6">
                  <c:v>Limón</c:v>
                </c:pt>
              </c:strCache>
            </c:strRef>
          </c:cat>
          <c:val>
            <c:numRef>
              <c:f>Provincia!$F$5:$F$11</c:f>
              <c:numCache>
                <c:formatCode>General</c:formatCode>
                <c:ptCount val="7"/>
                <c:pt idx="0">
                  <c:v>300.60000000000002</c:v>
                </c:pt>
                <c:pt idx="1">
                  <c:v>300.5</c:v>
                </c:pt>
                <c:pt idx="2">
                  <c:v>219.1</c:v>
                </c:pt>
                <c:pt idx="3">
                  <c:v>102.7</c:v>
                </c:pt>
                <c:pt idx="4">
                  <c:v>223.5</c:v>
                </c:pt>
                <c:pt idx="5">
                  <c:v>362.9</c:v>
                </c:pt>
                <c:pt idx="6">
                  <c:v>241.9</c:v>
                </c:pt>
              </c:numCache>
            </c:numRef>
          </c:val>
          <c:extLst>
            <c:ext xmlns:c16="http://schemas.microsoft.com/office/drawing/2014/chart" uri="{C3380CC4-5D6E-409C-BE32-E72D297353CC}">
              <c16:uniqueId val="{00000002-784A-489C-9724-E85ABB2934AA}"/>
            </c:ext>
          </c:extLst>
        </c:ser>
        <c:ser>
          <c:idx val="3"/>
          <c:order val="3"/>
          <c:tx>
            <c:strRef>
              <c:f>Provincia!$G$4</c:f>
              <c:strCache>
                <c:ptCount val="1"/>
                <c:pt idx="0">
                  <c:v>2017</c:v>
                </c:pt>
              </c:strCache>
            </c:strRef>
          </c:tx>
          <c:spPr>
            <a:solidFill>
              <a:schemeClr val="accent4"/>
            </a:solidFill>
            <a:ln>
              <a:noFill/>
            </a:ln>
            <a:effectLst/>
          </c:spPr>
          <c:invertIfNegative val="0"/>
          <c:cat>
            <c:strRef>
              <c:f>Provincia!$C$5:$C$11</c:f>
              <c:strCache>
                <c:ptCount val="7"/>
                <c:pt idx="0">
                  <c:v>San José</c:v>
                </c:pt>
                <c:pt idx="1">
                  <c:v>Alajuela</c:v>
                </c:pt>
                <c:pt idx="2">
                  <c:v>Cartago</c:v>
                </c:pt>
                <c:pt idx="3">
                  <c:v>Heredia</c:v>
                </c:pt>
                <c:pt idx="4">
                  <c:v>Guanacaste </c:v>
                </c:pt>
                <c:pt idx="5">
                  <c:v>Puntarenas</c:v>
                </c:pt>
                <c:pt idx="6">
                  <c:v>Limón</c:v>
                </c:pt>
              </c:strCache>
            </c:strRef>
          </c:cat>
          <c:val>
            <c:numRef>
              <c:f>Provincia!$G$5:$G$11</c:f>
              <c:numCache>
                <c:formatCode>General</c:formatCode>
                <c:ptCount val="7"/>
                <c:pt idx="0">
                  <c:v>255.1</c:v>
                </c:pt>
                <c:pt idx="1">
                  <c:v>278.3</c:v>
                </c:pt>
                <c:pt idx="2">
                  <c:v>159.5</c:v>
                </c:pt>
                <c:pt idx="3">
                  <c:v>116.6</c:v>
                </c:pt>
                <c:pt idx="4">
                  <c:v>245</c:v>
                </c:pt>
                <c:pt idx="5">
                  <c:v>447.6</c:v>
                </c:pt>
                <c:pt idx="6">
                  <c:v>362.5</c:v>
                </c:pt>
              </c:numCache>
            </c:numRef>
          </c:val>
          <c:extLst>
            <c:ext xmlns:c16="http://schemas.microsoft.com/office/drawing/2014/chart" uri="{C3380CC4-5D6E-409C-BE32-E72D297353CC}">
              <c16:uniqueId val="{00000003-784A-489C-9724-E85ABB2934AA}"/>
            </c:ext>
          </c:extLst>
        </c:ser>
        <c:ser>
          <c:idx val="4"/>
          <c:order val="4"/>
          <c:tx>
            <c:strRef>
              <c:f>Provincia!$H$4</c:f>
              <c:strCache>
                <c:ptCount val="1"/>
                <c:pt idx="0">
                  <c:v>2018</c:v>
                </c:pt>
              </c:strCache>
            </c:strRef>
          </c:tx>
          <c:spPr>
            <a:solidFill>
              <a:schemeClr val="accent5"/>
            </a:solidFill>
            <a:ln>
              <a:noFill/>
            </a:ln>
            <a:effectLst/>
          </c:spPr>
          <c:invertIfNegative val="0"/>
          <c:cat>
            <c:strRef>
              <c:f>Provincia!$C$5:$C$11</c:f>
              <c:strCache>
                <c:ptCount val="7"/>
                <c:pt idx="0">
                  <c:v>San José</c:v>
                </c:pt>
                <c:pt idx="1">
                  <c:v>Alajuela</c:v>
                </c:pt>
                <c:pt idx="2">
                  <c:v>Cartago</c:v>
                </c:pt>
                <c:pt idx="3">
                  <c:v>Heredia</c:v>
                </c:pt>
                <c:pt idx="4">
                  <c:v>Guanacaste </c:v>
                </c:pt>
                <c:pt idx="5">
                  <c:v>Puntarenas</c:v>
                </c:pt>
                <c:pt idx="6">
                  <c:v>Limón</c:v>
                </c:pt>
              </c:strCache>
            </c:strRef>
          </c:cat>
          <c:val>
            <c:numRef>
              <c:f>Provincia!$H$5:$H$11</c:f>
              <c:numCache>
                <c:formatCode>General</c:formatCode>
                <c:ptCount val="7"/>
                <c:pt idx="0">
                  <c:v>236.6</c:v>
                </c:pt>
                <c:pt idx="1">
                  <c:v>263.2</c:v>
                </c:pt>
                <c:pt idx="2">
                  <c:v>128.1</c:v>
                </c:pt>
                <c:pt idx="3">
                  <c:v>113.6</c:v>
                </c:pt>
                <c:pt idx="4">
                  <c:v>191</c:v>
                </c:pt>
                <c:pt idx="5">
                  <c:v>379.4</c:v>
                </c:pt>
                <c:pt idx="6">
                  <c:v>286.60000000000002</c:v>
                </c:pt>
              </c:numCache>
            </c:numRef>
          </c:val>
          <c:extLst>
            <c:ext xmlns:c16="http://schemas.microsoft.com/office/drawing/2014/chart" uri="{C3380CC4-5D6E-409C-BE32-E72D297353CC}">
              <c16:uniqueId val="{00000004-784A-489C-9724-E85ABB2934AA}"/>
            </c:ext>
          </c:extLst>
        </c:ser>
        <c:dLbls>
          <c:showLegendKey val="0"/>
          <c:showVal val="0"/>
          <c:showCatName val="0"/>
          <c:showSerName val="0"/>
          <c:showPercent val="0"/>
          <c:showBubbleSize val="0"/>
        </c:dLbls>
        <c:gapWidth val="219"/>
        <c:axId val="1826725936"/>
        <c:axId val="1826726480"/>
      </c:barChart>
      <c:catAx>
        <c:axId val="18267259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crossAx val="1826726480"/>
        <c:crosses val="autoZero"/>
        <c:auto val="1"/>
        <c:lblAlgn val="ctr"/>
        <c:lblOffset val="100"/>
        <c:noMultiLvlLbl val="0"/>
      </c:catAx>
      <c:valAx>
        <c:axId val="1826726480"/>
        <c:scaling>
          <c:orientation val="minMax"/>
          <c:max val="450"/>
        </c:scaling>
        <c:delete val="0"/>
        <c:axPos val="b"/>
        <c:title>
          <c:tx>
            <c:rich>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r>
                  <a:rPr lang="es-CR" sz="600">
                    <a:solidFill>
                      <a:sysClr val="windowText" lastClr="000000"/>
                    </a:solidFill>
                    <a:latin typeface="Arial" panose="020B0604020202020204" pitchFamily="34" charset="0"/>
                    <a:cs typeface="Arial" panose="020B0604020202020204" pitchFamily="34" charset="0"/>
                  </a:rPr>
                  <a:t>Tasa por</a:t>
                </a:r>
                <a:r>
                  <a:rPr lang="es-CR" sz="600" baseline="0">
                    <a:solidFill>
                      <a:sysClr val="windowText" lastClr="000000"/>
                    </a:solidFill>
                    <a:latin typeface="Arial" panose="020B0604020202020204" pitchFamily="34" charset="0"/>
                    <a:cs typeface="Arial" panose="020B0604020202020204" pitchFamily="34" charset="0"/>
                  </a:rPr>
                  <a:t> 100.000 habitantes</a:t>
                </a:r>
                <a:endParaRPr lang="es-CR" sz="6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36211396156125647"/>
              <c:y val="0.9239175494467643"/>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crossAx val="1826725936"/>
        <c:crosses val="autoZero"/>
        <c:crossBetween val="between"/>
      </c:valAx>
      <c:spPr>
        <a:noFill/>
        <a:ln>
          <a:noFill/>
        </a:ln>
        <a:effectLst/>
      </c:spPr>
    </c:plotArea>
    <c:legend>
      <c:legendPos val="b"/>
      <c:layout>
        <c:manualLayout>
          <c:xMode val="edge"/>
          <c:yMode val="edge"/>
          <c:x val="0.90445980358102895"/>
          <c:y val="0.35386235319140869"/>
          <c:w val="8.4712217424434855E-2"/>
          <c:h val="0.31062750406391065"/>
        </c:manualLayout>
      </c:layout>
      <c:overlay val="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66734056891537"/>
          <c:y val="5.7176920298273086E-2"/>
          <c:w val="0.82612204724409444"/>
          <c:h val="0.74860714874408818"/>
        </c:manualLayout>
      </c:layout>
      <c:barChart>
        <c:barDir val="col"/>
        <c:grouping val="clustered"/>
        <c:varyColors val="0"/>
        <c:ser>
          <c:idx val="0"/>
          <c:order val="0"/>
          <c:tx>
            <c:strRef>
              <c:f>'Cantones 10'!$D$27</c:f>
              <c:strCache>
                <c:ptCount val="1"/>
                <c:pt idx="0">
                  <c:v>2014</c:v>
                </c:pt>
              </c:strCache>
            </c:strRef>
          </c:tx>
          <c:spPr>
            <a:solidFill>
              <a:schemeClr val="accent1"/>
            </a:solidFill>
            <a:ln>
              <a:noFill/>
            </a:ln>
            <a:effectLst/>
          </c:spPr>
          <c:invertIfNegative val="0"/>
          <c:cat>
            <c:strRef>
              <c:f>'Cantones 10'!$C$28:$C$37</c:f>
              <c:strCache>
                <c:ptCount val="10"/>
                <c:pt idx="0">
                  <c:v>Goicochea</c:v>
                </c:pt>
                <c:pt idx="1">
                  <c:v>Moravia</c:v>
                </c:pt>
                <c:pt idx="2">
                  <c:v>León Cortés</c:v>
                </c:pt>
                <c:pt idx="3">
                  <c:v>Palmares</c:v>
                </c:pt>
                <c:pt idx="4">
                  <c:v>San Carlos</c:v>
                </c:pt>
                <c:pt idx="5">
                  <c:v>Los Chiles</c:v>
                </c:pt>
                <c:pt idx="6">
                  <c:v>Guatuso</c:v>
                </c:pt>
                <c:pt idx="7">
                  <c:v>Cañas</c:v>
                </c:pt>
                <c:pt idx="8">
                  <c:v>Abangares</c:v>
                </c:pt>
                <c:pt idx="9">
                  <c:v>Coto Brus</c:v>
                </c:pt>
              </c:strCache>
            </c:strRef>
          </c:cat>
          <c:val>
            <c:numRef>
              <c:f>'Cantones 10'!$D$28:$D$37</c:f>
              <c:numCache>
                <c:formatCode>0.0</c:formatCode>
                <c:ptCount val="10"/>
                <c:pt idx="0">
                  <c:v>751.21891573815094</c:v>
                </c:pt>
                <c:pt idx="1">
                  <c:v>680.87085042429874</c:v>
                </c:pt>
                <c:pt idx="2">
                  <c:v>371.80480247869872</c:v>
                </c:pt>
                <c:pt idx="3">
                  <c:v>883.88488451623084</c:v>
                </c:pt>
                <c:pt idx="4">
                  <c:v>249.93393816612348</c:v>
                </c:pt>
                <c:pt idx="5">
                  <c:v>527.39026879891128</c:v>
                </c:pt>
                <c:pt idx="6">
                  <c:v>331.83352080989874</c:v>
                </c:pt>
                <c:pt idx="7">
                  <c:v>295.90662502054909</c:v>
                </c:pt>
                <c:pt idx="8">
                  <c:v>293.48566636968712</c:v>
                </c:pt>
                <c:pt idx="9">
                  <c:v>445.09369792974366</c:v>
                </c:pt>
              </c:numCache>
            </c:numRef>
          </c:val>
          <c:extLst>
            <c:ext xmlns:c16="http://schemas.microsoft.com/office/drawing/2014/chart" uri="{C3380CC4-5D6E-409C-BE32-E72D297353CC}">
              <c16:uniqueId val="{00000000-5483-48C0-A350-4A372D2565BA}"/>
            </c:ext>
          </c:extLst>
        </c:ser>
        <c:ser>
          <c:idx val="1"/>
          <c:order val="1"/>
          <c:tx>
            <c:strRef>
              <c:f>'Cantones 10'!$E$27</c:f>
              <c:strCache>
                <c:ptCount val="1"/>
                <c:pt idx="0">
                  <c:v>2015</c:v>
                </c:pt>
              </c:strCache>
            </c:strRef>
          </c:tx>
          <c:spPr>
            <a:solidFill>
              <a:schemeClr val="accent2"/>
            </a:solidFill>
            <a:ln>
              <a:noFill/>
            </a:ln>
            <a:effectLst/>
          </c:spPr>
          <c:invertIfNegative val="0"/>
          <c:cat>
            <c:strRef>
              <c:f>'Cantones 10'!$C$28:$C$37</c:f>
              <c:strCache>
                <c:ptCount val="10"/>
                <c:pt idx="0">
                  <c:v>Goicochea</c:v>
                </c:pt>
                <c:pt idx="1">
                  <c:v>Moravia</c:v>
                </c:pt>
                <c:pt idx="2">
                  <c:v>León Cortés</c:v>
                </c:pt>
                <c:pt idx="3">
                  <c:v>Palmares</c:v>
                </c:pt>
                <c:pt idx="4">
                  <c:v>San Carlos</c:v>
                </c:pt>
                <c:pt idx="5">
                  <c:v>Los Chiles</c:v>
                </c:pt>
                <c:pt idx="6">
                  <c:v>Guatuso</c:v>
                </c:pt>
                <c:pt idx="7">
                  <c:v>Cañas</c:v>
                </c:pt>
                <c:pt idx="8">
                  <c:v>Abangares</c:v>
                </c:pt>
                <c:pt idx="9">
                  <c:v>Coto Brus</c:v>
                </c:pt>
              </c:strCache>
            </c:strRef>
          </c:cat>
          <c:val>
            <c:numRef>
              <c:f>'Cantones 10'!$E$28:$E$37</c:f>
              <c:numCache>
                <c:formatCode>0.0</c:formatCode>
                <c:ptCount val="10"/>
                <c:pt idx="0">
                  <c:v>703.42636714318132</c:v>
                </c:pt>
                <c:pt idx="1">
                  <c:v>449.53811193992982</c:v>
                </c:pt>
                <c:pt idx="2">
                  <c:v>636.30788101809264</c:v>
                </c:pt>
                <c:pt idx="3">
                  <c:v>656.44378713577748</c:v>
                </c:pt>
                <c:pt idx="4">
                  <c:v>561.80079344890487</c:v>
                </c:pt>
                <c:pt idx="5">
                  <c:v>897.78546252576984</c:v>
                </c:pt>
                <c:pt idx="6">
                  <c:v>415.30538789523229</c:v>
                </c:pt>
                <c:pt idx="7">
                  <c:v>668.98321046991202</c:v>
                </c:pt>
                <c:pt idx="8">
                  <c:v>347.76289837018584</c:v>
                </c:pt>
                <c:pt idx="9">
                  <c:v>1190.2865336034047</c:v>
                </c:pt>
              </c:numCache>
            </c:numRef>
          </c:val>
          <c:extLst>
            <c:ext xmlns:c16="http://schemas.microsoft.com/office/drawing/2014/chart" uri="{C3380CC4-5D6E-409C-BE32-E72D297353CC}">
              <c16:uniqueId val="{00000001-5483-48C0-A350-4A372D2565BA}"/>
            </c:ext>
          </c:extLst>
        </c:ser>
        <c:ser>
          <c:idx val="2"/>
          <c:order val="2"/>
          <c:tx>
            <c:strRef>
              <c:f>'Cantones 10'!$F$27</c:f>
              <c:strCache>
                <c:ptCount val="1"/>
                <c:pt idx="0">
                  <c:v>2016</c:v>
                </c:pt>
              </c:strCache>
            </c:strRef>
          </c:tx>
          <c:spPr>
            <a:solidFill>
              <a:schemeClr val="accent3"/>
            </a:solidFill>
            <a:ln>
              <a:noFill/>
            </a:ln>
            <a:effectLst/>
          </c:spPr>
          <c:invertIfNegative val="0"/>
          <c:cat>
            <c:strRef>
              <c:f>'Cantones 10'!$C$28:$C$37</c:f>
              <c:strCache>
                <c:ptCount val="10"/>
                <c:pt idx="0">
                  <c:v>Goicochea</c:v>
                </c:pt>
                <c:pt idx="1">
                  <c:v>Moravia</c:v>
                </c:pt>
                <c:pt idx="2">
                  <c:v>León Cortés</c:v>
                </c:pt>
                <c:pt idx="3">
                  <c:v>Palmares</c:v>
                </c:pt>
                <c:pt idx="4">
                  <c:v>San Carlos</c:v>
                </c:pt>
                <c:pt idx="5">
                  <c:v>Los Chiles</c:v>
                </c:pt>
                <c:pt idx="6">
                  <c:v>Guatuso</c:v>
                </c:pt>
                <c:pt idx="7">
                  <c:v>Cañas</c:v>
                </c:pt>
                <c:pt idx="8">
                  <c:v>Abangares</c:v>
                </c:pt>
                <c:pt idx="9">
                  <c:v>Coto Brus</c:v>
                </c:pt>
              </c:strCache>
            </c:strRef>
          </c:cat>
          <c:val>
            <c:numRef>
              <c:f>'Cantones 10'!$F$28:$F$37</c:f>
              <c:numCache>
                <c:formatCode>0.0</c:formatCode>
                <c:ptCount val="10"/>
                <c:pt idx="0">
                  <c:v>761.4726296637391</c:v>
                </c:pt>
                <c:pt idx="1">
                  <c:v>729.37790279322292</c:v>
                </c:pt>
                <c:pt idx="2">
                  <c:v>454.82110369921168</c:v>
                </c:pt>
                <c:pt idx="3">
                  <c:v>760.71922544951587</c:v>
                </c:pt>
                <c:pt idx="4">
                  <c:v>671.97650476448894</c:v>
                </c:pt>
                <c:pt idx="5">
                  <c:v>405.64660068148629</c:v>
                </c:pt>
                <c:pt idx="6">
                  <c:v>426.11308385686971</c:v>
                </c:pt>
                <c:pt idx="7">
                  <c:v>525.97819114817185</c:v>
                </c:pt>
                <c:pt idx="8">
                  <c:v>288.228936126409</c:v>
                </c:pt>
                <c:pt idx="9">
                  <c:v>1438.1787613032218</c:v>
                </c:pt>
              </c:numCache>
            </c:numRef>
          </c:val>
          <c:extLst>
            <c:ext xmlns:c16="http://schemas.microsoft.com/office/drawing/2014/chart" uri="{C3380CC4-5D6E-409C-BE32-E72D297353CC}">
              <c16:uniqueId val="{00000002-5483-48C0-A350-4A372D2565BA}"/>
            </c:ext>
          </c:extLst>
        </c:ser>
        <c:ser>
          <c:idx val="3"/>
          <c:order val="3"/>
          <c:tx>
            <c:strRef>
              <c:f>'Cantones 10'!$G$27</c:f>
              <c:strCache>
                <c:ptCount val="1"/>
                <c:pt idx="0">
                  <c:v>2017</c:v>
                </c:pt>
              </c:strCache>
            </c:strRef>
          </c:tx>
          <c:spPr>
            <a:solidFill>
              <a:schemeClr val="accent4"/>
            </a:solidFill>
            <a:ln>
              <a:noFill/>
            </a:ln>
            <a:effectLst/>
          </c:spPr>
          <c:invertIfNegative val="0"/>
          <c:cat>
            <c:strRef>
              <c:f>'Cantones 10'!$C$28:$C$37</c:f>
              <c:strCache>
                <c:ptCount val="10"/>
                <c:pt idx="0">
                  <c:v>Goicochea</c:v>
                </c:pt>
                <c:pt idx="1">
                  <c:v>Moravia</c:v>
                </c:pt>
                <c:pt idx="2">
                  <c:v>León Cortés</c:v>
                </c:pt>
                <c:pt idx="3">
                  <c:v>Palmares</c:v>
                </c:pt>
                <c:pt idx="4">
                  <c:v>San Carlos</c:v>
                </c:pt>
                <c:pt idx="5">
                  <c:v>Los Chiles</c:v>
                </c:pt>
                <c:pt idx="6">
                  <c:v>Guatuso</c:v>
                </c:pt>
                <c:pt idx="7">
                  <c:v>Cañas</c:v>
                </c:pt>
                <c:pt idx="8">
                  <c:v>Abangares</c:v>
                </c:pt>
                <c:pt idx="9">
                  <c:v>Coto Brus</c:v>
                </c:pt>
              </c:strCache>
            </c:strRef>
          </c:cat>
          <c:val>
            <c:numRef>
              <c:f>'Cantones 10'!$G$28:$G$37</c:f>
              <c:numCache>
                <c:formatCode>0.0</c:formatCode>
                <c:ptCount val="10"/>
                <c:pt idx="0">
                  <c:v>768.97408327462824</c:v>
                </c:pt>
                <c:pt idx="1">
                  <c:v>466.34818497936368</c:v>
                </c:pt>
                <c:pt idx="2">
                  <c:v>382.33750655971215</c:v>
                </c:pt>
                <c:pt idx="3">
                  <c:v>895.63567362428853</c:v>
                </c:pt>
                <c:pt idx="4">
                  <c:v>553.56152485794712</c:v>
                </c:pt>
                <c:pt idx="5">
                  <c:v>336.01724465859382</c:v>
                </c:pt>
                <c:pt idx="6">
                  <c:v>782.0505905830322</c:v>
                </c:pt>
                <c:pt idx="7">
                  <c:v>446.61239745335905</c:v>
                </c:pt>
                <c:pt idx="8">
                  <c:v>1046.9332516214697</c:v>
                </c:pt>
                <c:pt idx="9">
                  <c:v>1623.8773473646013</c:v>
                </c:pt>
              </c:numCache>
            </c:numRef>
          </c:val>
          <c:extLst>
            <c:ext xmlns:c16="http://schemas.microsoft.com/office/drawing/2014/chart" uri="{C3380CC4-5D6E-409C-BE32-E72D297353CC}">
              <c16:uniqueId val="{00000003-5483-48C0-A350-4A372D2565BA}"/>
            </c:ext>
          </c:extLst>
        </c:ser>
        <c:ser>
          <c:idx val="4"/>
          <c:order val="4"/>
          <c:tx>
            <c:strRef>
              <c:f>'Cantones 10'!$H$27</c:f>
              <c:strCache>
                <c:ptCount val="1"/>
                <c:pt idx="0">
                  <c:v>2018</c:v>
                </c:pt>
              </c:strCache>
            </c:strRef>
          </c:tx>
          <c:spPr>
            <a:solidFill>
              <a:schemeClr val="accent5"/>
            </a:solidFill>
            <a:ln>
              <a:noFill/>
            </a:ln>
            <a:effectLst/>
          </c:spPr>
          <c:invertIfNegative val="0"/>
          <c:cat>
            <c:strRef>
              <c:f>'Cantones 10'!$C$28:$C$37</c:f>
              <c:strCache>
                <c:ptCount val="10"/>
                <c:pt idx="0">
                  <c:v>Goicochea</c:v>
                </c:pt>
                <c:pt idx="1">
                  <c:v>Moravia</c:v>
                </c:pt>
                <c:pt idx="2">
                  <c:v>León Cortés</c:v>
                </c:pt>
                <c:pt idx="3">
                  <c:v>Palmares</c:v>
                </c:pt>
                <c:pt idx="4">
                  <c:v>San Carlos</c:v>
                </c:pt>
                <c:pt idx="5">
                  <c:v>Los Chiles</c:v>
                </c:pt>
                <c:pt idx="6">
                  <c:v>Guatuso</c:v>
                </c:pt>
                <c:pt idx="7">
                  <c:v>Cañas</c:v>
                </c:pt>
                <c:pt idx="8">
                  <c:v>Abangares</c:v>
                </c:pt>
                <c:pt idx="9">
                  <c:v>Coto Brus</c:v>
                </c:pt>
              </c:strCache>
            </c:strRef>
          </c:cat>
          <c:val>
            <c:numRef>
              <c:f>'Cantones 10'!$H$28:$H$37</c:f>
              <c:numCache>
                <c:formatCode>0.0</c:formatCode>
                <c:ptCount val="10"/>
                <c:pt idx="0">
                  <c:v>528.97613729869522</c:v>
                </c:pt>
                <c:pt idx="1">
                  <c:v>163.11896379082012</c:v>
                </c:pt>
                <c:pt idx="2">
                  <c:v>303.86126139479734</c:v>
                </c:pt>
                <c:pt idx="3">
                  <c:v>844.99999999999989</c:v>
                </c:pt>
                <c:pt idx="4">
                  <c:v>499.98197799255433</c:v>
                </c:pt>
                <c:pt idx="5">
                  <c:v>232.41400681747754</c:v>
                </c:pt>
                <c:pt idx="6">
                  <c:v>692.37324243715386</c:v>
                </c:pt>
                <c:pt idx="7">
                  <c:v>319.22884326489736</c:v>
                </c:pt>
                <c:pt idx="8">
                  <c:v>760.14797547255864</c:v>
                </c:pt>
                <c:pt idx="9">
                  <c:v>1706.8091271278522</c:v>
                </c:pt>
              </c:numCache>
            </c:numRef>
          </c:val>
          <c:extLst>
            <c:ext xmlns:c16="http://schemas.microsoft.com/office/drawing/2014/chart" uri="{C3380CC4-5D6E-409C-BE32-E72D297353CC}">
              <c16:uniqueId val="{00000004-5483-48C0-A350-4A372D2565BA}"/>
            </c:ext>
          </c:extLst>
        </c:ser>
        <c:dLbls>
          <c:showLegendKey val="0"/>
          <c:showVal val="0"/>
          <c:showCatName val="0"/>
          <c:showSerName val="0"/>
          <c:showPercent val="0"/>
          <c:showBubbleSize val="0"/>
        </c:dLbls>
        <c:gapWidth val="219"/>
        <c:overlap val="-27"/>
        <c:axId val="1826704176"/>
        <c:axId val="1826704720"/>
      </c:barChart>
      <c:catAx>
        <c:axId val="1826704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1560000" spcFirstLastPara="1" vertOverflow="ellipsis" wrap="square" anchor="ctr" anchorCtr="1"/>
          <a:lstStyle/>
          <a:p>
            <a:pPr>
              <a:defRPr sz="6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crossAx val="1826704720"/>
        <c:crosses val="autoZero"/>
        <c:auto val="1"/>
        <c:lblAlgn val="ctr"/>
        <c:lblOffset val="100"/>
        <c:noMultiLvlLbl val="0"/>
      </c:catAx>
      <c:valAx>
        <c:axId val="1826704720"/>
        <c:scaling>
          <c:orientation val="minMax"/>
        </c:scaling>
        <c:delete val="0"/>
        <c:axPos val="l"/>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r>
                  <a:rPr lang="es-CR" sz="600">
                    <a:solidFill>
                      <a:sysClr val="windowText" lastClr="000000"/>
                    </a:solidFill>
                    <a:latin typeface="Arial" panose="020B0604020202020204" pitchFamily="34" charset="0"/>
                    <a:cs typeface="Arial" panose="020B0604020202020204" pitchFamily="34" charset="0"/>
                  </a:rPr>
                  <a:t>Tasa por 100.000 habitantes </a:t>
                </a:r>
              </a:p>
            </c:rich>
          </c:tx>
          <c:layout>
            <c:manualLayout>
              <c:xMode val="edge"/>
              <c:yMode val="edge"/>
              <c:x val="1.8911711103136237E-2"/>
              <c:y val="0.13083596434503658"/>
            </c:manualLayout>
          </c:layout>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s-CR"/>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crossAx val="1826704176"/>
        <c:crosses val="autoZero"/>
        <c:crossBetween val="between"/>
      </c:valAx>
      <c:spPr>
        <a:noFill/>
        <a:ln>
          <a:noFill/>
        </a:ln>
        <a:effectLst/>
      </c:spPr>
    </c:plotArea>
    <c:legend>
      <c:legendPos val="b"/>
      <c:layout>
        <c:manualLayout>
          <c:xMode val="edge"/>
          <c:yMode val="edge"/>
          <c:x val="0.40781933089463013"/>
          <c:y val="9.5999087070637909E-2"/>
          <c:w val="0.3927729304107257"/>
          <c:h val="6.719125819370191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56939272482636"/>
          <c:y val="5.025330657197262E-2"/>
          <c:w val="0.88842567061788758"/>
          <c:h val="0.73059585198908961"/>
        </c:manualLayout>
      </c:layout>
      <c:barChart>
        <c:barDir val="col"/>
        <c:grouping val="clustered"/>
        <c:varyColors val="0"/>
        <c:ser>
          <c:idx val="0"/>
          <c:order val="0"/>
          <c:spPr>
            <a:solidFill>
              <a:schemeClr val="accent1">
                <a:lumMod val="75000"/>
              </a:schemeClr>
            </a:solidFill>
            <a:ln>
              <a:solidFill>
                <a:schemeClr val="dk1">
                  <a:lumMod val="25000"/>
                  <a:lumOff val="75000"/>
                </a:schemeClr>
              </a:solidFill>
            </a:ln>
            <a:effectLst/>
          </c:spPr>
          <c:invertIfNegative val="0"/>
          <c:cat>
            <c:strRef>
              <c:f>'[Gráfico en Microsoft Word]Grupos de edad'!$B$25:$B$41</c:f>
              <c:strCache>
                <c:ptCount val="17"/>
                <c:pt idx="0">
                  <c:v>menor 1 año</c:v>
                </c:pt>
                <c:pt idx="1">
                  <c:v>1 a 4 </c:v>
                </c:pt>
                <c:pt idx="2">
                  <c:v>5 a 9 </c:v>
                </c:pt>
                <c:pt idx="3">
                  <c:v>10 a 14 </c:v>
                </c:pt>
                <c:pt idx="4">
                  <c:v>15 a 19 </c:v>
                </c:pt>
                <c:pt idx="5">
                  <c:v>20 a 24</c:v>
                </c:pt>
                <c:pt idx="6">
                  <c:v>25 a 29 </c:v>
                </c:pt>
                <c:pt idx="7">
                  <c:v>30 a 34 </c:v>
                </c:pt>
                <c:pt idx="8">
                  <c:v>35 a 39 </c:v>
                </c:pt>
                <c:pt idx="9">
                  <c:v>40 a 44 </c:v>
                </c:pt>
                <c:pt idx="10">
                  <c:v>45 a 49 </c:v>
                </c:pt>
                <c:pt idx="11">
                  <c:v>50 a 54</c:v>
                </c:pt>
                <c:pt idx="12">
                  <c:v>55 a 59 </c:v>
                </c:pt>
                <c:pt idx="13">
                  <c:v>60 a 64</c:v>
                </c:pt>
                <c:pt idx="14">
                  <c:v>65 a 69</c:v>
                </c:pt>
                <c:pt idx="15">
                  <c:v>70 a 74</c:v>
                </c:pt>
                <c:pt idx="16">
                  <c:v>75  y más</c:v>
                </c:pt>
              </c:strCache>
            </c:strRef>
          </c:cat>
          <c:val>
            <c:numRef>
              <c:f>'[Gráfico en Microsoft Word]Grupos de edad'!$C$25:$C$41</c:f>
              <c:numCache>
                <c:formatCode>0.0</c:formatCode>
                <c:ptCount val="17"/>
                <c:pt idx="0">
                  <c:v>480.35331366813972</c:v>
                </c:pt>
                <c:pt idx="1">
                  <c:v>303.02841549643892</c:v>
                </c:pt>
                <c:pt idx="2">
                  <c:v>332.32430725204864</c:v>
                </c:pt>
                <c:pt idx="3">
                  <c:v>423.32290427556188</c:v>
                </c:pt>
                <c:pt idx="4">
                  <c:v>381.46661952631916</c:v>
                </c:pt>
                <c:pt idx="5">
                  <c:v>189.58888697803997</c:v>
                </c:pt>
                <c:pt idx="6">
                  <c:v>194.10894712669767</c:v>
                </c:pt>
                <c:pt idx="7">
                  <c:v>209.38643357843111</c:v>
                </c:pt>
                <c:pt idx="8">
                  <c:v>202.20897136465629</c:v>
                </c:pt>
                <c:pt idx="9">
                  <c:v>175.7116566427666</c:v>
                </c:pt>
                <c:pt idx="10">
                  <c:v>163.79632260559026</c:v>
                </c:pt>
                <c:pt idx="11">
                  <c:v>151.55789887729844</c:v>
                </c:pt>
                <c:pt idx="12">
                  <c:v>127.92917017956445</c:v>
                </c:pt>
                <c:pt idx="13">
                  <c:v>127.8957734593929</c:v>
                </c:pt>
                <c:pt idx="14">
                  <c:v>198.80996412081149</c:v>
                </c:pt>
                <c:pt idx="15">
                  <c:v>221.99833407746246</c:v>
                </c:pt>
                <c:pt idx="16">
                  <c:v>390.74796579732254</c:v>
                </c:pt>
              </c:numCache>
            </c:numRef>
          </c:val>
          <c:extLst>
            <c:ext xmlns:c16="http://schemas.microsoft.com/office/drawing/2014/chart" uri="{C3380CC4-5D6E-409C-BE32-E72D297353CC}">
              <c16:uniqueId val="{00000000-CB4E-48D7-823B-7205B6B0E47D}"/>
            </c:ext>
          </c:extLst>
        </c:ser>
        <c:dLbls>
          <c:showLegendKey val="0"/>
          <c:showVal val="0"/>
          <c:showCatName val="0"/>
          <c:showSerName val="0"/>
          <c:showPercent val="0"/>
          <c:showBubbleSize val="0"/>
        </c:dLbls>
        <c:gapWidth val="0"/>
        <c:overlap val="-100"/>
        <c:axId val="1826705264"/>
        <c:axId val="1826713968"/>
      </c:barChart>
      <c:catAx>
        <c:axId val="182670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CR"/>
          </a:p>
        </c:txPr>
        <c:crossAx val="1826713968"/>
        <c:crosses val="autoZero"/>
        <c:auto val="1"/>
        <c:lblAlgn val="ctr"/>
        <c:lblOffset val="100"/>
        <c:noMultiLvlLbl val="0"/>
      </c:catAx>
      <c:valAx>
        <c:axId val="182671396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ysClr val="windowText" lastClr="000000"/>
                </a:solidFill>
                <a:latin typeface="+mn-lt"/>
                <a:ea typeface="+mn-ea"/>
                <a:cs typeface="+mn-cs"/>
              </a:defRPr>
            </a:pPr>
            <a:endParaRPr lang="es-CR"/>
          </a:p>
        </c:txPr>
        <c:crossAx val="182670526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en-US" sz="1200"/>
              <a:t>Costa Rica: Casos de malaria por semana epidemiológica,</a:t>
            </a:r>
            <a:r>
              <a:rPr lang="en-US" sz="1200" baseline="0"/>
              <a:t> </a:t>
            </a:r>
            <a:r>
              <a:rPr lang="en-US" sz="1200"/>
              <a:t>2018. (números absolutos)</a:t>
            </a:r>
          </a:p>
        </c:rich>
      </c:tx>
      <c:overlay val="0"/>
    </c:title>
    <c:autoTitleDeleted val="0"/>
    <c:plotArea>
      <c:layout>
        <c:manualLayout>
          <c:layoutTarget val="inner"/>
          <c:xMode val="edge"/>
          <c:yMode val="edge"/>
          <c:x val="8.6295112941103091E-2"/>
          <c:y val="0.19518067981440401"/>
          <c:w val="0.88787900663520625"/>
          <c:h val="0.62152393489513502"/>
        </c:manualLayout>
      </c:layout>
      <c:barChart>
        <c:barDir val="col"/>
        <c:grouping val="clustered"/>
        <c:varyColors val="0"/>
        <c:ser>
          <c:idx val="0"/>
          <c:order val="0"/>
          <c:tx>
            <c:strRef>
              <c:f>'Casos 2018'!$E$99</c:f>
              <c:strCache>
                <c:ptCount val="1"/>
                <c:pt idx="0">
                  <c:v>Total</c:v>
                </c:pt>
              </c:strCache>
            </c:strRef>
          </c:tx>
          <c:invertIfNegative val="0"/>
          <c:cat>
            <c:strRef>
              <c:f>'Casos 2018'!$C$100:$D$151</c:f>
              <c:strCache>
                <c:ptCount val="5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strCache>
            </c:strRef>
          </c:cat>
          <c:val>
            <c:numRef>
              <c:f>'Casos 2018'!$E$100:$E$151</c:f>
              <c:numCache>
                <c:formatCode>General</c:formatCode>
                <c:ptCount val="52"/>
                <c:pt idx="0">
                  <c:v>1</c:v>
                </c:pt>
                <c:pt idx="1">
                  <c:v>0</c:v>
                </c:pt>
                <c:pt idx="2">
                  <c:v>0</c:v>
                </c:pt>
                <c:pt idx="3">
                  <c:v>2</c:v>
                </c:pt>
                <c:pt idx="4">
                  <c:v>1</c:v>
                </c:pt>
                <c:pt idx="5">
                  <c:v>0</c:v>
                </c:pt>
                <c:pt idx="6">
                  <c:v>0</c:v>
                </c:pt>
                <c:pt idx="7">
                  <c:v>0</c:v>
                </c:pt>
                <c:pt idx="8">
                  <c:v>1</c:v>
                </c:pt>
                <c:pt idx="9">
                  <c:v>0</c:v>
                </c:pt>
                <c:pt idx="10">
                  <c:v>0</c:v>
                </c:pt>
                <c:pt idx="11">
                  <c:v>0</c:v>
                </c:pt>
                <c:pt idx="12">
                  <c:v>1</c:v>
                </c:pt>
                <c:pt idx="13">
                  <c:v>2</c:v>
                </c:pt>
                <c:pt idx="14">
                  <c:v>0</c:v>
                </c:pt>
                <c:pt idx="15">
                  <c:v>0</c:v>
                </c:pt>
                <c:pt idx="16">
                  <c:v>1</c:v>
                </c:pt>
                <c:pt idx="17">
                  <c:v>1</c:v>
                </c:pt>
                <c:pt idx="18">
                  <c:v>0</c:v>
                </c:pt>
                <c:pt idx="19">
                  <c:v>3</c:v>
                </c:pt>
                <c:pt idx="20">
                  <c:v>2</c:v>
                </c:pt>
                <c:pt idx="21">
                  <c:v>6</c:v>
                </c:pt>
                <c:pt idx="22">
                  <c:v>4</c:v>
                </c:pt>
                <c:pt idx="23">
                  <c:v>3</c:v>
                </c:pt>
                <c:pt idx="24">
                  <c:v>1</c:v>
                </c:pt>
                <c:pt idx="25">
                  <c:v>0</c:v>
                </c:pt>
                <c:pt idx="26">
                  <c:v>0</c:v>
                </c:pt>
                <c:pt idx="27">
                  <c:v>1</c:v>
                </c:pt>
                <c:pt idx="28">
                  <c:v>0</c:v>
                </c:pt>
                <c:pt idx="29">
                  <c:v>0</c:v>
                </c:pt>
                <c:pt idx="30">
                  <c:v>1</c:v>
                </c:pt>
                <c:pt idx="31">
                  <c:v>1</c:v>
                </c:pt>
                <c:pt idx="32">
                  <c:v>0</c:v>
                </c:pt>
                <c:pt idx="33">
                  <c:v>0</c:v>
                </c:pt>
                <c:pt idx="34">
                  <c:v>0</c:v>
                </c:pt>
                <c:pt idx="35">
                  <c:v>1</c:v>
                </c:pt>
                <c:pt idx="36">
                  <c:v>0</c:v>
                </c:pt>
                <c:pt idx="37">
                  <c:v>0</c:v>
                </c:pt>
                <c:pt idx="38">
                  <c:v>0</c:v>
                </c:pt>
                <c:pt idx="39">
                  <c:v>4</c:v>
                </c:pt>
                <c:pt idx="40">
                  <c:v>5</c:v>
                </c:pt>
                <c:pt idx="41">
                  <c:v>10</c:v>
                </c:pt>
                <c:pt idx="42">
                  <c:v>1</c:v>
                </c:pt>
                <c:pt idx="43">
                  <c:v>11</c:v>
                </c:pt>
                <c:pt idx="44">
                  <c:v>11</c:v>
                </c:pt>
                <c:pt idx="45">
                  <c:v>5</c:v>
                </c:pt>
                <c:pt idx="46">
                  <c:v>3</c:v>
                </c:pt>
                <c:pt idx="47">
                  <c:v>6</c:v>
                </c:pt>
                <c:pt idx="48">
                  <c:v>1</c:v>
                </c:pt>
                <c:pt idx="49">
                  <c:v>6</c:v>
                </c:pt>
                <c:pt idx="50">
                  <c:v>2</c:v>
                </c:pt>
                <c:pt idx="51">
                  <c:v>10</c:v>
                </c:pt>
              </c:numCache>
            </c:numRef>
          </c:val>
          <c:extLst>
            <c:ext xmlns:c16="http://schemas.microsoft.com/office/drawing/2014/chart" uri="{C3380CC4-5D6E-409C-BE32-E72D297353CC}">
              <c16:uniqueId val="{00000000-1AED-45D6-ADF8-FBC70D29A5C6}"/>
            </c:ext>
          </c:extLst>
        </c:ser>
        <c:dLbls>
          <c:showLegendKey val="0"/>
          <c:showVal val="0"/>
          <c:showCatName val="0"/>
          <c:showSerName val="0"/>
          <c:showPercent val="0"/>
          <c:showBubbleSize val="0"/>
        </c:dLbls>
        <c:gapWidth val="100"/>
        <c:axId val="1826717776"/>
        <c:axId val="1826708528"/>
      </c:barChart>
      <c:catAx>
        <c:axId val="1826717776"/>
        <c:scaling>
          <c:orientation val="minMax"/>
        </c:scaling>
        <c:delete val="0"/>
        <c:axPos val="b"/>
        <c:title>
          <c:tx>
            <c:rich>
              <a:bodyPr/>
              <a:lstStyle/>
              <a:p>
                <a:pPr>
                  <a:defRPr/>
                </a:pPr>
                <a:r>
                  <a:rPr lang="en-US"/>
                  <a:t>Semana Epidemiológica</a:t>
                </a:r>
              </a:p>
            </c:rich>
          </c:tx>
          <c:layout>
            <c:manualLayout>
              <c:xMode val="edge"/>
              <c:yMode val="edge"/>
              <c:x val="0.43015631895570577"/>
              <c:y val="0.91793089524286919"/>
            </c:manualLayout>
          </c:layout>
          <c:overlay val="0"/>
        </c:title>
        <c:numFmt formatCode="General" sourceLinked="0"/>
        <c:majorTickMark val="out"/>
        <c:minorTickMark val="none"/>
        <c:tickLblPos val="nextTo"/>
        <c:txPr>
          <a:bodyPr/>
          <a:lstStyle/>
          <a:p>
            <a:pPr>
              <a:defRPr sz="800"/>
            </a:pPr>
            <a:endParaRPr lang="es-CR"/>
          </a:p>
        </c:txPr>
        <c:crossAx val="1826708528"/>
        <c:crosses val="autoZero"/>
        <c:auto val="1"/>
        <c:lblAlgn val="ctr"/>
        <c:lblOffset val="100"/>
        <c:noMultiLvlLbl val="0"/>
      </c:catAx>
      <c:valAx>
        <c:axId val="1826708528"/>
        <c:scaling>
          <c:orientation val="minMax"/>
        </c:scaling>
        <c:delete val="0"/>
        <c:axPos val="l"/>
        <c:majorGridlines/>
        <c:title>
          <c:tx>
            <c:rich>
              <a:bodyPr rot="-5400000" vert="horz"/>
              <a:lstStyle/>
              <a:p>
                <a:pPr>
                  <a:defRPr/>
                </a:pPr>
                <a:r>
                  <a:rPr lang="en-US"/>
                  <a:t>Casos</a:t>
                </a:r>
              </a:p>
            </c:rich>
          </c:tx>
          <c:layout>
            <c:manualLayout>
              <c:xMode val="edge"/>
              <c:yMode val="edge"/>
              <c:x val="9.8328416912487702E-3"/>
              <c:y val="0.47404220361049032"/>
            </c:manualLayout>
          </c:layout>
          <c:overlay val="0"/>
        </c:title>
        <c:numFmt formatCode="General" sourceLinked="1"/>
        <c:majorTickMark val="out"/>
        <c:minorTickMark val="none"/>
        <c:tickLblPos val="nextTo"/>
        <c:txPr>
          <a:bodyPr/>
          <a:lstStyle/>
          <a:p>
            <a:pPr>
              <a:defRPr sz="900"/>
            </a:pPr>
            <a:endParaRPr lang="es-CR"/>
          </a:p>
        </c:txPr>
        <c:crossAx val="1826717776"/>
        <c:crosses val="autoZero"/>
        <c:crossBetween val="between"/>
      </c:valAx>
      <c:spPr>
        <a:noFill/>
      </c:spPr>
    </c:plotArea>
    <c:plotVisOnly val="1"/>
    <c:dispBlanksAs val="gap"/>
    <c:showDLblsOverMax val="0"/>
  </c:chart>
  <c:spPr>
    <a:ln>
      <a:noFill/>
    </a:ln>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100776465441819"/>
          <c:y val="4.3650793650793648E-2"/>
          <c:w val="0.76193205016039667"/>
          <c:h val="0.78549587551556055"/>
        </c:manualLayout>
      </c:layout>
      <c:barChart>
        <c:barDir val="bar"/>
        <c:grouping val="clustered"/>
        <c:varyColors val="0"/>
        <c:ser>
          <c:idx val="0"/>
          <c:order val="0"/>
          <c:tx>
            <c:strRef>
              <c:f>Hoja1!$B$1</c:f>
              <c:strCache>
                <c:ptCount val="1"/>
                <c:pt idx="0">
                  <c:v>Serie 1</c:v>
                </c:pt>
              </c:strCache>
            </c:strRef>
          </c:tx>
          <c:invertIfNegative val="0"/>
          <c:dLbls>
            <c:spPr>
              <a:noFill/>
              <a:ln>
                <a:noFill/>
              </a:ln>
              <a:effectLst/>
            </c:spPr>
            <c:txPr>
              <a:bodyPr/>
              <a:lstStyle/>
              <a:p>
                <a:pPr>
                  <a:defRPr sz="800">
                    <a:latin typeface="Arial" panose="020B0604020202020204" pitchFamily="34" charset="0"/>
                    <a:cs typeface="Arial" panose="020B0604020202020204" pitchFamily="34" charset="0"/>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Hoja1!$A$2:$A$11</c:f>
              <c:strCache>
                <c:ptCount val="10"/>
                <c:pt idx="0">
                  <c:v>Golfito</c:v>
                </c:pt>
                <c:pt idx="1">
                  <c:v>Nicoya</c:v>
                </c:pt>
                <c:pt idx="2">
                  <c:v>Hojancha</c:v>
                </c:pt>
                <c:pt idx="3">
                  <c:v>Corredores</c:v>
                </c:pt>
                <c:pt idx="4">
                  <c:v>Santa Cruz</c:v>
                </c:pt>
                <c:pt idx="5">
                  <c:v>Aguirre</c:v>
                </c:pt>
                <c:pt idx="6">
                  <c:v>Parrita</c:v>
                </c:pt>
                <c:pt idx="7">
                  <c:v>Montes de Oro</c:v>
                </c:pt>
                <c:pt idx="8">
                  <c:v>Atenas</c:v>
                </c:pt>
                <c:pt idx="9">
                  <c:v>Abangares</c:v>
                </c:pt>
              </c:strCache>
            </c:strRef>
          </c:cat>
          <c:val>
            <c:numRef>
              <c:f>Hoja1!$B$2:$B$11</c:f>
              <c:numCache>
                <c:formatCode>General</c:formatCode>
                <c:ptCount val="10"/>
                <c:pt idx="0">
                  <c:v>807.6</c:v>
                </c:pt>
                <c:pt idx="1">
                  <c:v>813.8</c:v>
                </c:pt>
                <c:pt idx="2">
                  <c:v>866.3</c:v>
                </c:pt>
                <c:pt idx="3">
                  <c:v>955.7</c:v>
                </c:pt>
                <c:pt idx="4">
                  <c:v>999.6</c:v>
                </c:pt>
                <c:pt idx="5">
                  <c:v>1062.9000000000001</c:v>
                </c:pt>
                <c:pt idx="6">
                  <c:v>1167.7</c:v>
                </c:pt>
                <c:pt idx="7">
                  <c:v>1430.7</c:v>
                </c:pt>
                <c:pt idx="8">
                  <c:v>1513.3</c:v>
                </c:pt>
                <c:pt idx="9">
                  <c:v>2241.1</c:v>
                </c:pt>
              </c:numCache>
            </c:numRef>
          </c:val>
          <c:extLst>
            <c:ext xmlns:c16="http://schemas.microsoft.com/office/drawing/2014/chart" uri="{C3380CC4-5D6E-409C-BE32-E72D297353CC}">
              <c16:uniqueId val="{00000000-65C8-4A21-BE18-F3016A49AE3C}"/>
            </c:ext>
          </c:extLst>
        </c:ser>
        <c:dLbls>
          <c:showLegendKey val="0"/>
          <c:showVal val="0"/>
          <c:showCatName val="0"/>
          <c:showSerName val="0"/>
          <c:showPercent val="0"/>
          <c:showBubbleSize val="0"/>
        </c:dLbls>
        <c:gapWidth val="150"/>
        <c:axId val="1826705808"/>
        <c:axId val="1826711792"/>
      </c:barChart>
      <c:catAx>
        <c:axId val="1826705808"/>
        <c:scaling>
          <c:orientation val="minMax"/>
        </c:scaling>
        <c:delete val="0"/>
        <c:axPos val="l"/>
        <c:title>
          <c:tx>
            <c:rich>
              <a:bodyPr rot="-5400000" vert="horz"/>
              <a:lstStyle/>
              <a:p>
                <a:pPr>
                  <a:defRPr/>
                </a:pPr>
                <a:r>
                  <a:rPr lang="es-CR" sz="1050">
                    <a:latin typeface="Arial" panose="020B0604020202020204" pitchFamily="34" charset="0"/>
                    <a:cs typeface="Arial" panose="020B0604020202020204" pitchFamily="34" charset="0"/>
                  </a:rPr>
                  <a:t>Cantón</a:t>
                </a:r>
              </a:p>
            </c:rich>
          </c:tx>
          <c:overlay val="0"/>
        </c:title>
        <c:numFmt formatCode="General" sourceLinked="0"/>
        <c:majorTickMark val="out"/>
        <c:minorTickMark val="none"/>
        <c:tickLblPos val="nextTo"/>
        <c:txPr>
          <a:bodyPr/>
          <a:lstStyle/>
          <a:p>
            <a:pPr>
              <a:defRPr sz="900">
                <a:latin typeface="Arial" panose="020B0604020202020204" pitchFamily="34" charset="0"/>
                <a:cs typeface="Arial" panose="020B0604020202020204" pitchFamily="34" charset="0"/>
              </a:defRPr>
            </a:pPr>
            <a:endParaRPr lang="es-CR"/>
          </a:p>
        </c:txPr>
        <c:crossAx val="1826711792"/>
        <c:crosses val="autoZero"/>
        <c:auto val="1"/>
        <c:lblAlgn val="ctr"/>
        <c:lblOffset val="100"/>
        <c:noMultiLvlLbl val="0"/>
      </c:catAx>
      <c:valAx>
        <c:axId val="1826711792"/>
        <c:scaling>
          <c:orientation val="minMax"/>
          <c:max val="2500"/>
        </c:scaling>
        <c:delete val="0"/>
        <c:axPos val="b"/>
        <c:majorGridlines>
          <c:spPr>
            <a:ln>
              <a:noFill/>
            </a:ln>
          </c:spPr>
        </c:majorGridlines>
        <c:title>
          <c:tx>
            <c:rich>
              <a:bodyPr/>
              <a:lstStyle/>
              <a:p>
                <a:pPr>
                  <a:defRPr/>
                </a:pPr>
                <a:r>
                  <a:rPr lang="es-CR" sz="1050">
                    <a:latin typeface="Arial" panose="020B0604020202020204" pitchFamily="34" charset="0"/>
                    <a:cs typeface="Arial" panose="020B0604020202020204" pitchFamily="34" charset="0"/>
                  </a:rPr>
                  <a:t>Tasa</a:t>
                </a:r>
              </a:p>
            </c:rich>
          </c:tx>
          <c:overlay val="0"/>
        </c:title>
        <c:numFmt formatCode="General" sourceLinked="1"/>
        <c:majorTickMark val="out"/>
        <c:minorTickMark val="none"/>
        <c:tickLblPos val="nextTo"/>
        <c:txPr>
          <a:bodyPr/>
          <a:lstStyle/>
          <a:p>
            <a:pPr>
              <a:defRPr sz="900">
                <a:latin typeface="Arial" panose="020B0604020202020204" pitchFamily="34" charset="0"/>
                <a:cs typeface="Arial" panose="020B0604020202020204" pitchFamily="34" charset="0"/>
              </a:defRPr>
            </a:pPr>
            <a:endParaRPr lang="es-CR"/>
          </a:p>
        </c:txPr>
        <c:crossAx val="1826705808"/>
        <c:crosses val="autoZero"/>
        <c:crossBetween val="between"/>
      </c:valAx>
      <c:spPr>
        <a:noFill/>
      </c:spPr>
    </c:plotArea>
    <c:plotVisOnly val="1"/>
    <c:dispBlanksAs val="gap"/>
    <c:showDLblsOverMax val="0"/>
  </c:chart>
  <c:spPr>
    <a:ln>
      <a:noFill/>
    </a:ln>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barChart>
        <c:barDir val="bar"/>
        <c:grouping val="clustered"/>
        <c:varyColors val="0"/>
        <c:ser>
          <c:idx val="0"/>
          <c:order val="0"/>
          <c:tx>
            <c:strRef>
              <c:f>Hoja1!$B$1</c:f>
              <c:strCache>
                <c:ptCount val="1"/>
                <c:pt idx="0">
                  <c:v>Columna1</c:v>
                </c:pt>
              </c:strCache>
            </c:strRef>
          </c:tx>
          <c:invertIfNegative val="0"/>
          <c:cat>
            <c:strRef>
              <c:f>Hoja1!$A$2:$A$11</c:f>
              <c:strCache>
                <c:ptCount val="10"/>
                <c:pt idx="0">
                  <c:v>Alajuela</c:v>
                </c:pt>
                <c:pt idx="1">
                  <c:v>Montes de Oro</c:v>
                </c:pt>
                <c:pt idx="2">
                  <c:v>Grecia</c:v>
                </c:pt>
                <c:pt idx="3">
                  <c:v>Matina</c:v>
                </c:pt>
                <c:pt idx="4">
                  <c:v>Poas</c:v>
                </c:pt>
                <c:pt idx="5">
                  <c:v>Esparza</c:v>
                </c:pt>
                <c:pt idx="6">
                  <c:v>Carrillo</c:v>
                </c:pt>
                <c:pt idx="7">
                  <c:v>Garabito</c:v>
                </c:pt>
                <c:pt idx="8">
                  <c:v>Sarapiqui</c:v>
                </c:pt>
                <c:pt idx="9">
                  <c:v>Orotina</c:v>
                </c:pt>
              </c:strCache>
            </c:strRef>
          </c:cat>
          <c:val>
            <c:numRef>
              <c:f>Hoja1!$B$2:$B$11</c:f>
              <c:numCache>
                <c:formatCode>General</c:formatCode>
                <c:ptCount val="10"/>
                <c:pt idx="0">
                  <c:v>5.6</c:v>
                </c:pt>
                <c:pt idx="1">
                  <c:v>7.1</c:v>
                </c:pt>
                <c:pt idx="2">
                  <c:v>7.7</c:v>
                </c:pt>
                <c:pt idx="3">
                  <c:v>8.8000000000000007</c:v>
                </c:pt>
                <c:pt idx="4">
                  <c:v>9.1</c:v>
                </c:pt>
                <c:pt idx="5">
                  <c:v>10.8</c:v>
                </c:pt>
                <c:pt idx="6">
                  <c:v>13.6</c:v>
                </c:pt>
                <c:pt idx="7">
                  <c:v>20.2</c:v>
                </c:pt>
                <c:pt idx="8">
                  <c:v>21.6</c:v>
                </c:pt>
                <c:pt idx="9">
                  <c:v>34.6</c:v>
                </c:pt>
              </c:numCache>
            </c:numRef>
          </c:val>
          <c:extLst>
            <c:ext xmlns:c16="http://schemas.microsoft.com/office/drawing/2014/chart" uri="{C3380CC4-5D6E-409C-BE32-E72D297353CC}">
              <c16:uniqueId val="{00000000-B20B-42D8-82DB-E309A7E65438}"/>
            </c:ext>
          </c:extLst>
        </c:ser>
        <c:dLbls>
          <c:showLegendKey val="0"/>
          <c:showVal val="0"/>
          <c:showCatName val="0"/>
          <c:showSerName val="0"/>
          <c:showPercent val="0"/>
          <c:showBubbleSize val="0"/>
        </c:dLbls>
        <c:gapWidth val="150"/>
        <c:axId val="1826709616"/>
        <c:axId val="1826714512"/>
      </c:barChart>
      <c:catAx>
        <c:axId val="1826709616"/>
        <c:scaling>
          <c:orientation val="minMax"/>
        </c:scaling>
        <c:delete val="0"/>
        <c:axPos val="l"/>
        <c:title>
          <c:tx>
            <c:rich>
              <a:bodyPr rot="-5400000" vert="horz"/>
              <a:lstStyle/>
              <a:p>
                <a:pPr>
                  <a:defRPr/>
                </a:pPr>
                <a:r>
                  <a:rPr lang="es-CR"/>
                  <a:t>Canton</a:t>
                </a:r>
              </a:p>
            </c:rich>
          </c:tx>
          <c:overlay val="0"/>
        </c:title>
        <c:numFmt formatCode="General" sourceLinked="0"/>
        <c:majorTickMark val="out"/>
        <c:minorTickMark val="none"/>
        <c:tickLblPos val="nextTo"/>
        <c:txPr>
          <a:bodyPr/>
          <a:lstStyle/>
          <a:p>
            <a:pPr>
              <a:defRPr sz="900"/>
            </a:pPr>
            <a:endParaRPr lang="es-CR"/>
          </a:p>
        </c:txPr>
        <c:crossAx val="1826714512"/>
        <c:crosses val="autoZero"/>
        <c:auto val="1"/>
        <c:lblAlgn val="ctr"/>
        <c:lblOffset val="100"/>
        <c:noMultiLvlLbl val="0"/>
      </c:catAx>
      <c:valAx>
        <c:axId val="1826714512"/>
        <c:scaling>
          <c:orientation val="minMax"/>
          <c:max val="35"/>
        </c:scaling>
        <c:delete val="0"/>
        <c:axPos val="b"/>
        <c:majorGridlines/>
        <c:title>
          <c:tx>
            <c:rich>
              <a:bodyPr/>
              <a:lstStyle/>
              <a:p>
                <a:pPr>
                  <a:defRPr/>
                </a:pPr>
                <a:r>
                  <a:rPr lang="es-CR"/>
                  <a:t>Tasa</a:t>
                </a:r>
              </a:p>
            </c:rich>
          </c:tx>
          <c:overlay val="0"/>
        </c:title>
        <c:numFmt formatCode="General" sourceLinked="1"/>
        <c:majorTickMark val="out"/>
        <c:minorTickMark val="none"/>
        <c:tickLblPos val="nextTo"/>
        <c:txPr>
          <a:bodyPr/>
          <a:lstStyle/>
          <a:p>
            <a:pPr>
              <a:defRPr sz="900"/>
            </a:pPr>
            <a:endParaRPr lang="es-CR"/>
          </a:p>
        </c:txPr>
        <c:crossAx val="1826709616"/>
        <c:crosses val="autoZero"/>
        <c:crossBetween val="between"/>
      </c:valAx>
      <c:spPr>
        <a:solidFill>
          <a:schemeClr val="bg1"/>
        </a:solidFill>
        <a:ln>
          <a:solidFill>
            <a:schemeClr val="bg1"/>
          </a:solidFill>
        </a:ln>
      </c:spPr>
    </c:plotArea>
    <c:plotVisOnly val="1"/>
    <c:dispBlanksAs val="gap"/>
    <c:showDLblsOverMax val="0"/>
  </c:chart>
  <c:spPr>
    <a:ln>
      <a:solidFill>
        <a:schemeClr val="bg1"/>
      </a:solid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barChart>
        <c:barDir val="bar"/>
        <c:grouping val="clustered"/>
        <c:varyColors val="0"/>
        <c:ser>
          <c:idx val="0"/>
          <c:order val="0"/>
          <c:tx>
            <c:strRef>
              <c:f>Hoja1!$B$1</c:f>
              <c:strCache>
                <c:ptCount val="1"/>
                <c:pt idx="0">
                  <c:v>Serie 1</c:v>
                </c:pt>
              </c:strCache>
            </c:strRef>
          </c:tx>
          <c:invertIfNegative val="0"/>
          <c:cat>
            <c:strRef>
              <c:f>Hoja1!$A$2:$A$11</c:f>
              <c:strCache>
                <c:ptCount val="10"/>
                <c:pt idx="0">
                  <c:v>Siquirres</c:v>
                </c:pt>
                <c:pt idx="1">
                  <c:v>Santa Cruz</c:v>
                </c:pt>
                <c:pt idx="2">
                  <c:v>Puntarenas</c:v>
                </c:pt>
                <c:pt idx="3">
                  <c:v>Matina</c:v>
                </c:pt>
                <c:pt idx="4">
                  <c:v>San Mateo</c:v>
                </c:pt>
                <c:pt idx="5">
                  <c:v>Cañas</c:v>
                </c:pt>
                <c:pt idx="6">
                  <c:v>Nandayure</c:v>
                </c:pt>
                <c:pt idx="7">
                  <c:v>Esparza</c:v>
                </c:pt>
                <c:pt idx="8">
                  <c:v>Orotina</c:v>
                </c:pt>
                <c:pt idx="9">
                  <c:v>Garabito</c:v>
                </c:pt>
              </c:strCache>
            </c:strRef>
          </c:cat>
          <c:val>
            <c:numRef>
              <c:f>Hoja1!$B$2:$B$11</c:f>
              <c:numCache>
                <c:formatCode>0.0</c:formatCode>
                <c:ptCount val="10"/>
                <c:pt idx="0" formatCode="General">
                  <c:v>321.3</c:v>
                </c:pt>
                <c:pt idx="1">
                  <c:v>377</c:v>
                </c:pt>
                <c:pt idx="2" formatCode="General">
                  <c:v>474.2</c:v>
                </c:pt>
                <c:pt idx="3" formatCode="General">
                  <c:v>479.3</c:v>
                </c:pt>
                <c:pt idx="4" formatCode="General">
                  <c:v>495.4</c:v>
                </c:pt>
                <c:pt idx="5" formatCode="General">
                  <c:v>517.4</c:v>
                </c:pt>
                <c:pt idx="6" formatCode="General">
                  <c:v>616.70000000000005</c:v>
                </c:pt>
                <c:pt idx="7" formatCode="General">
                  <c:v>904.8</c:v>
                </c:pt>
                <c:pt idx="8" formatCode="General">
                  <c:v>1067.9000000000001</c:v>
                </c:pt>
                <c:pt idx="9" formatCode="General">
                  <c:v>1118.4000000000001</c:v>
                </c:pt>
              </c:numCache>
            </c:numRef>
          </c:val>
          <c:extLst>
            <c:ext xmlns:c16="http://schemas.microsoft.com/office/drawing/2014/chart" uri="{C3380CC4-5D6E-409C-BE32-E72D297353CC}">
              <c16:uniqueId val="{00000000-894E-4F25-95D2-E6DB2FE67E47}"/>
            </c:ext>
          </c:extLst>
        </c:ser>
        <c:dLbls>
          <c:showLegendKey val="0"/>
          <c:showVal val="0"/>
          <c:showCatName val="0"/>
          <c:showSerName val="0"/>
          <c:showPercent val="0"/>
          <c:showBubbleSize val="0"/>
        </c:dLbls>
        <c:gapWidth val="150"/>
        <c:axId val="1826716144"/>
        <c:axId val="1826716688"/>
      </c:barChart>
      <c:catAx>
        <c:axId val="1826716144"/>
        <c:scaling>
          <c:orientation val="minMax"/>
        </c:scaling>
        <c:delete val="0"/>
        <c:axPos val="l"/>
        <c:title>
          <c:tx>
            <c:rich>
              <a:bodyPr rot="-5400000" vert="horz"/>
              <a:lstStyle/>
              <a:p>
                <a:pPr>
                  <a:defRPr/>
                </a:pPr>
                <a:r>
                  <a:rPr lang="es-CR"/>
                  <a:t>Cantón</a:t>
                </a:r>
              </a:p>
            </c:rich>
          </c:tx>
          <c:overlay val="0"/>
        </c:title>
        <c:numFmt formatCode="General" sourceLinked="0"/>
        <c:majorTickMark val="out"/>
        <c:minorTickMark val="none"/>
        <c:tickLblPos val="nextTo"/>
        <c:txPr>
          <a:bodyPr/>
          <a:lstStyle/>
          <a:p>
            <a:pPr>
              <a:defRPr sz="900"/>
            </a:pPr>
            <a:endParaRPr lang="es-CR"/>
          </a:p>
        </c:txPr>
        <c:crossAx val="1826716688"/>
        <c:crosses val="autoZero"/>
        <c:auto val="1"/>
        <c:lblAlgn val="ctr"/>
        <c:lblOffset val="100"/>
        <c:noMultiLvlLbl val="0"/>
      </c:catAx>
      <c:valAx>
        <c:axId val="1826716688"/>
        <c:scaling>
          <c:orientation val="minMax"/>
        </c:scaling>
        <c:delete val="0"/>
        <c:axPos val="b"/>
        <c:majorGridlines/>
        <c:title>
          <c:tx>
            <c:rich>
              <a:bodyPr/>
              <a:lstStyle/>
              <a:p>
                <a:pPr>
                  <a:defRPr/>
                </a:pPr>
                <a:r>
                  <a:rPr lang="es-CR"/>
                  <a:t>Tasa</a:t>
                </a:r>
              </a:p>
            </c:rich>
          </c:tx>
          <c:layout>
            <c:manualLayout>
              <c:xMode val="edge"/>
              <c:yMode val="edge"/>
              <c:x val="0.53849664625255178"/>
              <c:y val="0.91188476440444943"/>
            </c:manualLayout>
          </c:layout>
          <c:overlay val="0"/>
        </c:title>
        <c:numFmt formatCode="General" sourceLinked="1"/>
        <c:majorTickMark val="out"/>
        <c:minorTickMark val="none"/>
        <c:tickLblPos val="nextTo"/>
        <c:txPr>
          <a:bodyPr/>
          <a:lstStyle/>
          <a:p>
            <a:pPr>
              <a:defRPr sz="900"/>
            </a:pPr>
            <a:endParaRPr lang="es-CR"/>
          </a:p>
        </c:txPr>
        <c:crossAx val="1826716144"/>
        <c:crosses val="autoZero"/>
        <c:crossBetween val="between"/>
      </c:valAx>
      <c:spPr>
        <a:solidFill>
          <a:schemeClr val="bg1"/>
        </a:solidFill>
      </c:spPr>
    </c:plotArea>
    <c:plotVisOnly val="1"/>
    <c:dispBlanksAs val="gap"/>
    <c:showDLblsOverMax val="0"/>
  </c:chart>
  <c:spPr>
    <a:solidFill>
      <a:schemeClr val="bg1"/>
    </a:solidFill>
    <a:ln>
      <a:solidFill>
        <a:schemeClr val="bg1"/>
      </a:solid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Hoja2!$B$16</c:f>
              <c:strCache>
                <c:ptCount val="1"/>
                <c:pt idx="0">
                  <c:v>Tasa global de fecundidad (por mujer)</c:v>
                </c:pt>
              </c:strCache>
            </c:strRef>
          </c:tx>
          <c:spPr>
            <a:ln w="28575" cap="rnd">
              <a:solidFill>
                <a:srgbClr val="A365D1"/>
              </a:solidFill>
              <a:round/>
            </a:ln>
            <a:effectLst/>
          </c:spPr>
          <c:marker>
            <c:symbol val="none"/>
          </c:marker>
          <c:trendline>
            <c:spPr>
              <a:ln w="19050" cap="rnd">
                <a:solidFill>
                  <a:schemeClr val="accent1"/>
                </a:solidFill>
                <a:prstDash val="sysDot"/>
              </a:ln>
              <a:effectLst/>
            </c:spPr>
            <c:trendlineType val="linear"/>
            <c:dispRSqr val="0"/>
            <c:dispEq val="0"/>
          </c:trendline>
          <c:cat>
            <c:numRef>
              <c:f>Hoja2!$C$15:$U$15</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Hoja2!$C$16:$U$16</c:f>
              <c:numCache>
                <c:formatCode>0.0</c:formatCode>
                <c:ptCount val="19"/>
                <c:pt idx="0">
                  <c:v>2.3897211278735346</c:v>
                </c:pt>
                <c:pt idx="1">
                  <c:v>2.2852677196323157</c:v>
                </c:pt>
                <c:pt idx="2">
                  <c:v>2.0863995142045559</c:v>
                </c:pt>
                <c:pt idx="3">
                  <c:v>2.1002629560304253</c:v>
                </c:pt>
                <c:pt idx="4">
                  <c:v>2.0417337683981409</c:v>
                </c:pt>
                <c:pt idx="5">
                  <c:v>1.9831780141961064</c:v>
                </c:pt>
                <c:pt idx="6">
                  <c:v>1.9360605049024846</c:v>
                </c:pt>
                <c:pt idx="7">
                  <c:v>1.9846862475105695</c:v>
                </c:pt>
                <c:pt idx="8">
                  <c:v>1.97454946224966</c:v>
                </c:pt>
                <c:pt idx="9">
                  <c:v>1.95</c:v>
                </c:pt>
                <c:pt idx="10">
                  <c:v>1.81</c:v>
                </c:pt>
                <c:pt idx="11">
                  <c:v>1.8585685275183164</c:v>
                </c:pt>
                <c:pt idx="12">
                  <c:v>1.8402488616915296</c:v>
                </c:pt>
                <c:pt idx="13">
                  <c:v>1.7561164119169996</c:v>
                </c:pt>
                <c:pt idx="14">
                  <c:v>1.7740311411736565</c:v>
                </c:pt>
                <c:pt idx="15">
                  <c:v>1.7632187482330197</c:v>
                </c:pt>
                <c:pt idx="16">
                  <c:v>1.7064644190179825</c:v>
                </c:pt>
                <c:pt idx="17">
                  <c:v>1.671197643818632</c:v>
                </c:pt>
                <c:pt idx="18">
                  <c:v>1.6617090092299418</c:v>
                </c:pt>
              </c:numCache>
            </c:numRef>
          </c:val>
          <c:smooth val="0"/>
          <c:extLst>
            <c:ext xmlns:c16="http://schemas.microsoft.com/office/drawing/2014/chart" uri="{C3380CC4-5D6E-409C-BE32-E72D297353CC}">
              <c16:uniqueId val="{00000000-E72F-4A1E-8F4C-51B6C823CCBC}"/>
            </c:ext>
          </c:extLst>
        </c:ser>
        <c:dLbls>
          <c:showLegendKey val="0"/>
          <c:showVal val="0"/>
          <c:showCatName val="0"/>
          <c:showSerName val="0"/>
          <c:showPercent val="0"/>
          <c:showBubbleSize val="0"/>
        </c:dLbls>
        <c:smooth val="0"/>
        <c:axId val="1707994688"/>
        <c:axId val="1707989248"/>
      </c:lineChart>
      <c:catAx>
        <c:axId val="1707994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R"/>
          </a:p>
        </c:txPr>
        <c:crossAx val="1707989248"/>
        <c:crosses val="autoZero"/>
        <c:auto val="1"/>
        <c:lblAlgn val="ctr"/>
        <c:lblOffset val="100"/>
        <c:noMultiLvlLbl val="0"/>
      </c:catAx>
      <c:valAx>
        <c:axId val="1707989248"/>
        <c:scaling>
          <c:orientation val="minMax"/>
          <c:min val="0.5"/>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R"/>
          </a:p>
        </c:txPr>
        <c:crossAx val="1707994688"/>
        <c:crosses val="autoZero"/>
        <c:crossBetween val="between"/>
        <c:majorUnit val="0.5"/>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Hoja1!$A$4</c:f>
              <c:strCache>
                <c:ptCount val="1"/>
                <c:pt idx="0">
                  <c:v>Total de casos</c:v>
                </c:pt>
              </c:strCache>
            </c:strRef>
          </c:tx>
          <c:spPr>
            <a:solidFill>
              <a:schemeClr val="accent1"/>
            </a:solidFill>
            <a:ln>
              <a:noFill/>
            </a:ln>
            <a:effectLst/>
          </c:spPr>
          <c:invertIfNegative val="0"/>
          <c:cat>
            <c:numRef>
              <c:f>Hoja1!$B$3:$E$3</c:f>
              <c:numCache>
                <c:formatCode>General</c:formatCode>
                <c:ptCount val="4"/>
                <c:pt idx="0">
                  <c:v>2015</c:v>
                </c:pt>
                <c:pt idx="1">
                  <c:v>2016</c:v>
                </c:pt>
                <c:pt idx="2">
                  <c:v>2017</c:v>
                </c:pt>
                <c:pt idx="3">
                  <c:v>2018</c:v>
                </c:pt>
              </c:numCache>
            </c:numRef>
          </c:cat>
          <c:val>
            <c:numRef>
              <c:f>Hoja1!$B$4:$E$4</c:f>
              <c:numCache>
                <c:formatCode>General</c:formatCode>
                <c:ptCount val="4"/>
                <c:pt idx="0">
                  <c:v>31</c:v>
                </c:pt>
                <c:pt idx="1">
                  <c:v>25</c:v>
                </c:pt>
                <c:pt idx="2">
                  <c:v>21</c:v>
                </c:pt>
                <c:pt idx="3">
                  <c:v>31</c:v>
                </c:pt>
              </c:numCache>
            </c:numRef>
          </c:val>
          <c:extLst>
            <c:ext xmlns:c16="http://schemas.microsoft.com/office/drawing/2014/chart" uri="{C3380CC4-5D6E-409C-BE32-E72D297353CC}">
              <c16:uniqueId val="{00000000-5720-4C64-9279-DF230544AC33}"/>
            </c:ext>
          </c:extLst>
        </c:ser>
        <c:ser>
          <c:idx val="1"/>
          <c:order val="1"/>
          <c:tx>
            <c:strRef>
              <c:f>Hoja1!$A$5</c:f>
              <c:strCache>
                <c:ptCount val="1"/>
                <c:pt idx="0">
                  <c:v>Agudos</c:v>
                </c:pt>
              </c:strCache>
            </c:strRef>
          </c:tx>
          <c:spPr>
            <a:solidFill>
              <a:schemeClr val="accent2"/>
            </a:solidFill>
            <a:ln>
              <a:noFill/>
            </a:ln>
            <a:effectLst/>
          </c:spPr>
          <c:invertIfNegative val="0"/>
          <c:cat>
            <c:numRef>
              <c:f>Hoja1!$B$3:$E$3</c:f>
              <c:numCache>
                <c:formatCode>General</c:formatCode>
                <c:ptCount val="4"/>
                <c:pt idx="0">
                  <c:v>2015</c:v>
                </c:pt>
                <c:pt idx="1">
                  <c:v>2016</c:v>
                </c:pt>
                <c:pt idx="2">
                  <c:v>2017</c:v>
                </c:pt>
                <c:pt idx="3">
                  <c:v>2018</c:v>
                </c:pt>
              </c:numCache>
            </c:numRef>
          </c:cat>
          <c:val>
            <c:numRef>
              <c:f>Hoja1!$B$5:$E$5</c:f>
              <c:numCache>
                <c:formatCode>General</c:formatCode>
                <c:ptCount val="4"/>
                <c:pt idx="0">
                  <c:v>0</c:v>
                </c:pt>
                <c:pt idx="1">
                  <c:v>1</c:v>
                </c:pt>
                <c:pt idx="2">
                  <c:v>0</c:v>
                </c:pt>
                <c:pt idx="3">
                  <c:v>1</c:v>
                </c:pt>
              </c:numCache>
            </c:numRef>
          </c:val>
          <c:extLst>
            <c:ext xmlns:c16="http://schemas.microsoft.com/office/drawing/2014/chart" uri="{C3380CC4-5D6E-409C-BE32-E72D297353CC}">
              <c16:uniqueId val="{00000001-5720-4C64-9279-DF230544AC33}"/>
            </c:ext>
          </c:extLst>
        </c:ser>
        <c:ser>
          <c:idx val="2"/>
          <c:order val="2"/>
          <c:tx>
            <c:strRef>
              <c:f>Hoja1!$A$6</c:f>
              <c:strCache>
                <c:ptCount val="1"/>
                <c:pt idx="0">
                  <c:v>Crónicos</c:v>
                </c:pt>
              </c:strCache>
            </c:strRef>
          </c:tx>
          <c:spPr>
            <a:solidFill>
              <a:schemeClr val="accent3"/>
            </a:solidFill>
            <a:ln>
              <a:noFill/>
            </a:ln>
            <a:effectLst/>
          </c:spPr>
          <c:invertIfNegative val="0"/>
          <c:cat>
            <c:numRef>
              <c:f>Hoja1!$B$3:$E$3</c:f>
              <c:numCache>
                <c:formatCode>General</c:formatCode>
                <c:ptCount val="4"/>
                <c:pt idx="0">
                  <c:v>2015</c:v>
                </c:pt>
                <c:pt idx="1">
                  <c:v>2016</c:v>
                </c:pt>
                <c:pt idx="2">
                  <c:v>2017</c:v>
                </c:pt>
                <c:pt idx="3">
                  <c:v>2018</c:v>
                </c:pt>
              </c:numCache>
            </c:numRef>
          </c:cat>
          <c:val>
            <c:numRef>
              <c:f>Hoja1!$B$6:$E$6</c:f>
              <c:numCache>
                <c:formatCode>General</c:formatCode>
                <c:ptCount val="4"/>
                <c:pt idx="0">
                  <c:v>31</c:v>
                </c:pt>
                <c:pt idx="1">
                  <c:v>24</c:v>
                </c:pt>
                <c:pt idx="2">
                  <c:v>21</c:v>
                </c:pt>
                <c:pt idx="3">
                  <c:v>30</c:v>
                </c:pt>
              </c:numCache>
            </c:numRef>
          </c:val>
          <c:extLst>
            <c:ext xmlns:c16="http://schemas.microsoft.com/office/drawing/2014/chart" uri="{C3380CC4-5D6E-409C-BE32-E72D297353CC}">
              <c16:uniqueId val="{00000002-5720-4C64-9279-DF230544AC33}"/>
            </c:ext>
          </c:extLst>
        </c:ser>
        <c:ser>
          <c:idx val="3"/>
          <c:order val="3"/>
          <c:tx>
            <c:strRef>
              <c:f>Hoja1!$A$7</c:f>
              <c:strCache>
                <c:ptCount val="1"/>
                <c:pt idx="0">
                  <c:v>Bancos de sangre</c:v>
                </c:pt>
              </c:strCache>
            </c:strRef>
          </c:tx>
          <c:spPr>
            <a:solidFill>
              <a:schemeClr val="accent4"/>
            </a:solidFill>
            <a:ln>
              <a:noFill/>
            </a:ln>
            <a:effectLst/>
          </c:spPr>
          <c:invertIfNegative val="0"/>
          <c:cat>
            <c:numRef>
              <c:f>Hoja1!$B$3:$E$3</c:f>
              <c:numCache>
                <c:formatCode>General</c:formatCode>
                <c:ptCount val="4"/>
                <c:pt idx="0">
                  <c:v>2015</c:v>
                </c:pt>
                <c:pt idx="1">
                  <c:v>2016</c:v>
                </c:pt>
                <c:pt idx="2">
                  <c:v>2017</c:v>
                </c:pt>
                <c:pt idx="3">
                  <c:v>2018</c:v>
                </c:pt>
              </c:numCache>
            </c:numRef>
          </c:cat>
          <c:val>
            <c:numRef>
              <c:f>Hoja1!$B$7:$E$7</c:f>
              <c:numCache>
                <c:formatCode>General</c:formatCode>
                <c:ptCount val="4"/>
                <c:pt idx="0">
                  <c:v>22</c:v>
                </c:pt>
                <c:pt idx="1">
                  <c:v>17</c:v>
                </c:pt>
                <c:pt idx="2">
                  <c:v>17</c:v>
                </c:pt>
                <c:pt idx="3">
                  <c:v>24</c:v>
                </c:pt>
              </c:numCache>
            </c:numRef>
          </c:val>
          <c:extLst>
            <c:ext xmlns:c16="http://schemas.microsoft.com/office/drawing/2014/chart" uri="{C3380CC4-5D6E-409C-BE32-E72D297353CC}">
              <c16:uniqueId val="{00000003-5720-4C64-9279-DF230544AC33}"/>
            </c:ext>
          </c:extLst>
        </c:ser>
        <c:ser>
          <c:idx val="4"/>
          <c:order val="4"/>
          <c:tx>
            <c:strRef>
              <c:f>Hoja1!$A$8</c:f>
              <c:strCache>
                <c:ptCount val="1"/>
                <c:pt idx="0">
                  <c:v>Servicios de Salud</c:v>
                </c:pt>
              </c:strCache>
            </c:strRef>
          </c:tx>
          <c:spPr>
            <a:solidFill>
              <a:schemeClr val="accent5"/>
            </a:solidFill>
            <a:ln>
              <a:noFill/>
            </a:ln>
            <a:effectLst/>
          </c:spPr>
          <c:invertIfNegative val="0"/>
          <c:cat>
            <c:numRef>
              <c:f>Hoja1!$B$3:$E$3</c:f>
              <c:numCache>
                <c:formatCode>General</c:formatCode>
                <c:ptCount val="4"/>
                <c:pt idx="0">
                  <c:v>2015</c:v>
                </c:pt>
                <c:pt idx="1">
                  <c:v>2016</c:v>
                </c:pt>
                <c:pt idx="2">
                  <c:v>2017</c:v>
                </c:pt>
                <c:pt idx="3">
                  <c:v>2018</c:v>
                </c:pt>
              </c:numCache>
            </c:numRef>
          </c:cat>
          <c:val>
            <c:numRef>
              <c:f>Hoja1!$B$8:$E$8</c:f>
              <c:numCache>
                <c:formatCode>General</c:formatCode>
                <c:ptCount val="4"/>
                <c:pt idx="0">
                  <c:v>9</c:v>
                </c:pt>
                <c:pt idx="1">
                  <c:v>4</c:v>
                </c:pt>
                <c:pt idx="2">
                  <c:v>4</c:v>
                </c:pt>
                <c:pt idx="3">
                  <c:v>6</c:v>
                </c:pt>
              </c:numCache>
            </c:numRef>
          </c:val>
          <c:extLst>
            <c:ext xmlns:c16="http://schemas.microsoft.com/office/drawing/2014/chart" uri="{C3380CC4-5D6E-409C-BE32-E72D297353CC}">
              <c16:uniqueId val="{00000004-5720-4C64-9279-DF230544AC33}"/>
            </c:ext>
          </c:extLst>
        </c:ser>
        <c:ser>
          <c:idx val="5"/>
          <c:order val="5"/>
          <c:tx>
            <c:strRef>
              <c:f>Hoja1!$A$9</c:f>
              <c:strCache>
                <c:ptCount val="1"/>
                <c:pt idx="0">
                  <c:v>Encuesta Escolar</c:v>
                </c:pt>
              </c:strCache>
            </c:strRef>
          </c:tx>
          <c:spPr>
            <a:solidFill>
              <a:schemeClr val="accent6"/>
            </a:solidFill>
            <a:ln>
              <a:noFill/>
            </a:ln>
            <a:effectLst/>
          </c:spPr>
          <c:invertIfNegative val="0"/>
          <c:cat>
            <c:numRef>
              <c:f>Hoja1!$B$3:$E$3</c:f>
              <c:numCache>
                <c:formatCode>General</c:formatCode>
                <c:ptCount val="4"/>
                <c:pt idx="0">
                  <c:v>2015</c:v>
                </c:pt>
                <c:pt idx="1">
                  <c:v>2016</c:v>
                </c:pt>
                <c:pt idx="2">
                  <c:v>2017</c:v>
                </c:pt>
                <c:pt idx="3">
                  <c:v>2018</c:v>
                </c:pt>
              </c:numCache>
            </c:numRef>
          </c:cat>
          <c:val>
            <c:numRef>
              <c:f>Hoja1!$B$9:$E$9</c:f>
              <c:numCache>
                <c:formatCode>General</c:formatCode>
                <c:ptCount val="4"/>
                <c:pt idx="0">
                  <c:v>0</c:v>
                </c:pt>
                <c:pt idx="1">
                  <c:v>3</c:v>
                </c:pt>
                <c:pt idx="2">
                  <c:v>0</c:v>
                </c:pt>
                <c:pt idx="3">
                  <c:v>0</c:v>
                </c:pt>
              </c:numCache>
            </c:numRef>
          </c:val>
          <c:extLst>
            <c:ext xmlns:c16="http://schemas.microsoft.com/office/drawing/2014/chart" uri="{C3380CC4-5D6E-409C-BE32-E72D297353CC}">
              <c16:uniqueId val="{00000005-5720-4C64-9279-DF230544AC33}"/>
            </c:ext>
          </c:extLst>
        </c:ser>
        <c:dLbls>
          <c:showLegendKey val="0"/>
          <c:showVal val="0"/>
          <c:showCatName val="0"/>
          <c:showSerName val="0"/>
          <c:showPercent val="0"/>
          <c:showBubbleSize val="0"/>
        </c:dLbls>
        <c:gapWidth val="219"/>
        <c:overlap val="-27"/>
        <c:axId val="1826710160"/>
        <c:axId val="1826718320"/>
      </c:barChart>
      <c:catAx>
        <c:axId val="1826710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26718320"/>
        <c:crosses val="autoZero"/>
        <c:auto val="1"/>
        <c:lblAlgn val="ctr"/>
        <c:lblOffset val="100"/>
        <c:noMultiLvlLbl val="0"/>
      </c:catAx>
      <c:valAx>
        <c:axId val="1826718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900"/>
                  <a:t>Número de casos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26710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ysClr val="window" lastClr="FFFFFF"/>
      </a:solidFill>
      <a:round/>
    </a:ln>
    <a:effectLst/>
  </c:spPr>
  <c:txPr>
    <a:bodyPr/>
    <a:lstStyle/>
    <a:p>
      <a:pPr>
        <a:defRPr/>
      </a:pPr>
      <a:endParaRPr lang="es-CR"/>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Hoja1!$A$2</c:f>
              <c:strCache>
                <c:ptCount val="1"/>
                <c:pt idx="0">
                  <c:v>Casos </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Hoja1!$B$1:$F$1</c:f>
              <c:numCache>
                <c:formatCode>General</c:formatCode>
                <c:ptCount val="5"/>
                <c:pt idx="0">
                  <c:v>2013</c:v>
                </c:pt>
                <c:pt idx="1">
                  <c:v>2014</c:v>
                </c:pt>
                <c:pt idx="2">
                  <c:v>2015</c:v>
                </c:pt>
                <c:pt idx="3">
                  <c:v>2016</c:v>
                </c:pt>
                <c:pt idx="4">
                  <c:v>2017</c:v>
                </c:pt>
              </c:numCache>
            </c:numRef>
          </c:cat>
          <c:val>
            <c:numRef>
              <c:f>Hoja1!$B$2:$F$2</c:f>
              <c:numCache>
                <c:formatCode>General</c:formatCode>
                <c:ptCount val="5"/>
                <c:pt idx="0">
                  <c:v>1856</c:v>
                </c:pt>
                <c:pt idx="1">
                  <c:v>2031</c:v>
                </c:pt>
                <c:pt idx="2">
                  <c:v>1170</c:v>
                </c:pt>
                <c:pt idx="3">
                  <c:v>1150</c:v>
                </c:pt>
                <c:pt idx="4">
                  <c:v>2224</c:v>
                </c:pt>
              </c:numCache>
            </c:numRef>
          </c:val>
          <c:smooth val="0"/>
          <c:extLst>
            <c:ext xmlns:c16="http://schemas.microsoft.com/office/drawing/2014/chart" uri="{C3380CC4-5D6E-409C-BE32-E72D297353CC}">
              <c16:uniqueId val="{00000000-679F-42BC-9201-2CB06020BC9F}"/>
            </c:ext>
          </c:extLst>
        </c:ser>
        <c:dLbls>
          <c:dLblPos val="t"/>
          <c:showLegendKey val="0"/>
          <c:showVal val="1"/>
          <c:showCatName val="0"/>
          <c:showSerName val="0"/>
          <c:showPercent val="0"/>
          <c:showBubbleSize val="0"/>
        </c:dLbls>
        <c:smooth val="0"/>
        <c:axId val="1826710704"/>
        <c:axId val="1826724848"/>
      </c:lineChart>
      <c:catAx>
        <c:axId val="1826710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26724848"/>
        <c:crosses val="autoZero"/>
        <c:auto val="1"/>
        <c:lblAlgn val="ctr"/>
        <c:lblOffset val="100"/>
        <c:noMultiLvlLbl val="0"/>
      </c:catAx>
      <c:valAx>
        <c:axId val="1826724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sz="900">
                    <a:solidFill>
                      <a:schemeClr val="tx1">
                        <a:lumMod val="75000"/>
                        <a:lumOff val="25000"/>
                      </a:schemeClr>
                    </a:solidFill>
                    <a:latin typeface="+mn-lt"/>
                  </a:rPr>
                  <a:t>Número</a:t>
                </a:r>
                <a:r>
                  <a:rPr lang="en-US" sz="900" baseline="0">
                    <a:solidFill>
                      <a:schemeClr val="tx1">
                        <a:lumMod val="75000"/>
                        <a:lumOff val="25000"/>
                      </a:schemeClr>
                    </a:solidFill>
                    <a:latin typeface="+mn-lt"/>
                  </a:rPr>
                  <a:t> de </a:t>
                </a:r>
                <a:r>
                  <a:rPr lang="en-US" sz="900">
                    <a:solidFill>
                      <a:schemeClr val="tx1">
                        <a:lumMod val="75000"/>
                        <a:lumOff val="25000"/>
                      </a:schemeClr>
                    </a:solidFill>
                    <a:latin typeface="+mn-lt"/>
                  </a:rPr>
                  <a:t>casos</a:t>
                </a:r>
              </a:p>
            </c:rich>
          </c:tx>
          <c:layout>
            <c:manualLayout>
              <c:xMode val="edge"/>
              <c:yMode val="edge"/>
              <c:x val="1.9444444444444445E-2"/>
              <c:y val="0.2951428988043161"/>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267107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 lastClr="FFFFFF"/>
      </a:solidFill>
      <a:round/>
    </a:ln>
    <a:effectLst/>
  </c:spPr>
  <c:txPr>
    <a:bodyPr/>
    <a:lstStyle/>
    <a:p>
      <a:pPr>
        <a:defRPr/>
      </a:pPr>
      <a:endParaRPr lang="es-CR"/>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Hoja1!$B$21</c:f>
              <c:strCache>
                <c:ptCount val="1"/>
                <c:pt idx="0">
                  <c:v>San José</c:v>
                </c:pt>
              </c:strCache>
            </c:strRef>
          </c:tx>
          <c:spPr>
            <a:ln w="28575" cap="rnd">
              <a:solidFill>
                <a:schemeClr val="accent1"/>
              </a:solidFill>
              <a:round/>
            </a:ln>
            <a:effectLst/>
          </c:spPr>
          <c:marker>
            <c:symbol val="none"/>
          </c:marker>
          <c:cat>
            <c:numRef>
              <c:f>Hoja1!$A$22:$A$26</c:f>
              <c:numCache>
                <c:formatCode>General</c:formatCode>
                <c:ptCount val="5"/>
                <c:pt idx="0">
                  <c:v>2013</c:v>
                </c:pt>
                <c:pt idx="1">
                  <c:v>2014</c:v>
                </c:pt>
                <c:pt idx="2">
                  <c:v>2015</c:v>
                </c:pt>
                <c:pt idx="3">
                  <c:v>2016</c:v>
                </c:pt>
                <c:pt idx="4">
                  <c:v>2017</c:v>
                </c:pt>
              </c:numCache>
            </c:numRef>
          </c:cat>
          <c:val>
            <c:numRef>
              <c:f>Hoja1!$B$22:$B$26</c:f>
              <c:numCache>
                <c:formatCode>General</c:formatCode>
                <c:ptCount val="5"/>
                <c:pt idx="0">
                  <c:v>305</c:v>
                </c:pt>
                <c:pt idx="1">
                  <c:v>253</c:v>
                </c:pt>
                <c:pt idx="2">
                  <c:v>202</c:v>
                </c:pt>
                <c:pt idx="3">
                  <c:v>260</c:v>
                </c:pt>
                <c:pt idx="4">
                  <c:v>416</c:v>
                </c:pt>
              </c:numCache>
            </c:numRef>
          </c:val>
          <c:smooth val="0"/>
          <c:extLst>
            <c:ext xmlns:c16="http://schemas.microsoft.com/office/drawing/2014/chart" uri="{C3380CC4-5D6E-409C-BE32-E72D297353CC}">
              <c16:uniqueId val="{00000000-6057-459C-8ECE-46552937C1AC}"/>
            </c:ext>
          </c:extLst>
        </c:ser>
        <c:ser>
          <c:idx val="1"/>
          <c:order val="1"/>
          <c:tx>
            <c:strRef>
              <c:f>Hoja1!$C$21</c:f>
              <c:strCache>
                <c:ptCount val="1"/>
                <c:pt idx="0">
                  <c:v>Alajuela</c:v>
                </c:pt>
              </c:strCache>
            </c:strRef>
          </c:tx>
          <c:spPr>
            <a:ln w="28575" cap="rnd">
              <a:solidFill>
                <a:schemeClr val="accent2"/>
              </a:solidFill>
              <a:round/>
            </a:ln>
            <a:effectLst/>
          </c:spPr>
          <c:marker>
            <c:symbol val="none"/>
          </c:marker>
          <c:cat>
            <c:numRef>
              <c:f>Hoja1!$A$22:$A$26</c:f>
              <c:numCache>
                <c:formatCode>General</c:formatCode>
                <c:ptCount val="5"/>
                <c:pt idx="0">
                  <c:v>2013</c:v>
                </c:pt>
                <c:pt idx="1">
                  <c:v>2014</c:v>
                </c:pt>
                <c:pt idx="2">
                  <c:v>2015</c:v>
                </c:pt>
                <c:pt idx="3">
                  <c:v>2016</c:v>
                </c:pt>
                <c:pt idx="4">
                  <c:v>2017</c:v>
                </c:pt>
              </c:numCache>
            </c:numRef>
          </c:cat>
          <c:val>
            <c:numRef>
              <c:f>Hoja1!$C$22:$C$26</c:f>
              <c:numCache>
                <c:formatCode>General</c:formatCode>
                <c:ptCount val="5"/>
                <c:pt idx="0">
                  <c:v>278</c:v>
                </c:pt>
                <c:pt idx="1">
                  <c:v>244</c:v>
                </c:pt>
                <c:pt idx="2">
                  <c:v>215</c:v>
                </c:pt>
                <c:pt idx="3">
                  <c:v>148</c:v>
                </c:pt>
                <c:pt idx="4">
                  <c:v>238</c:v>
                </c:pt>
              </c:numCache>
            </c:numRef>
          </c:val>
          <c:smooth val="0"/>
          <c:extLst>
            <c:ext xmlns:c16="http://schemas.microsoft.com/office/drawing/2014/chart" uri="{C3380CC4-5D6E-409C-BE32-E72D297353CC}">
              <c16:uniqueId val="{00000001-6057-459C-8ECE-46552937C1AC}"/>
            </c:ext>
          </c:extLst>
        </c:ser>
        <c:ser>
          <c:idx val="2"/>
          <c:order val="2"/>
          <c:tx>
            <c:strRef>
              <c:f>Hoja1!$D$21</c:f>
              <c:strCache>
                <c:ptCount val="1"/>
                <c:pt idx="0">
                  <c:v>Cartago</c:v>
                </c:pt>
              </c:strCache>
            </c:strRef>
          </c:tx>
          <c:spPr>
            <a:ln w="28575" cap="rnd">
              <a:solidFill>
                <a:schemeClr val="accent3"/>
              </a:solidFill>
              <a:round/>
            </a:ln>
            <a:effectLst/>
          </c:spPr>
          <c:marker>
            <c:symbol val="none"/>
          </c:marker>
          <c:cat>
            <c:numRef>
              <c:f>Hoja1!$A$22:$A$26</c:f>
              <c:numCache>
                <c:formatCode>General</c:formatCode>
                <c:ptCount val="5"/>
                <c:pt idx="0">
                  <c:v>2013</c:v>
                </c:pt>
                <c:pt idx="1">
                  <c:v>2014</c:v>
                </c:pt>
                <c:pt idx="2">
                  <c:v>2015</c:v>
                </c:pt>
                <c:pt idx="3">
                  <c:v>2016</c:v>
                </c:pt>
                <c:pt idx="4">
                  <c:v>2017</c:v>
                </c:pt>
              </c:numCache>
            </c:numRef>
          </c:cat>
          <c:val>
            <c:numRef>
              <c:f>Hoja1!$D$22:$D$26</c:f>
              <c:numCache>
                <c:formatCode>General</c:formatCode>
                <c:ptCount val="5"/>
                <c:pt idx="0">
                  <c:v>200</c:v>
                </c:pt>
                <c:pt idx="1">
                  <c:v>383</c:v>
                </c:pt>
                <c:pt idx="2">
                  <c:v>173</c:v>
                </c:pt>
                <c:pt idx="3">
                  <c:v>183</c:v>
                </c:pt>
                <c:pt idx="4">
                  <c:v>400</c:v>
                </c:pt>
              </c:numCache>
            </c:numRef>
          </c:val>
          <c:smooth val="0"/>
          <c:extLst>
            <c:ext xmlns:c16="http://schemas.microsoft.com/office/drawing/2014/chart" uri="{C3380CC4-5D6E-409C-BE32-E72D297353CC}">
              <c16:uniqueId val="{00000002-6057-459C-8ECE-46552937C1AC}"/>
            </c:ext>
          </c:extLst>
        </c:ser>
        <c:ser>
          <c:idx val="3"/>
          <c:order val="3"/>
          <c:tx>
            <c:strRef>
              <c:f>Hoja1!$E$21</c:f>
              <c:strCache>
                <c:ptCount val="1"/>
                <c:pt idx="0">
                  <c:v>Heredia</c:v>
                </c:pt>
              </c:strCache>
            </c:strRef>
          </c:tx>
          <c:spPr>
            <a:ln w="28575" cap="rnd">
              <a:solidFill>
                <a:schemeClr val="accent4"/>
              </a:solidFill>
              <a:round/>
            </a:ln>
            <a:effectLst/>
          </c:spPr>
          <c:marker>
            <c:symbol val="none"/>
          </c:marker>
          <c:cat>
            <c:numRef>
              <c:f>Hoja1!$A$22:$A$26</c:f>
              <c:numCache>
                <c:formatCode>General</c:formatCode>
                <c:ptCount val="5"/>
                <c:pt idx="0">
                  <c:v>2013</c:v>
                </c:pt>
                <c:pt idx="1">
                  <c:v>2014</c:v>
                </c:pt>
                <c:pt idx="2">
                  <c:v>2015</c:v>
                </c:pt>
                <c:pt idx="3">
                  <c:v>2016</c:v>
                </c:pt>
                <c:pt idx="4">
                  <c:v>2017</c:v>
                </c:pt>
              </c:numCache>
            </c:numRef>
          </c:cat>
          <c:val>
            <c:numRef>
              <c:f>Hoja1!$E$22:$E$26</c:f>
              <c:numCache>
                <c:formatCode>General</c:formatCode>
                <c:ptCount val="5"/>
                <c:pt idx="0">
                  <c:v>73</c:v>
                </c:pt>
                <c:pt idx="1">
                  <c:v>77</c:v>
                </c:pt>
                <c:pt idx="2">
                  <c:v>31</c:v>
                </c:pt>
                <c:pt idx="3">
                  <c:v>37</c:v>
                </c:pt>
                <c:pt idx="4">
                  <c:v>88</c:v>
                </c:pt>
              </c:numCache>
            </c:numRef>
          </c:val>
          <c:smooth val="0"/>
          <c:extLst>
            <c:ext xmlns:c16="http://schemas.microsoft.com/office/drawing/2014/chart" uri="{C3380CC4-5D6E-409C-BE32-E72D297353CC}">
              <c16:uniqueId val="{00000003-6057-459C-8ECE-46552937C1AC}"/>
            </c:ext>
          </c:extLst>
        </c:ser>
        <c:ser>
          <c:idx val="4"/>
          <c:order val="4"/>
          <c:tx>
            <c:strRef>
              <c:f>Hoja1!$F$21</c:f>
              <c:strCache>
                <c:ptCount val="1"/>
                <c:pt idx="0">
                  <c:v>Guanacaste</c:v>
                </c:pt>
              </c:strCache>
            </c:strRef>
          </c:tx>
          <c:spPr>
            <a:ln w="28575" cap="rnd">
              <a:solidFill>
                <a:schemeClr val="accent5"/>
              </a:solidFill>
              <a:round/>
            </a:ln>
            <a:effectLst/>
          </c:spPr>
          <c:marker>
            <c:symbol val="none"/>
          </c:marker>
          <c:cat>
            <c:numRef>
              <c:f>Hoja1!$A$22:$A$26</c:f>
              <c:numCache>
                <c:formatCode>General</c:formatCode>
                <c:ptCount val="5"/>
                <c:pt idx="0">
                  <c:v>2013</c:v>
                </c:pt>
                <c:pt idx="1">
                  <c:v>2014</c:v>
                </c:pt>
                <c:pt idx="2">
                  <c:v>2015</c:v>
                </c:pt>
                <c:pt idx="3">
                  <c:v>2016</c:v>
                </c:pt>
                <c:pt idx="4">
                  <c:v>2017</c:v>
                </c:pt>
              </c:numCache>
            </c:numRef>
          </c:cat>
          <c:val>
            <c:numRef>
              <c:f>Hoja1!$F$22:$F$26</c:f>
              <c:numCache>
                <c:formatCode>General</c:formatCode>
                <c:ptCount val="5"/>
                <c:pt idx="0">
                  <c:v>20</c:v>
                </c:pt>
                <c:pt idx="1">
                  <c:v>8</c:v>
                </c:pt>
                <c:pt idx="2">
                  <c:v>10</c:v>
                </c:pt>
                <c:pt idx="3">
                  <c:v>11</c:v>
                </c:pt>
                <c:pt idx="4">
                  <c:v>9</c:v>
                </c:pt>
              </c:numCache>
            </c:numRef>
          </c:val>
          <c:smooth val="0"/>
          <c:extLst>
            <c:ext xmlns:c16="http://schemas.microsoft.com/office/drawing/2014/chart" uri="{C3380CC4-5D6E-409C-BE32-E72D297353CC}">
              <c16:uniqueId val="{00000004-6057-459C-8ECE-46552937C1AC}"/>
            </c:ext>
          </c:extLst>
        </c:ser>
        <c:ser>
          <c:idx val="5"/>
          <c:order val="5"/>
          <c:tx>
            <c:strRef>
              <c:f>Hoja1!$G$21</c:f>
              <c:strCache>
                <c:ptCount val="1"/>
                <c:pt idx="0">
                  <c:v>Puntarenas</c:v>
                </c:pt>
              </c:strCache>
            </c:strRef>
          </c:tx>
          <c:spPr>
            <a:ln w="28575" cap="rnd">
              <a:solidFill>
                <a:schemeClr val="accent6"/>
              </a:solidFill>
              <a:round/>
            </a:ln>
            <a:effectLst/>
          </c:spPr>
          <c:marker>
            <c:symbol val="none"/>
          </c:marker>
          <c:cat>
            <c:numRef>
              <c:f>Hoja1!$A$22:$A$26</c:f>
              <c:numCache>
                <c:formatCode>General</c:formatCode>
                <c:ptCount val="5"/>
                <c:pt idx="0">
                  <c:v>2013</c:v>
                </c:pt>
                <c:pt idx="1">
                  <c:v>2014</c:v>
                </c:pt>
                <c:pt idx="2">
                  <c:v>2015</c:v>
                </c:pt>
                <c:pt idx="3">
                  <c:v>2016</c:v>
                </c:pt>
                <c:pt idx="4">
                  <c:v>2017</c:v>
                </c:pt>
              </c:numCache>
            </c:numRef>
          </c:cat>
          <c:val>
            <c:numRef>
              <c:f>Hoja1!$G$22:$G$26</c:f>
              <c:numCache>
                <c:formatCode>General</c:formatCode>
                <c:ptCount val="5"/>
                <c:pt idx="0">
                  <c:v>179</c:v>
                </c:pt>
                <c:pt idx="1">
                  <c:v>162</c:v>
                </c:pt>
                <c:pt idx="2">
                  <c:v>137</c:v>
                </c:pt>
                <c:pt idx="3">
                  <c:v>137</c:v>
                </c:pt>
                <c:pt idx="4">
                  <c:v>152</c:v>
                </c:pt>
              </c:numCache>
            </c:numRef>
          </c:val>
          <c:smooth val="0"/>
          <c:extLst>
            <c:ext xmlns:c16="http://schemas.microsoft.com/office/drawing/2014/chart" uri="{C3380CC4-5D6E-409C-BE32-E72D297353CC}">
              <c16:uniqueId val="{00000005-6057-459C-8ECE-46552937C1AC}"/>
            </c:ext>
          </c:extLst>
        </c:ser>
        <c:ser>
          <c:idx val="6"/>
          <c:order val="6"/>
          <c:tx>
            <c:strRef>
              <c:f>Hoja1!$H$21</c:f>
              <c:strCache>
                <c:ptCount val="1"/>
                <c:pt idx="0">
                  <c:v>Limón</c:v>
                </c:pt>
              </c:strCache>
            </c:strRef>
          </c:tx>
          <c:spPr>
            <a:ln w="28575" cap="rnd">
              <a:solidFill>
                <a:schemeClr val="accent1">
                  <a:lumMod val="60000"/>
                </a:schemeClr>
              </a:solidFill>
              <a:round/>
            </a:ln>
            <a:effectLst/>
          </c:spPr>
          <c:marker>
            <c:symbol val="none"/>
          </c:marker>
          <c:cat>
            <c:numRef>
              <c:f>Hoja1!$A$22:$A$26</c:f>
              <c:numCache>
                <c:formatCode>General</c:formatCode>
                <c:ptCount val="5"/>
                <c:pt idx="0">
                  <c:v>2013</c:v>
                </c:pt>
                <c:pt idx="1">
                  <c:v>2014</c:v>
                </c:pt>
                <c:pt idx="2">
                  <c:v>2015</c:v>
                </c:pt>
                <c:pt idx="3">
                  <c:v>2016</c:v>
                </c:pt>
                <c:pt idx="4">
                  <c:v>2017</c:v>
                </c:pt>
              </c:numCache>
            </c:numRef>
          </c:cat>
          <c:val>
            <c:numRef>
              <c:f>Hoja1!$H$22:$H$26</c:f>
              <c:numCache>
                <c:formatCode>General</c:formatCode>
                <c:ptCount val="5"/>
                <c:pt idx="0">
                  <c:v>801</c:v>
                </c:pt>
                <c:pt idx="1">
                  <c:v>904</c:v>
                </c:pt>
                <c:pt idx="2">
                  <c:v>402</c:v>
                </c:pt>
                <c:pt idx="3">
                  <c:v>374</c:v>
                </c:pt>
                <c:pt idx="4">
                  <c:v>921</c:v>
                </c:pt>
              </c:numCache>
            </c:numRef>
          </c:val>
          <c:smooth val="0"/>
          <c:extLst>
            <c:ext xmlns:c16="http://schemas.microsoft.com/office/drawing/2014/chart" uri="{C3380CC4-5D6E-409C-BE32-E72D297353CC}">
              <c16:uniqueId val="{00000006-6057-459C-8ECE-46552937C1AC}"/>
            </c:ext>
          </c:extLst>
        </c:ser>
        <c:dLbls>
          <c:showLegendKey val="0"/>
          <c:showVal val="0"/>
          <c:showCatName val="0"/>
          <c:showSerName val="0"/>
          <c:showPercent val="0"/>
          <c:showBubbleSize val="0"/>
        </c:dLbls>
        <c:smooth val="0"/>
        <c:axId val="1826718864"/>
        <c:axId val="1826711248"/>
      </c:lineChart>
      <c:catAx>
        <c:axId val="1826718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26711248"/>
        <c:crosses val="autoZero"/>
        <c:auto val="1"/>
        <c:lblAlgn val="ctr"/>
        <c:lblOffset val="100"/>
        <c:noMultiLvlLbl val="0"/>
      </c:catAx>
      <c:valAx>
        <c:axId val="1826711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CR" sz="900"/>
                  <a:t>Número</a:t>
                </a:r>
                <a:r>
                  <a:rPr lang="es-CR" sz="900" baseline="0"/>
                  <a:t> de</a:t>
                </a:r>
                <a:r>
                  <a:rPr lang="es-CR" sz="900"/>
                  <a:t> casos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2671886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ysClr val="window" lastClr="FFFFFF"/>
      </a:solidFill>
      <a:round/>
    </a:ln>
    <a:effectLst/>
  </c:spPr>
  <c:txPr>
    <a:bodyPr/>
    <a:lstStyle/>
    <a:p>
      <a:pPr>
        <a:defRPr/>
      </a:pPr>
      <a:endParaRPr lang="es-CR"/>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0410738190233579E-2"/>
          <c:y val="0.16145020250455658"/>
          <c:w val="0.90227711828523671"/>
          <c:h val="0.62865358701994256"/>
        </c:manualLayout>
      </c:layout>
      <c:barChart>
        <c:barDir val="col"/>
        <c:grouping val="clustered"/>
        <c:varyColors val="0"/>
        <c:ser>
          <c:idx val="0"/>
          <c:order val="0"/>
          <c:tx>
            <c:v>Femenino</c:v>
          </c:tx>
          <c:spPr>
            <a:solidFill>
              <a:schemeClr val="accent3">
                <a:lumMod val="75000"/>
              </a:schemeClr>
            </a:solidFill>
            <a:ln>
              <a:noFill/>
            </a:ln>
            <a:effectLst/>
          </c:spPr>
          <c:invertIfNegative val="0"/>
          <c:dLbls>
            <c:dLbl>
              <c:idx val="0"/>
              <c:layout>
                <c:manualLayout>
                  <c:x val="-2.4829298572315332E-3"/>
                  <c:y val="8.8501672930479316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317-4881-B811-022DC60FED90}"/>
                </c:ext>
              </c:extLst>
            </c:dLbl>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Hoja2!$H$9:$H$16</c:f>
              <c:strCache>
                <c:ptCount val="8"/>
                <c:pt idx="0">
                  <c:v>0-9</c:v>
                </c:pt>
                <c:pt idx="1">
                  <c:v>10-19</c:v>
                </c:pt>
                <c:pt idx="2">
                  <c:v>20-29</c:v>
                </c:pt>
                <c:pt idx="3">
                  <c:v>30-39</c:v>
                </c:pt>
                <c:pt idx="4">
                  <c:v>40-49</c:v>
                </c:pt>
                <c:pt idx="5">
                  <c:v>50-59</c:v>
                </c:pt>
                <c:pt idx="6">
                  <c:v>60-69</c:v>
                </c:pt>
                <c:pt idx="7">
                  <c:v>70 y más</c:v>
                </c:pt>
              </c:strCache>
            </c:strRef>
          </c:cat>
          <c:val>
            <c:numRef>
              <c:f>Hoja2!$I$9:$I$16</c:f>
              <c:numCache>
                <c:formatCode>0.00</c:formatCode>
                <c:ptCount val="8"/>
                <c:pt idx="0">
                  <c:v>2.2746743605277837</c:v>
                </c:pt>
                <c:pt idx="1">
                  <c:v>3.862318790005177</c:v>
                </c:pt>
                <c:pt idx="2">
                  <c:v>4.2241567423602824</c:v>
                </c:pt>
                <c:pt idx="3">
                  <c:v>5.5588451189072936</c:v>
                </c:pt>
                <c:pt idx="4">
                  <c:v>4.1923592569639307</c:v>
                </c:pt>
                <c:pt idx="5">
                  <c:v>4.8277141635976424</c:v>
                </c:pt>
                <c:pt idx="6">
                  <c:v>4.7915596485532124</c:v>
                </c:pt>
                <c:pt idx="7">
                  <c:v>3.2882171257674617</c:v>
                </c:pt>
              </c:numCache>
            </c:numRef>
          </c:val>
          <c:extLst>
            <c:ext xmlns:c16="http://schemas.microsoft.com/office/drawing/2014/chart" uri="{C3380CC4-5D6E-409C-BE32-E72D297353CC}">
              <c16:uniqueId val="{00000001-7317-4881-B811-022DC60FED90}"/>
            </c:ext>
          </c:extLst>
        </c:ser>
        <c:ser>
          <c:idx val="1"/>
          <c:order val="1"/>
          <c:tx>
            <c:v>Masculino</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Hoja2!$H$9:$H$16</c:f>
              <c:strCache>
                <c:ptCount val="8"/>
                <c:pt idx="0">
                  <c:v>0-9</c:v>
                </c:pt>
                <c:pt idx="1">
                  <c:v>10-19</c:v>
                </c:pt>
                <c:pt idx="2">
                  <c:v>20-29</c:v>
                </c:pt>
                <c:pt idx="3">
                  <c:v>30-39</c:v>
                </c:pt>
                <c:pt idx="4">
                  <c:v>40-49</c:v>
                </c:pt>
                <c:pt idx="5">
                  <c:v>50-59</c:v>
                </c:pt>
                <c:pt idx="6">
                  <c:v>60-69</c:v>
                </c:pt>
                <c:pt idx="7">
                  <c:v>70 y más</c:v>
                </c:pt>
              </c:strCache>
            </c:strRef>
          </c:cat>
          <c:val>
            <c:numRef>
              <c:f>Hoja2!$J$9:$J$16</c:f>
              <c:numCache>
                <c:formatCode>0.00</c:formatCode>
                <c:ptCount val="8"/>
                <c:pt idx="0">
                  <c:v>3.0621031283411564</c:v>
                </c:pt>
                <c:pt idx="1">
                  <c:v>15.309534513866955</c:v>
                </c:pt>
                <c:pt idx="2">
                  <c:v>20.139647374630627</c:v>
                </c:pt>
                <c:pt idx="3">
                  <c:v>18.432707034151427</c:v>
                </c:pt>
                <c:pt idx="4">
                  <c:v>18.417631178402615</c:v>
                </c:pt>
                <c:pt idx="5">
                  <c:v>18.585659889677601</c:v>
                </c:pt>
                <c:pt idx="6">
                  <c:v>13.262951766684118</c:v>
                </c:pt>
                <c:pt idx="7">
                  <c:v>9.2446894546363616</c:v>
                </c:pt>
              </c:numCache>
            </c:numRef>
          </c:val>
          <c:extLst>
            <c:ext xmlns:c16="http://schemas.microsoft.com/office/drawing/2014/chart" uri="{C3380CC4-5D6E-409C-BE32-E72D297353CC}">
              <c16:uniqueId val="{00000002-7317-4881-B811-022DC60FED90}"/>
            </c:ext>
          </c:extLst>
        </c:ser>
        <c:dLbls>
          <c:showLegendKey val="0"/>
          <c:showVal val="0"/>
          <c:showCatName val="0"/>
          <c:showSerName val="0"/>
          <c:showPercent val="0"/>
          <c:showBubbleSize val="0"/>
        </c:dLbls>
        <c:gapWidth val="216"/>
        <c:overlap val="-5"/>
        <c:axId val="1826712336"/>
        <c:axId val="1826713424"/>
      </c:barChart>
      <c:catAx>
        <c:axId val="182671233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PA">
                    <a:solidFill>
                      <a:sysClr val="windowText" lastClr="000000"/>
                    </a:solidFill>
                  </a:rPr>
                  <a:t>Grupos</a:t>
                </a:r>
                <a:r>
                  <a:rPr lang="es-PA" baseline="0">
                    <a:solidFill>
                      <a:sysClr val="windowText" lastClr="000000"/>
                    </a:solidFill>
                  </a:rPr>
                  <a:t> de edad</a:t>
                </a:r>
                <a:endParaRPr lang="es-PA">
                  <a:solidFill>
                    <a:sysClr val="windowText" lastClr="000000"/>
                  </a:solidFill>
                </a:endParaRPr>
              </a:p>
            </c:rich>
          </c:tx>
          <c:layout>
            <c:manualLayout>
              <c:xMode val="edge"/>
              <c:yMode val="edge"/>
              <c:x val="0.41354448012434197"/>
              <c:y val="0.8999275887038376"/>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R"/>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26713424"/>
        <c:crosses val="autoZero"/>
        <c:auto val="1"/>
        <c:lblAlgn val="ctr"/>
        <c:lblOffset val="100"/>
        <c:noMultiLvlLbl val="0"/>
      </c:catAx>
      <c:valAx>
        <c:axId val="1826713424"/>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PA" sz="900" b="0">
                    <a:solidFill>
                      <a:sysClr val="windowText" lastClr="000000"/>
                    </a:solidFill>
                  </a:rPr>
                  <a:t>Tasa promedio por</a:t>
                </a:r>
                <a:r>
                  <a:rPr lang="es-PA" sz="900" b="0" baseline="0">
                    <a:solidFill>
                      <a:sysClr val="windowText" lastClr="000000"/>
                    </a:solidFill>
                  </a:rPr>
                  <a:t> 100.000 habitantes</a:t>
                </a:r>
              </a:p>
            </c:rich>
          </c:tx>
          <c:layout>
            <c:manualLayout>
              <c:xMode val="edge"/>
              <c:yMode val="edge"/>
              <c:x val="1.4260249554367201E-2"/>
              <c:y val="0.1143037974683544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R"/>
            </a:p>
          </c:txPr>
        </c:title>
        <c:numFmt formatCode="0.00" sourceLinked="1"/>
        <c:majorTickMark val="out"/>
        <c:minorTickMark val="none"/>
        <c:tickLblPos val="nextTo"/>
        <c:crossAx val="1826712336"/>
        <c:crosses val="autoZero"/>
        <c:crossBetween val="between"/>
      </c:valAx>
      <c:spPr>
        <a:noFill/>
        <a:ln>
          <a:noFill/>
        </a:ln>
        <a:effectLst/>
      </c:spPr>
    </c:plotArea>
    <c:legend>
      <c:legendPos val="t"/>
      <c:layout>
        <c:manualLayout>
          <c:xMode val="edge"/>
          <c:yMode val="edge"/>
          <c:x val="0.69632555288877673"/>
          <c:y val="5.4852320675105488E-2"/>
          <c:w val="0.26807379024146044"/>
          <c:h val="7.1203030000996717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s-CR"/>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0">
                <a:spAutoFit/>
              </a:bodyPr>
              <a:lstStyle/>
              <a:p>
                <a:pPr algn="ctr">
                  <a:defRPr sz="900" b="0" i="0" u="none" strike="noStrike" kern="1200" baseline="0">
                    <a:solidFill>
                      <a:sysClr val="windowText" lastClr="000000"/>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Hoja3!$E$12:$E$22</c:f>
              <c:strCache>
                <c:ptCount val="11"/>
                <c:pt idx="0">
                  <c:v>Los Chiles</c:v>
                </c:pt>
                <c:pt idx="1">
                  <c:v>Hojancha</c:v>
                </c:pt>
                <c:pt idx="2">
                  <c:v>Pérez Zeledón</c:v>
                </c:pt>
                <c:pt idx="3">
                  <c:v>Parrita</c:v>
                </c:pt>
                <c:pt idx="4">
                  <c:v>Guatuso</c:v>
                </c:pt>
                <c:pt idx="5">
                  <c:v>Matina</c:v>
                </c:pt>
                <c:pt idx="6">
                  <c:v>Talamanca</c:v>
                </c:pt>
                <c:pt idx="7">
                  <c:v>Golfito</c:v>
                </c:pt>
                <c:pt idx="8">
                  <c:v>Quepos</c:v>
                </c:pt>
                <c:pt idx="9">
                  <c:v>Corredores</c:v>
                </c:pt>
                <c:pt idx="10">
                  <c:v>Osa</c:v>
                </c:pt>
              </c:strCache>
            </c:strRef>
          </c:cat>
          <c:val>
            <c:numRef>
              <c:f>Hoja3!$F$12:$F$22</c:f>
              <c:numCache>
                <c:formatCode>0.0</c:formatCode>
                <c:ptCount val="11"/>
                <c:pt idx="0">
                  <c:v>23.656565148229575</c:v>
                </c:pt>
                <c:pt idx="1">
                  <c:v>25.560871282461534</c:v>
                </c:pt>
                <c:pt idx="2">
                  <c:v>28.685109225787972</c:v>
                </c:pt>
                <c:pt idx="3">
                  <c:v>29.843971513365016</c:v>
                </c:pt>
                <c:pt idx="4">
                  <c:v>30.639125812983433</c:v>
                </c:pt>
                <c:pt idx="5">
                  <c:v>35.88797904679155</c:v>
                </c:pt>
                <c:pt idx="6">
                  <c:v>40.606722251038107</c:v>
                </c:pt>
                <c:pt idx="7">
                  <c:v>41.440498761232632</c:v>
                </c:pt>
                <c:pt idx="8">
                  <c:v>44.616174286398021</c:v>
                </c:pt>
                <c:pt idx="9">
                  <c:v>70.032309699646888</c:v>
                </c:pt>
                <c:pt idx="10">
                  <c:v>93.188905773640357</c:v>
                </c:pt>
              </c:numCache>
            </c:numRef>
          </c:val>
          <c:extLst>
            <c:ext xmlns:c16="http://schemas.microsoft.com/office/drawing/2014/chart" uri="{C3380CC4-5D6E-409C-BE32-E72D297353CC}">
              <c16:uniqueId val="{00000000-413E-4704-AB1F-098C0B5F22E8}"/>
            </c:ext>
          </c:extLst>
        </c:ser>
        <c:dLbls>
          <c:dLblPos val="outEnd"/>
          <c:showLegendKey val="0"/>
          <c:showVal val="1"/>
          <c:showCatName val="0"/>
          <c:showSerName val="0"/>
          <c:showPercent val="0"/>
          <c:showBubbleSize val="0"/>
        </c:dLbls>
        <c:gapWidth val="50"/>
        <c:axId val="1826719408"/>
        <c:axId val="1826719952"/>
      </c:barChart>
      <c:catAx>
        <c:axId val="18267194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R"/>
          </a:p>
        </c:txPr>
        <c:crossAx val="1826719952"/>
        <c:crossesAt val="0"/>
        <c:auto val="1"/>
        <c:lblAlgn val="ctr"/>
        <c:lblOffset val="100"/>
        <c:noMultiLvlLbl val="0"/>
      </c:catAx>
      <c:valAx>
        <c:axId val="1826719952"/>
        <c:scaling>
          <c:orientation val="minMax"/>
          <c:max val="95"/>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PA">
                    <a:solidFill>
                      <a:sysClr val="windowText" lastClr="000000"/>
                    </a:solidFill>
                  </a:rPr>
                  <a:t>Tasa promedio por 100.000</a:t>
                </a:r>
                <a:r>
                  <a:rPr lang="es-PA" baseline="0">
                    <a:solidFill>
                      <a:sysClr val="windowText" lastClr="000000"/>
                    </a:solidFill>
                  </a:rPr>
                  <a:t> habitantes </a:t>
                </a:r>
                <a:endParaRPr lang="es-PA">
                  <a:solidFill>
                    <a:sysClr val="windowText" lastClr="000000"/>
                  </a:solidFill>
                </a:endParaRPr>
              </a:p>
            </c:rich>
          </c:tx>
          <c:layout>
            <c:manualLayout>
              <c:xMode val="edge"/>
              <c:yMode val="edge"/>
              <c:x val="0.31917987582422003"/>
              <c:y val="0.88476234855545199"/>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R"/>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R"/>
          </a:p>
        </c:txPr>
        <c:crossAx val="1826719408"/>
        <c:crosses val="autoZero"/>
        <c:crossBetween val="between"/>
        <c:majorUnit val="15"/>
      </c:valAx>
      <c:spPr>
        <a:noFill/>
        <a:ln w="12700">
          <a:solidFill>
            <a:schemeClr val="bg1"/>
          </a:solid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s-CR"/>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4162816613921536E-2"/>
          <c:y val="3.2204092340220904E-2"/>
          <c:w val="0.91462493735798278"/>
          <c:h val="0.79943268715234883"/>
        </c:manualLayout>
      </c:layout>
      <c:lineChart>
        <c:grouping val="standard"/>
        <c:varyColors val="0"/>
        <c:ser>
          <c:idx val="0"/>
          <c:order val="0"/>
          <c:tx>
            <c:strRef>
              <c:f>NACIONAL!$D$24</c:f>
              <c:strCache>
                <c:ptCount val="1"/>
                <c:pt idx="0">
                  <c:v>Casos</c:v>
                </c:pt>
              </c:strCache>
            </c:strRef>
          </c:tx>
          <c:spPr>
            <a:ln w="38100"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NACIONAL!$E$23:$I$23</c:f>
              <c:numCache>
                <c:formatCode>General</c:formatCode>
                <c:ptCount val="5"/>
                <c:pt idx="0">
                  <c:v>2014</c:v>
                </c:pt>
                <c:pt idx="1">
                  <c:v>2015</c:v>
                </c:pt>
                <c:pt idx="2">
                  <c:v>2016</c:v>
                </c:pt>
                <c:pt idx="3">
                  <c:v>2017</c:v>
                </c:pt>
                <c:pt idx="4">
                  <c:v>2018</c:v>
                </c:pt>
              </c:numCache>
            </c:numRef>
          </c:cat>
          <c:val>
            <c:numRef>
              <c:f>NACIONAL!$E$24:$I$24</c:f>
              <c:numCache>
                <c:formatCode>General</c:formatCode>
                <c:ptCount val="5"/>
                <c:pt idx="0">
                  <c:v>11</c:v>
                </c:pt>
                <c:pt idx="1">
                  <c:v>23</c:v>
                </c:pt>
                <c:pt idx="2">
                  <c:v>14</c:v>
                </c:pt>
                <c:pt idx="3">
                  <c:v>101</c:v>
                </c:pt>
                <c:pt idx="4">
                  <c:v>80</c:v>
                </c:pt>
              </c:numCache>
            </c:numRef>
          </c:val>
          <c:smooth val="0"/>
          <c:extLst>
            <c:ext xmlns:c16="http://schemas.microsoft.com/office/drawing/2014/chart" uri="{C3380CC4-5D6E-409C-BE32-E72D297353CC}">
              <c16:uniqueId val="{00000000-8F56-4B29-8804-48DF54C678F5}"/>
            </c:ext>
          </c:extLst>
        </c:ser>
        <c:ser>
          <c:idx val="1"/>
          <c:order val="1"/>
          <c:tx>
            <c:strRef>
              <c:f>NACIONAL!$D$25</c:f>
              <c:strCache>
                <c:ptCount val="1"/>
                <c:pt idx="0">
                  <c:v>Tasa</c:v>
                </c:pt>
              </c:strCache>
            </c:strRef>
          </c:tx>
          <c:spPr>
            <a:ln w="38100" cap="rnd">
              <a:solidFill>
                <a:schemeClr val="accent2"/>
              </a:solidFill>
              <a:round/>
            </a:ln>
            <a:effectLst/>
          </c:spPr>
          <c:marker>
            <c:symbol val="none"/>
          </c:marker>
          <c:dLbls>
            <c:dLbl>
              <c:idx val="0"/>
              <c:layout>
                <c:manualLayout>
                  <c:x val="-3.8260386338155622E-2"/>
                  <c:y val="-4.281730753629302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F56-4B29-8804-48DF54C678F5}"/>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NACIONAL!$E$23:$I$23</c:f>
              <c:numCache>
                <c:formatCode>General</c:formatCode>
                <c:ptCount val="5"/>
                <c:pt idx="0">
                  <c:v>2014</c:v>
                </c:pt>
                <c:pt idx="1">
                  <c:v>2015</c:v>
                </c:pt>
                <c:pt idx="2">
                  <c:v>2016</c:v>
                </c:pt>
                <c:pt idx="3">
                  <c:v>2017</c:v>
                </c:pt>
                <c:pt idx="4">
                  <c:v>2018</c:v>
                </c:pt>
              </c:numCache>
            </c:numRef>
          </c:cat>
          <c:val>
            <c:numRef>
              <c:f>NACIONAL!$E$25:$I$25</c:f>
              <c:numCache>
                <c:formatCode>General</c:formatCode>
                <c:ptCount val="5"/>
                <c:pt idx="0">
                  <c:v>0.2</c:v>
                </c:pt>
                <c:pt idx="1">
                  <c:v>0.5</c:v>
                </c:pt>
                <c:pt idx="2">
                  <c:v>0.3</c:v>
                </c:pt>
                <c:pt idx="3">
                  <c:v>2</c:v>
                </c:pt>
                <c:pt idx="4">
                  <c:v>1.6</c:v>
                </c:pt>
              </c:numCache>
            </c:numRef>
          </c:val>
          <c:smooth val="0"/>
          <c:extLst>
            <c:ext xmlns:c16="http://schemas.microsoft.com/office/drawing/2014/chart" uri="{C3380CC4-5D6E-409C-BE32-E72D297353CC}">
              <c16:uniqueId val="{00000002-8F56-4B29-8804-48DF54C678F5}"/>
            </c:ext>
          </c:extLst>
        </c:ser>
        <c:dLbls>
          <c:dLblPos val="t"/>
          <c:showLegendKey val="0"/>
          <c:showVal val="1"/>
          <c:showCatName val="0"/>
          <c:showSerName val="0"/>
          <c:showPercent val="0"/>
          <c:showBubbleSize val="0"/>
        </c:dLbls>
        <c:smooth val="0"/>
        <c:axId val="1826720496"/>
        <c:axId val="1826727024"/>
      </c:lineChart>
      <c:catAx>
        <c:axId val="182672049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cap="none" spc="0" normalizeH="0" baseline="0">
                <a:solidFill>
                  <a:schemeClr val="tx1"/>
                </a:solidFill>
                <a:latin typeface="+mn-lt"/>
                <a:ea typeface="+mn-ea"/>
                <a:cs typeface="+mn-cs"/>
              </a:defRPr>
            </a:pPr>
            <a:endParaRPr lang="es-CR"/>
          </a:p>
        </c:txPr>
        <c:crossAx val="1826727024"/>
        <c:crosses val="autoZero"/>
        <c:auto val="1"/>
        <c:lblAlgn val="ctr"/>
        <c:lblOffset val="100"/>
        <c:noMultiLvlLbl val="0"/>
      </c:catAx>
      <c:valAx>
        <c:axId val="1826727024"/>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r>
                  <a:rPr lang="en-US" sz="600" baseline="0">
                    <a:solidFill>
                      <a:sysClr val="windowText" lastClr="000000"/>
                    </a:solidFill>
                  </a:rPr>
                  <a:t>NUMEROS ABSOLUTOS Y TASAS POR 100.000 HABITANTES</a:t>
                </a:r>
              </a:p>
            </c:rich>
          </c:tx>
          <c:layout>
            <c:manualLayout>
              <c:xMode val="edge"/>
              <c:yMode val="edge"/>
              <c:x val="3.4778619106787763E-2"/>
              <c:y val="0.1089326153924607"/>
            </c:manualLayout>
          </c:layout>
          <c:overlay val="0"/>
          <c:spPr>
            <a:solidFill>
              <a:schemeClr val="bg1"/>
            </a:solidFill>
            <a:ln>
              <a:noFill/>
            </a:ln>
            <a:effectLst/>
          </c:spPr>
          <c:txPr>
            <a:bodyPr rot="-54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es-CR"/>
            </a:p>
          </c:txPr>
        </c:title>
        <c:numFmt formatCode="General" sourceLinked="1"/>
        <c:majorTickMark val="none"/>
        <c:minorTickMark val="none"/>
        <c:tickLblPos val="nextTo"/>
        <c:crossAx val="1826720496"/>
        <c:crosses val="autoZero"/>
        <c:crossBetween val="between"/>
      </c:valAx>
      <c:spPr>
        <a:noFill/>
        <a:ln>
          <a:noFill/>
        </a:ln>
        <a:effectLst/>
      </c:spPr>
    </c:plotArea>
    <c:legend>
      <c:legendPos val="t"/>
      <c:layout>
        <c:manualLayout>
          <c:xMode val="edge"/>
          <c:yMode val="edge"/>
          <c:x val="0.2871519220515919"/>
          <c:y val="5.2987930526935532E-2"/>
          <c:w val="0.32688766999155622"/>
          <c:h val="0.1136041759866858"/>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legend>
    <c:plotVisOnly val="1"/>
    <c:dispBlanksAs val="gap"/>
    <c:showDLblsOverMax val="0"/>
  </c:chart>
  <c:spPr>
    <a:solidFill>
      <a:schemeClr val="bg1"/>
    </a:solidFill>
    <a:ln w="9525" cap="flat" cmpd="sng" algn="ctr">
      <a:solidFill>
        <a:sysClr val="window" lastClr="FFFFFF"/>
      </a:solidFill>
      <a:round/>
    </a:ln>
    <a:effectLst/>
  </c:spPr>
  <c:txPr>
    <a:bodyPr/>
    <a:lstStyle/>
    <a:p>
      <a:pPr>
        <a:defRPr/>
      </a:pPr>
      <a:endParaRPr lang="es-CR"/>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Notificados</c:v>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'Gráfico num casos'!$B$5:$F$5</c:f>
              <c:numCache>
                <c:formatCode>General</c:formatCode>
                <c:ptCount val="5"/>
                <c:pt idx="0">
                  <c:v>2014</c:v>
                </c:pt>
                <c:pt idx="1">
                  <c:v>2015</c:v>
                </c:pt>
                <c:pt idx="2">
                  <c:v>2016</c:v>
                </c:pt>
                <c:pt idx="3">
                  <c:v>2017</c:v>
                </c:pt>
                <c:pt idx="4">
                  <c:v>2018</c:v>
                </c:pt>
              </c:numCache>
            </c:numRef>
          </c:cat>
          <c:val>
            <c:numRef>
              <c:f>'Gráfico num casos'!$B$6:$F$6</c:f>
              <c:numCache>
                <c:formatCode>General</c:formatCode>
                <c:ptCount val="5"/>
                <c:pt idx="0">
                  <c:v>349</c:v>
                </c:pt>
                <c:pt idx="1">
                  <c:v>198</c:v>
                </c:pt>
                <c:pt idx="2">
                  <c:v>252</c:v>
                </c:pt>
                <c:pt idx="3">
                  <c:v>357</c:v>
                </c:pt>
                <c:pt idx="4">
                  <c:v>254</c:v>
                </c:pt>
              </c:numCache>
            </c:numRef>
          </c:val>
          <c:smooth val="0"/>
          <c:extLst>
            <c:ext xmlns:c16="http://schemas.microsoft.com/office/drawing/2014/chart" uri="{C3380CC4-5D6E-409C-BE32-E72D297353CC}">
              <c16:uniqueId val="{00000000-7D2D-4D16-9DAD-0D4973448364}"/>
            </c:ext>
          </c:extLst>
        </c:ser>
        <c:ser>
          <c:idx val="1"/>
          <c:order val="1"/>
          <c:tx>
            <c:v>Confirmados por laboratorio</c:v>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'Gráfico num casos'!$B$5:$F$5</c:f>
              <c:numCache>
                <c:formatCode>General</c:formatCode>
                <c:ptCount val="5"/>
                <c:pt idx="0">
                  <c:v>2014</c:v>
                </c:pt>
                <c:pt idx="1">
                  <c:v>2015</c:v>
                </c:pt>
                <c:pt idx="2">
                  <c:v>2016</c:v>
                </c:pt>
                <c:pt idx="3">
                  <c:v>2017</c:v>
                </c:pt>
                <c:pt idx="4">
                  <c:v>2018</c:v>
                </c:pt>
              </c:numCache>
            </c:numRef>
          </c:cat>
          <c:val>
            <c:numRef>
              <c:f>'Gráfico num casos'!$B$7:$F$7</c:f>
              <c:numCache>
                <c:formatCode>General</c:formatCode>
                <c:ptCount val="5"/>
                <c:pt idx="0">
                  <c:v>31</c:v>
                </c:pt>
                <c:pt idx="1">
                  <c:v>18</c:v>
                </c:pt>
                <c:pt idx="2">
                  <c:v>27</c:v>
                </c:pt>
                <c:pt idx="3">
                  <c:v>35</c:v>
                </c:pt>
                <c:pt idx="4">
                  <c:v>36</c:v>
                </c:pt>
              </c:numCache>
            </c:numRef>
          </c:val>
          <c:smooth val="0"/>
          <c:extLst>
            <c:ext xmlns:c16="http://schemas.microsoft.com/office/drawing/2014/chart" uri="{C3380CC4-5D6E-409C-BE32-E72D297353CC}">
              <c16:uniqueId val="{00000001-7D2D-4D16-9DAD-0D4973448364}"/>
            </c:ext>
          </c:extLst>
        </c:ser>
        <c:dLbls>
          <c:dLblPos val="t"/>
          <c:showLegendKey val="0"/>
          <c:showVal val="1"/>
          <c:showCatName val="0"/>
          <c:showSerName val="0"/>
          <c:showPercent val="0"/>
          <c:showBubbleSize val="0"/>
        </c:dLbls>
        <c:smooth val="0"/>
        <c:axId val="1826721040"/>
        <c:axId val="1826721584"/>
      </c:lineChart>
      <c:catAx>
        <c:axId val="1826721040"/>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R"/>
          </a:p>
        </c:txPr>
        <c:crossAx val="1826721584"/>
        <c:crosses val="autoZero"/>
        <c:auto val="1"/>
        <c:lblAlgn val="ctr"/>
        <c:lblOffset val="100"/>
        <c:noMultiLvlLbl val="0"/>
      </c:catAx>
      <c:valAx>
        <c:axId val="1826721584"/>
        <c:scaling>
          <c:orientation val="minMax"/>
        </c:scaling>
        <c:delete val="1"/>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900">
                    <a:solidFill>
                      <a:schemeClr val="tx1"/>
                    </a:solidFill>
                  </a:rPr>
                  <a:t>Número de casos</a:t>
                </a:r>
              </a:p>
            </c:rich>
          </c:tx>
          <c:layout>
            <c:manualLayout>
              <c:xMode val="edge"/>
              <c:yMode val="edge"/>
              <c:x val="2.3171647915660336E-2"/>
              <c:y val="0.21124476807057196"/>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crossAx val="1826721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25015746858545"/>
          <c:y val="8.002133902373966E-2"/>
          <c:w val="0.71815223097112857"/>
          <c:h val="0.80301728754964574"/>
        </c:manualLayout>
      </c:layout>
      <c:barChart>
        <c:barDir val="col"/>
        <c:grouping val="clustered"/>
        <c:varyColors val="0"/>
        <c:ser>
          <c:idx val="0"/>
          <c:order val="0"/>
          <c:tx>
            <c:strRef>
              <c:f>'Cuadro y gráfico x año'!$C$20</c:f>
              <c:strCache>
                <c:ptCount val="1"/>
                <c:pt idx="0">
                  <c:v>Casos</c:v>
                </c:pt>
              </c:strCache>
            </c:strRef>
          </c:tx>
          <c:spPr>
            <a:solidFill>
              <a:schemeClr val="accent1"/>
            </a:solidFill>
            <a:ln>
              <a:noFill/>
            </a:ln>
            <a:effectLst/>
          </c:spPr>
          <c:invertIfNegative val="0"/>
          <c:dLbls>
            <c:dLbl>
              <c:idx val="0"/>
              <c:layout>
                <c:manualLayout>
                  <c:x val="0"/>
                  <c:y val="0.1481481481481481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812-4AFF-9C7E-FCD32BBC396A}"/>
                </c:ext>
              </c:extLst>
            </c:dLbl>
            <c:dLbl>
              <c:idx val="1"/>
              <c:layout>
                <c:manualLayout>
                  <c:x val="0"/>
                  <c:y val="0.1342592592592592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812-4AFF-9C7E-FCD32BBC396A}"/>
                </c:ext>
              </c:extLst>
            </c:dLbl>
            <c:dLbl>
              <c:idx val="2"/>
              <c:layout>
                <c:manualLayout>
                  <c:x val="-5.0925337632079971E-17"/>
                  <c:y val="0.138888888888888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812-4AFF-9C7E-FCD32BBC396A}"/>
                </c:ext>
              </c:extLst>
            </c:dLbl>
            <c:dLbl>
              <c:idx val="3"/>
              <c:layout>
                <c:manualLayout>
                  <c:x val="-1.0185067526415994E-16"/>
                  <c:y val="0.1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812-4AFF-9C7E-FCD32BBC396A}"/>
                </c:ext>
              </c:extLst>
            </c:dLbl>
            <c:dLbl>
              <c:idx val="4"/>
              <c:layout>
                <c:manualLayout>
                  <c:x val="5.5555555555555558E-3"/>
                  <c:y val="0.1574074074074074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812-4AFF-9C7E-FCD32BBC396A}"/>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'Cuadro y gráfico x año'!$D$18:$H$19</c:f>
              <c:strCache>
                <c:ptCount val="5"/>
                <c:pt idx="0">
                  <c:v>2014</c:v>
                </c:pt>
                <c:pt idx="1">
                  <c:v>2015</c:v>
                </c:pt>
                <c:pt idx="2">
                  <c:v>2016</c:v>
                </c:pt>
                <c:pt idx="3">
                  <c:v>2017</c:v>
                </c:pt>
                <c:pt idx="4">
                  <c:v>2018</c:v>
                </c:pt>
              </c:strCache>
            </c:strRef>
          </c:cat>
          <c:val>
            <c:numRef>
              <c:f>'Cuadro y gráfico x año'!$D$20:$H$20</c:f>
              <c:numCache>
                <c:formatCode>General</c:formatCode>
                <c:ptCount val="5"/>
                <c:pt idx="0">
                  <c:v>4980</c:v>
                </c:pt>
                <c:pt idx="1">
                  <c:v>3369</c:v>
                </c:pt>
                <c:pt idx="2">
                  <c:v>3325</c:v>
                </c:pt>
                <c:pt idx="3">
                  <c:v>2450</c:v>
                </c:pt>
                <c:pt idx="4">
                  <c:v>3587</c:v>
                </c:pt>
              </c:numCache>
            </c:numRef>
          </c:val>
          <c:extLst>
            <c:ext xmlns:c16="http://schemas.microsoft.com/office/drawing/2014/chart" uri="{C3380CC4-5D6E-409C-BE32-E72D297353CC}">
              <c16:uniqueId val="{00000005-6812-4AFF-9C7E-FCD32BBC396A}"/>
            </c:ext>
          </c:extLst>
        </c:ser>
        <c:dLbls>
          <c:showLegendKey val="0"/>
          <c:showVal val="1"/>
          <c:showCatName val="0"/>
          <c:showSerName val="0"/>
          <c:showPercent val="0"/>
          <c:showBubbleSize val="0"/>
        </c:dLbls>
        <c:gapWidth val="219"/>
        <c:overlap val="-27"/>
        <c:axId val="1826729200"/>
        <c:axId val="1826728656"/>
      </c:barChart>
      <c:lineChart>
        <c:grouping val="standard"/>
        <c:varyColors val="0"/>
        <c:ser>
          <c:idx val="1"/>
          <c:order val="1"/>
          <c:tx>
            <c:strRef>
              <c:f>'Cuadro y gráfico x año'!$C$21</c:f>
              <c:strCache>
                <c:ptCount val="1"/>
                <c:pt idx="0">
                  <c:v>Tasa</c:v>
                </c:pt>
              </c:strCache>
            </c:strRef>
          </c:tx>
          <c:spPr>
            <a:ln w="28575" cap="rnd">
              <a:solidFill>
                <a:schemeClr val="accent2"/>
              </a:solidFill>
              <a:round/>
            </a:ln>
            <a:effectLst/>
          </c:spPr>
          <c:marker>
            <c:symbol val="none"/>
          </c:marker>
          <c:dLbls>
            <c:dLbl>
              <c:idx val="0"/>
              <c:layout>
                <c:manualLayout>
                  <c:x val="-2.222222222222222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812-4AFF-9C7E-FCD32BBC396A}"/>
                </c:ext>
              </c:extLst>
            </c:dLbl>
            <c:dLbl>
              <c:idx val="1"/>
              <c:layout>
                <c:manualLayout>
                  <c:x val="-1.6666666666666718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812-4AFF-9C7E-FCD32BBC396A}"/>
                </c:ext>
              </c:extLst>
            </c:dLbl>
            <c:dLbl>
              <c:idx val="2"/>
              <c:layout>
                <c:manualLayout>
                  <c:x val="-1.9444444444444445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812-4AFF-9C7E-FCD32BBC396A}"/>
                </c:ext>
              </c:extLst>
            </c:dLbl>
            <c:dLbl>
              <c:idx val="3"/>
              <c:layout>
                <c:manualLayout>
                  <c:x val="-4.1666666666666664E-2"/>
                  <c:y val="-3.24074074074074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812-4AFF-9C7E-FCD32BBC396A}"/>
                </c:ext>
              </c:extLst>
            </c:dLbl>
            <c:dLbl>
              <c:idx val="4"/>
              <c:layout>
                <c:manualLayout>
                  <c:x val="-4.7222222222222221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6812-4AFF-9C7E-FCD32BBC396A}"/>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'Cuadro y gráfico x año'!$D$18:$H$19</c:f>
              <c:strCache>
                <c:ptCount val="5"/>
                <c:pt idx="0">
                  <c:v>2014</c:v>
                </c:pt>
                <c:pt idx="1">
                  <c:v>2015</c:v>
                </c:pt>
                <c:pt idx="2">
                  <c:v>2016</c:v>
                </c:pt>
                <c:pt idx="3">
                  <c:v>2017</c:v>
                </c:pt>
                <c:pt idx="4">
                  <c:v>2018</c:v>
                </c:pt>
              </c:strCache>
            </c:strRef>
          </c:cat>
          <c:val>
            <c:numRef>
              <c:f>'Cuadro y gráfico x año'!$D$21:$H$21</c:f>
              <c:numCache>
                <c:formatCode>0.0</c:formatCode>
                <c:ptCount val="5"/>
                <c:pt idx="0">
                  <c:v>104.3</c:v>
                </c:pt>
                <c:pt idx="1">
                  <c:v>69.719406807668591</c:v>
                </c:pt>
                <c:pt idx="2">
                  <c:v>67.990737718930177</c:v>
                </c:pt>
                <c:pt idx="3">
                  <c:v>49.520149748932837</c:v>
                </c:pt>
                <c:pt idx="4">
                  <c:v>71.691350249720543</c:v>
                </c:pt>
              </c:numCache>
            </c:numRef>
          </c:val>
          <c:smooth val="0"/>
          <c:extLst>
            <c:ext xmlns:c16="http://schemas.microsoft.com/office/drawing/2014/chart" uri="{C3380CC4-5D6E-409C-BE32-E72D297353CC}">
              <c16:uniqueId val="{0000000B-6812-4AFF-9C7E-FCD32BBC396A}"/>
            </c:ext>
          </c:extLst>
        </c:ser>
        <c:dLbls>
          <c:showLegendKey val="0"/>
          <c:showVal val="1"/>
          <c:showCatName val="0"/>
          <c:showSerName val="0"/>
          <c:showPercent val="0"/>
          <c:showBubbleSize val="0"/>
        </c:dLbls>
        <c:marker val="1"/>
        <c:smooth val="0"/>
        <c:axId val="1826727568"/>
        <c:axId val="1826728112"/>
      </c:lineChart>
      <c:catAx>
        <c:axId val="1826727568"/>
        <c:scaling>
          <c:orientation val="minMax"/>
        </c:scaling>
        <c:delete val="0"/>
        <c:axPos val="b"/>
        <c:numFmt formatCode="General" sourceLinked="1"/>
        <c:majorTickMark val="none"/>
        <c:minorTickMark val="none"/>
        <c:tickLblPos val="nextTo"/>
        <c:spPr>
          <a:noFill/>
          <a:ln w="9525" cap="flat" cmpd="sng" algn="ctr">
            <a:solidFill>
              <a:schemeClr val="accent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26728112"/>
        <c:crosses val="autoZero"/>
        <c:auto val="1"/>
        <c:lblAlgn val="ctr"/>
        <c:lblOffset val="100"/>
        <c:noMultiLvlLbl val="0"/>
      </c:catAx>
      <c:valAx>
        <c:axId val="1826728112"/>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sz="660" baseline="0">
                    <a:solidFill>
                      <a:sysClr val="windowText" lastClr="000000"/>
                    </a:solidFill>
                    <a:latin typeface="Arial" panose="020B0604020202020204" pitchFamily="34" charset="0"/>
                    <a:cs typeface="Arial" panose="020B0604020202020204" pitchFamily="34" charset="0"/>
                  </a:rPr>
                  <a:t>Tasa por 100 000 habitantes</a:t>
                </a:r>
              </a:p>
            </c:rich>
          </c:tx>
          <c:layout>
            <c:manualLayout>
              <c:xMode val="edge"/>
              <c:yMode val="edge"/>
              <c:x val="1.9444467251812501E-2"/>
              <c:y val="0.2423814854564891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R"/>
            </a:p>
          </c:txPr>
        </c:title>
        <c:numFmt formatCode="0" sourceLinked="0"/>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crossAx val="1826727568"/>
        <c:crosses val="autoZero"/>
        <c:crossBetween val="between"/>
      </c:valAx>
      <c:valAx>
        <c:axId val="1826728656"/>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b="0">
                    <a:solidFill>
                      <a:schemeClr val="tx1"/>
                    </a:solidFill>
                  </a:rPr>
                  <a:t>Casos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out"/>
        <c:minorTickMark val="none"/>
        <c:tickLblPos val="nextTo"/>
        <c:spPr>
          <a:noFill/>
          <a:ln>
            <a:solidFill>
              <a:schemeClr val="accent1"/>
            </a:solid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crossAx val="1826729200"/>
        <c:crosses val="max"/>
        <c:crossBetween val="between"/>
      </c:valAx>
      <c:catAx>
        <c:axId val="1826729200"/>
        <c:scaling>
          <c:orientation val="minMax"/>
        </c:scaling>
        <c:delete val="1"/>
        <c:axPos val="b"/>
        <c:numFmt formatCode="General" sourceLinked="1"/>
        <c:majorTickMark val="out"/>
        <c:minorTickMark val="none"/>
        <c:tickLblPos val="nextTo"/>
        <c:crossAx val="1826728656"/>
        <c:crosses val="autoZero"/>
        <c:auto val="1"/>
        <c:lblAlgn val="ctr"/>
        <c:lblOffset val="100"/>
        <c:noMultiLvlLbl val="0"/>
      </c:catAx>
      <c:spPr>
        <a:noFill/>
        <a:ln>
          <a:noFill/>
        </a:ln>
        <a:effectLst/>
      </c:spPr>
    </c:plotArea>
    <c:legend>
      <c:legendPos val="b"/>
      <c:layout>
        <c:manualLayout>
          <c:xMode val="edge"/>
          <c:yMode val="edge"/>
          <c:x val="0.3728521434820648"/>
          <c:y val="4.8868474773986564E-2"/>
          <c:w val="0.29318438320209972"/>
          <c:h val="7.6131525226013422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a:pPr>
      <a:endParaRPr lang="es-CR"/>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47442569365447"/>
          <c:y val="6.618073669583871E-2"/>
          <c:w val="0.7820341166222915"/>
          <c:h val="0.71132302523541158"/>
        </c:manualLayout>
      </c:layout>
      <c:lineChart>
        <c:grouping val="standard"/>
        <c:varyColors val="0"/>
        <c:ser>
          <c:idx val="0"/>
          <c:order val="0"/>
          <c:tx>
            <c:strRef>
              <c:f>'[Hoja de cálculo en C  Users aguer Documents Memoria Instucional 2019 Memoria 2017 DRA SALAZAR Version 24 noviembre 2017.doc]Hoja1'!$B$3</c:f>
              <c:strCache>
                <c:ptCount val="1"/>
                <c:pt idx="0">
                  <c:v>Casos</c:v>
                </c:pt>
              </c:strCache>
            </c:strRef>
          </c:tx>
          <c:marker>
            <c:symbol val="none"/>
          </c:marker>
          <c:dLbls>
            <c:dLbl>
              <c:idx val="0"/>
              <c:layout>
                <c:manualLayout>
                  <c:x val="3.8929434422754652E-3"/>
                  <c:y val="-1.86263073858930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34D-4931-BF5C-39B2140EC820}"/>
                </c:ext>
              </c:extLst>
            </c:dLbl>
            <c:dLbl>
              <c:idx val="1"/>
              <c:layout>
                <c:manualLayout>
                  <c:x val="5.839415163413202E-3"/>
                  <c:y val="-2.48350765145241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34D-4931-BF5C-39B2140EC820}"/>
                </c:ext>
              </c:extLst>
            </c:dLbl>
            <c:dLbl>
              <c:idx val="2"/>
              <c:layout>
                <c:manualLayout>
                  <c:x val="5.839415163413202E-3"/>
                  <c:y val="-1.55219228215775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34D-4931-BF5C-39B2140EC820}"/>
                </c:ext>
              </c:extLst>
            </c:dLbl>
            <c:dLbl>
              <c:idx val="3"/>
              <c:layout>
                <c:manualLayout>
                  <c:x val="-5.839415163413202E-3"/>
                  <c:y val="-2.79394610788396E-2"/>
                </c:manualLayout>
              </c:layout>
              <c:tx>
                <c:rich>
                  <a:bodyPr/>
                  <a:lstStyle/>
                  <a:p>
                    <a:r>
                      <a:rPr lang="en-US"/>
                      <a:t>317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34D-4931-BF5C-39B2140EC820}"/>
                </c:ext>
              </c:extLst>
            </c:dLbl>
            <c:spPr>
              <a:noFill/>
              <a:ln>
                <a:noFill/>
              </a:ln>
              <a:effectLst/>
            </c:spPr>
            <c:txPr>
              <a:bodyPr wrap="square" lIns="38100" tIns="19050" rIns="38100" bIns="19050" anchor="ctr">
                <a:spAutoFit/>
              </a:bodyPr>
              <a:lstStyle/>
              <a:p>
                <a:pPr>
                  <a:defRPr sz="900"/>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[1]Hoja1!$C$2:$G$2</c:f>
              <c:numCache>
                <c:formatCode>General</c:formatCode>
                <c:ptCount val="5"/>
                <c:pt idx="0">
                  <c:v>2014</c:v>
                </c:pt>
                <c:pt idx="1">
                  <c:v>2015</c:v>
                </c:pt>
                <c:pt idx="2">
                  <c:v>2016</c:v>
                </c:pt>
                <c:pt idx="3">
                  <c:v>2017</c:v>
                </c:pt>
                <c:pt idx="4">
                  <c:v>2018</c:v>
                </c:pt>
              </c:numCache>
            </c:numRef>
          </c:cat>
          <c:val>
            <c:numRef>
              <c:f>[1]Hoja1!$C$3:$G$3</c:f>
              <c:numCache>
                <c:formatCode>General</c:formatCode>
                <c:ptCount val="5"/>
                <c:pt idx="0">
                  <c:v>473</c:v>
                </c:pt>
                <c:pt idx="1">
                  <c:v>426</c:v>
                </c:pt>
                <c:pt idx="2">
                  <c:v>371</c:v>
                </c:pt>
                <c:pt idx="3">
                  <c:v>354</c:v>
                </c:pt>
                <c:pt idx="4">
                  <c:v>381</c:v>
                </c:pt>
              </c:numCache>
            </c:numRef>
          </c:val>
          <c:smooth val="0"/>
          <c:extLst>
            <c:ext xmlns:c16="http://schemas.microsoft.com/office/drawing/2014/chart" uri="{C3380CC4-5D6E-409C-BE32-E72D297353CC}">
              <c16:uniqueId val="{00000004-B34D-4931-BF5C-39B2140EC820}"/>
            </c:ext>
          </c:extLst>
        </c:ser>
        <c:dLbls>
          <c:showLegendKey val="0"/>
          <c:showVal val="1"/>
          <c:showCatName val="0"/>
          <c:showSerName val="0"/>
          <c:showPercent val="0"/>
          <c:showBubbleSize val="0"/>
        </c:dLbls>
        <c:marker val="1"/>
        <c:smooth val="0"/>
        <c:axId val="1831500352"/>
        <c:axId val="1831515584"/>
      </c:lineChart>
      <c:lineChart>
        <c:grouping val="standard"/>
        <c:varyColors val="0"/>
        <c:ser>
          <c:idx val="1"/>
          <c:order val="1"/>
          <c:tx>
            <c:strRef>
              <c:f>'[Hoja de cálculo en C  Users aguer Documents Memoria Instucional 2019 Memoria 2017 DRA SALAZAR Version 24 noviembre 2017.doc]Hoja1'!$B$4</c:f>
              <c:strCache>
                <c:ptCount val="1"/>
                <c:pt idx="0">
                  <c:v>Tasas</c:v>
                </c:pt>
              </c:strCache>
            </c:strRef>
          </c:tx>
          <c:marker>
            <c:symbol val="none"/>
          </c:marker>
          <c:dLbls>
            <c:dLbl>
              <c:idx val="0"/>
              <c:layout>
                <c:manualLayout>
                  <c:x val="-9.7323586056886624E-3"/>
                  <c:y val="3.1043845643155193E-2"/>
                </c:manualLayout>
              </c:layout>
              <c:tx>
                <c:rich>
                  <a:bodyPr/>
                  <a:lstStyle/>
                  <a:p>
                    <a:r>
                      <a:rPr lang="en-US"/>
                      <a:t>9,9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34D-4931-BF5C-39B2140EC820}"/>
                </c:ext>
              </c:extLst>
            </c:dLbl>
            <c:dLbl>
              <c:idx val="1"/>
              <c:layout>
                <c:manualLayout>
                  <c:x val="-5.839415163413202E-3"/>
                  <c:y val="4.9670153029048279E-2"/>
                </c:manualLayout>
              </c:layout>
              <c:tx>
                <c:rich>
                  <a:bodyPr/>
                  <a:lstStyle/>
                  <a:p>
                    <a:r>
                      <a:rPr lang="en-US"/>
                      <a:t>8,8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34D-4931-BF5C-39B2140EC820}"/>
                </c:ext>
              </c:extLst>
            </c:dLbl>
            <c:dLbl>
              <c:idx val="2"/>
              <c:layout>
                <c:manualLayout>
                  <c:x val="0"/>
                  <c:y val="5.8983306721994776E-2"/>
                </c:manualLayout>
              </c:layout>
              <c:tx>
                <c:rich>
                  <a:bodyPr/>
                  <a:lstStyle/>
                  <a:p>
                    <a:r>
                      <a:rPr lang="en-US"/>
                      <a:t>7,6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34D-4931-BF5C-39B2140EC820}"/>
                </c:ext>
              </c:extLst>
            </c:dLbl>
            <c:dLbl>
              <c:idx val="3"/>
              <c:layout>
                <c:manualLayout>
                  <c:x val="-9.7323586056886624E-3"/>
                  <c:y val="3.4148230207470674E-2"/>
                </c:manualLayout>
              </c:layout>
              <c:tx>
                <c:rich>
                  <a:bodyPr/>
                  <a:lstStyle/>
                  <a:p>
                    <a:r>
                      <a:rPr lang="en-US"/>
                      <a:t>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34D-4931-BF5C-39B2140EC820}"/>
                </c:ext>
              </c:extLst>
            </c:dLbl>
            <c:spPr>
              <a:noFill/>
              <a:ln>
                <a:noFill/>
              </a:ln>
              <a:effectLst/>
            </c:spPr>
            <c:txPr>
              <a:bodyPr wrap="square" lIns="38100" tIns="19050" rIns="38100" bIns="19050" anchor="ctr">
                <a:spAutoFit/>
              </a:bodyPr>
              <a:lstStyle/>
              <a:p>
                <a:pPr>
                  <a:defRPr sz="900"/>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[1]Hoja1!$C$2:$G$2</c:f>
              <c:numCache>
                <c:formatCode>General</c:formatCode>
                <c:ptCount val="5"/>
                <c:pt idx="0">
                  <c:v>2014</c:v>
                </c:pt>
                <c:pt idx="1">
                  <c:v>2015</c:v>
                </c:pt>
                <c:pt idx="2">
                  <c:v>2016</c:v>
                </c:pt>
                <c:pt idx="3">
                  <c:v>2017</c:v>
                </c:pt>
                <c:pt idx="4">
                  <c:v>2018</c:v>
                </c:pt>
              </c:numCache>
            </c:numRef>
          </c:cat>
          <c:val>
            <c:numRef>
              <c:f>[1]Hoja1!$C$4:$G$4</c:f>
              <c:numCache>
                <c:formatCode>General</c:formatCode>
                <c:ptCount val="5"/>
                <c:pt idx="0">
                  <c:v>9.9096628431011258</c:v>
                </c:pt>
                <c:pt idx="1">
                  <c:v>8.8158110121896165</c:v>
                </c:pt>
                <c:pt idx="2">
                  <c:v>7.5863349454806306</c:v>
                </c:pt>
                <c:pt idx="3">
                  <c:v>7.2</c:v>
                </c:pt>
                <c:pt idx="4">
                  <c:v>7.6</c:v>
                </c:pt>
              </c:numCache>
            </c:numRef>
          </c:val>
          <c:smooth val="0"/>
          <c:extLst>
            <c:ext xmlns:c16="http://schemas.microsoft.com/office/drawing/2014/chart" uri="{C3380CC4-5D6E-409C-BE32-E72D297353CC}">
              <c16:uniqueId val="{00000009-B34D-4931-BF5C-39B2140EC820}"/>
            </c:ext>
          </c:extLst>
        </c:ser>
        <c:dLbls>
          <c:showLegendKey val="0"/>
          <c:showVal val="0"/>
          <c:showCatName val="0"/>
          <c:showSerName val="0"/>
          <c:showPercent val="0"/>
          <c:showBubbleSize val="0"/>
        </c:dLbls>
        <c:marker val="1"/>
        <c:smooth val="0"/>
        <c:axId val="1831522112"/>
        <c:axId val="1831521568"/>
      </c:lineChart>
      <c:catAx>
        <c:axId val="1831500352"/>
        <c:scaling>
          <c:orientation val="minMax"/>
        </c:scaling>
        <c:delete val="0"/>
        <c:axPos val="b"/>
        <c:numFmt formatCode="General" sourceLinked="1"/>
        <c:majorTickMark val="none"/>
        <c:minorTickMark val="none"/>
        <c:tickLblPos val="nextTo"/>
        <c:txPr>
          <a:bodyPr/>
          <a:lstStyle/>
          <a:p>
            <a:pPr>
              <a:defRPr>
                <a:solidFill>
                  <a:sysClr val="windowText" lastClr="000000"/>
                </a:solidFill>
              </a:defRPr>
            </a:pPr>
            <a:endParaRPr lang="es-CR"/>
          </a:p>
        </c:txPr>
        <c:crossAx val="1831515584"/>
        <c:crosses val="autoZero"/>
        <c:auto val="1"/>
        <c:lblAlgn val="ctr"/>
        <c:lblOffset val="100"/>
        <c:noMultiLvlLbl val="0"/>
      </c:catAx>
      <c:valAx>
        <c:axId val="1831515584"/>
        <c:scaling>
          <c:orientation val="minMax"/>
        </c:scaling>
        <c:delete val="0"/>
        <c:axPos val="l"/>
        <c:title>
          <c:tx>
            <c:rich>
              <a:bodyPr rot="0" vert="wordArtVert"/>
              <a:lstStyle/>
              <a:p>
                <a:pPr>
                  <a:defRPr sz="900" baseline="0">
                    <a:latin typeface="+mj-lt"/>
                  </a:defRPr>
                </a:pPr>
                <a:r>
                  <a:rPr lang="en-US" sz="900" baseline="0">
                    <a:latin typeface="+mj-lt"/>
                  </a:rPr>
                  <a:t>Casos</a:t>
                </a:r>
              </a:p>
            </c:rich>
          </c:tx>
          <c:layout>
            <c:manualLayout>
              <c:xMode val="edge"/>
              <c:yMode val="edge"/>
              <c:x val="1.2851628840512585E-2"/>
              <c:y val="0.18277091747295426"/>
            </c:manualLayout>
          </c:layout>
          <c:overlay val="0"/>
        </c:title>
        <c:numFmt formatCode="General" sourceLinked="1"/>
        <c:majorTickMark val="none"/>
        <c:minorTickMark val="none"/>
        <c:tickLblPos val="nextTo"/>
        <c:txPr>
          <a:bodyPr/>
          <a:lstStyle/>
          <a:p>
            <a:pPr>
              <a:defRPr sz="900"/>
            </a:pPr>
            <a:endParaRPr lang="es-CR"/>
          </a:p>
        </c:txPr>
        <c:crossAx val="1831500352"/>
        <c:crosses val="autoZero"/>
        <c:crossBetween val="between"/>
      </c:valAx>
      <c:valAx>
        <c:axId val="1831521568"/>
        <c:scaling>
          <c:orientation val="minMax"/>
        </c:scaling>
        <c:delete val="0"/>
        <c:axPos val="r"/>
        <c:title>
          <c:tx>
            <c:rich>
              <a:bodyPr rot="0" vert="wordArtVert"/>
              <a:lstStyle/>
              <a:p>
                <a:pPr>
                  <a:defRPr sz="900" baseline="0"/>
                </a:pPr>
                <a:r>
                  <a:rPr lang="en-US" sz="900" baseline="0"/>
                  <a:t>Tasas</a:t>
                </a:r>
              </a:p>
            </c:rich>
          </c:tx>
          <c:layout>
            <c:manualLayout>
              <c:xMode val="edge"/>
              <c:yMode val="edge"/>
              <c:x val="0.95873986339942796"/>
              <c:y val="0.1644911913686066"/>
            </c:manualLayout>
          </c:layout>
          <c:overlay val="0"/>
        </c:title>
        <c:numFmt formatCode="General" sourceLinked="1"/>
        <c:majorTickMark val="out"/>
        <c:minorTickMark val="none"/>
        <c:tickLblPos val="nextTo"/>
        <c:txPr>
          <a:bodyPr/>
          <a:lstStyle/>
          <a:p>
            <a:pPr>
              <a:defRPr sz="800"/>
            </a:pPr>
            <a:endParaRPr lang="es-CR"/>
          </a:p>
        </c:txPr>
        <c:crossAx val="1831522112"/>
        <c:crosses val="max"/>
        <c:crossBetween val="between"/>
      </c:valAx>
      <c:catAx>
        <c:axId val="1831522112"/>
        <c:scaling>
          <c:orientation val="minMax"/>
        </c:scaling>
        <c:delete val="1"/>
        <c:axPos val="b"/>
        <c:numFmt formatCode="General" sourceLinked="1"/>
        <c:majorTickMark val="out"/>
        <c:minorTickMark val="none"/>
        <c:tickLblPos val="none"/>
        <c:crossAx val="1831521568"/>
        <c:crosses val="autoZero"/>
        <c:auto val="1"/>
        <c:lblAlgn val="ctr"/>
        <c:lblOffset val="100"/>
        <c:noMultiLvlLbl val="0"/>
      </c:catAx>
    </c:plotArea>
    <c:legend>
      <c:legendPos val="r"/>
      <c:layout>
        <c:manualLayout>
          <c:xMode val="edge"/>
          <c:yMode val="edge"/>
          <c:x val="0.30291103035197525"/>
          <c:y val="0.87725444395442687"/>
          <c:w val="0.34844639612356149"/>
          <c:h val="0.12187504237247097"/>
        </c:manualLayout>
      </c:layout>
      <c:overlay val="0"/>
      <c:txPr>
        <a:bodyPr/>
        <a:lstStyle/>
        <a:p>
          <a:pPr>
            <a:defRPr sz="1000"/>
          </a:pPr>
          <a:endParaRPr lang="es-CR"/>
        </a:p>
      </c:txPr>
    </c:legend>
    <c:plotVisOnly val="1"/>
    <c:dispBlanksAs val="gap"/>
    <c:showDLblsOverMax val="0"/>
  </c:chart>
  <c:spPr>
    <a:ln>
      <a:solidFill>
        <a:schemeClr val="bg1"/>
      </a:solidFill>
    </a:ln>
  </c:sp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gráfico pais'!$C$3</c:f>
              <c:strCache>
                <c:ptCount val="1"/>
                <c:pt idx="0">
                  <c:v>Casos</c:v>
                </c:pt>
              </c:strCache>
            </c:strRef>
          </c:tx>
          <c:spPr>
            <a:solidFill>
              <a:schemeClr val="accent1"/>
            </a:solidFill>
            <a:ln>
              <a:noFill/>
            </a:ln>
            <a:effectLst/>
          </c:spPr>
          <c:invertIfNegative val="0"/>
          <c:dLbls>
            <c:dLbl>
              <c:idx val="0"/>
              <c:layout>
                <c:manualLayout>
                  <c:x val="-2.7777004906189063E-3"/>
                  <c:y val="0.4863280575405252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8A3-460C-8646-234DD29C36C4}"/>
                </c:ext>
              </c:extLst>
            </c:dLbl>
            <c:dLbl>
              <c:idx val="1"/>
              <c:layout>
                <c:manualLayout>
                  <c:x val="-4.3187565483036018E-17"/>
                  <c:y val="0.3376169783756283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8A3-460C-8646-234DD29C36C4}"/>
                </c:ext>
              </c:extLst>
            </c:dLbl>
            <c:dLbl>
              <c:idx val="2"/>
              <c:layout>
                <c:manualLayout>
                  <c:x val="-2.7777004906188846E-3"/>
                  <c:y val="0.2892872312122810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8A3-460C-8646-234DD29C36C4}"/>
                </c:ext>
              </c:extLst>
            </c:dLbl>
            <c:dLbl>
              <c:idx val="3"/>
              <c:layout>
                <c:manualLayout>
                  <c:x val="-2.7777004906188846E-3"/>
                  <c:y val="0.324463591428664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8A3-460C-8646-234DD29C36C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'Cuadro y gráfico pais'!$D$2:$G$2</c:f>
              <c:numCache>
                <c:formatCode>General</c:formatCode>
                <c:ptCount val="4"/>
                <c:pt idx="0">
                  <c:v>2014</c:v>
                </c:pt>
                <c:pt idx="1">
                  <c:v>2015</c:v>
                </c:pt>
                <c:pt idx="2">
                  <c:v>2016</c:v>
                </c:pt>
                <c:pt idx="3">
                  <c:v>2017</c:v>
                </c:pt>
              </c:numCache>
            </c:numRef>
          </c:cat>
          <c:val>
            <c:numRef>
              <c:f>'Cuadro y gráfico pais'!$D$3:$G$3</c:f>
              <c:numCache>
                <c:formatCode>General</c:formatCode>
                <c:ptCount val="4"/>
                <c:pt idx="0">
                  <c:v>84</c:v>
                </c:pt>
                <c:pt idx="1">
                  <c:v>64</c:v>
                </c:pt>
                <c:pt idx="2">
                  <c:v>56</c:v>
                </c:pt>
                <c:pt idx="3">
                  <c:v>64</c:v>
                </c:pt>
              </c:numCache>
            </c:numRef>
          </c:val>
          <c:extLst>
            <c:ext xmlns:c16="http://schemas.microsoft.com/office/drawing/2014/chart" uri="{C3380CC4-5D6E-409C-BE32-E72D297353CC}">
              <c16:uniqueId val="{00000004-D8A3-460C-8646-234DD29C36C4}"/>
            </c:ext>
          </c:extLst>
        </c:ser>
        <c:dLbls>
          <c:showLegendKey val="0"/>
          <c:showVal val="1"/>
          <c:showCatName val="0"/>
          <c:showSerName val="0"/>
          <c:showPercent val="0"/>
          <c:showBubbleSize val="0"/>
        </c:dLbls>
        <c:gapWidth val="219"/>
        <c:overlap val="-27"/>
        <c:axId val="1831525920"/>
        <c:axId val="1831517216"/>
      </c:barChart>
      <c:lineChart>
        <c:grouping val="standard"/>
        <c:varyColors val="0"/>
        <c:ser>
          <c:idx val="1"/>
          <c:order val="1"/>
          <c:tx>
            <c:strRef>
              <c:f>'Cuadro y gráfico pais'!$C$4</c:f>
              <c:strCache>
                <c:ptCount val="1"/>
                <c:pt idx="0">
                  <c:v>Tasa</c:v>
                </c:pt>
              </c:strCache>
            </c:strRef>
          </c:tx>
          <c:spPr>
            <a:ln w="28575" cap="rnd">
              <a:solidFill>
                <a:schemeClr val="accent2"/>
              </a:solidFill>
              <a:round/>
            </a:ln>
            <a:effectLst/>
          </c:spPr>
          <c:marker>
            <c:symbol val="none"/>
          </c:marker>
          <c:dLbls>
            <c:dLbl>
              <c:idx val="0"/>
              <c:layout>
                <c:manualLayout>
                  <c:x val="-4.1666666666666664E-2"/>
                  <c:y val="4.6296296296296294E-3"/>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8A3-460C-8646-234DD29C36C4}"/>
                </c:ext>
              </c:extLst>
            </c:dLbl>
            <c:dLbl>
              <c:idx val="1"/>
              <c:layout>
                <c:manualLayout>
                  <c:x val="-3.653320720069006E-2"/>
                  <c:y val="-3.8897731144602828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8A3-460C-8646-234DD29C36C4}"/>
                </c:ext>
              </c:extLst>
            </c:dLbl>
            <c:dLbl>
              <c:idx val="2"/>
              <c:layout>
                <c:manualLayout>
                  <c:x val="-3.6533207200690108E-2"/>
                  <c:y val="-2.9638411381150025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8A3-460C-8646-234DD29C36C4}"/>
                </c:ext>
              </c:extLst>
            </c:dLbl>
            <c:dLbl>
              <c:idx val="3"/>
              <c:layout>
                <c:manualLayout>
                  <c:x val="-2.8621908127208655E-2"/>
                  <c:y val="-3.5566093657379963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8A3-460C-8646-234DD29C36C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'Cuadro y gráfico pais'!$D$2:$G$2</c:f>
              <c:numCache>
                <c:formatCode>General</c:formatCode>
                <c:ptCount val="4"/>
                <c:pt idx="0">
                  <c:v>2014</c:v>
                </c:pt>
                <c:pt idx="1">
                  <c:v>2015</c:v>
                </c:pt>
                <c:pt idx="2">
                  <c:v>2016</c:v>
                </c:pt>
                <c:pt idx="3">
                  <c:v>2017</c:v>
                </c:pt>
              </c:numCache>
            </c:numRef>
          </c:cat>
          <c:val>
            <c:numRef>
              <c:f>'Cuadro y gráfico pais'!$D$4:$G$4</c:f>
              <c:numCache>
                <c:formatCode>General</c:formatCode>
                <c:ptCount val="4"/>
                <c:pt idx="0">
                  <c:v>1.8</c:v>
                </c:pt>
                <c:pt idx="1">
                  <c:v>1.3</c:v>
                </c:pt>
                <c:pt idx="2">
                  <c:v>1.1000000000000001</c:v>
                </c:pt>
                <c:pt idx="3">
                  <c:v>1.3</c:v>
                </c:pt>
              </c:numCache>
            </c:numRef>
          </c:val>
          <c:smooth val="0"/>
          <c:extLst>
            <c:ext xmlns:c16="http://schemas.microsoft.com/office/drawing/2014/chart" uri="{C3380CC4-5D6E-409C-BE32-E72D297353CC}">
              <c16:uniqueId val="{00000009-D8A3-460C-8646-234DD29C36C4}"/>
            </c:ext>
          </c:extLst>
        </c:ser>
        <c:dLbls>
          <c:showLegendKey val="0"/>
          <c:showVal val="1"/>
          <c:showCatName val="0"/>
          <c:showSerName val="0"/>
          <c:showPercent val="0"/>
          <c:showBubbleSize val="0"/>
        </c:dLbls>
        <c:marker val="1"/>
        <c:smooth val="0"/>
        <c:axId val="1831510144"/>
        <c:axId val="1831502528"/>
      </c:lineChart>
      <c:catAx>
        <c:axId val="1831525920"/>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31517216"/>
        <c:crosses val="autoZero"/>
        <c:auto val="1"/>
        <c:lblAlgn val="ctr"/>
        <c:lblOffset val="100"/>
        <c:noMultiLvlLbl val="0"/>
      </c:catAx>
      <c:valAx>
        <c:axId val="1831517216"/>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sz="900" baseline="0">
                    <a:solidFill>
                      <a:sysClr val="windowText" lastClr="000000"/>
                    </a:solidFill>
                  </a:rPr>
                  <a:t>Casos</a:t>
                </a:r>
              </a:p>
            </c:rich>
          </c:tx>
          <c:layout>
            <c:manualLayout>
              <c:xMode val="edge"/>
              <c:yMode val="edge"/>
              <c:x val="5.5555555555555558E-3"/>
              <c:y val="0.30209827938174394"/>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crossAx val="1831525920"/>
        <c:crosses val="autoZero"/>
        <c:crossBetween val="between"/>
      </c:valAx>
      <c:valAx>
        <c:axId val="1831502528"/>
        <c:scaling>
          <c:orientation val="minMax"/>
        </c:scaling>
        <c:delete val="0"/>
        <c:axPos val="r"/>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sz="800" baseline="0">
                    <a:solidFill>
                      <a:sysClr val="windowText" lastClr="000000"/>
                    </a:solidFill>
                  </a:rPr>
                  <a:t>Tasa por 100 000 habitantes</a:t>
                </a:r>
              </a:p>
            </c:rich>
          </c:tx>
          <c:layout>
            <c:manualLayout>
              <c:xMode val="edge"/>
              <c:yMode val="edge"/>
              <c:x val="0.95898600174978132"/>
              <c:y val="0.142746427529892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R"/>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31510144"/>
        <c:crosses val="max"/>
        <c:crossBetween val="between"/>
      </c:valAx>
      <c:catAx>
        <c:axId val="1831510144"/>
        <c:scaling>
          <c:orientation val="minMax"/>
        </c:scaling>
        <c:delete val="1"/>
        <c:axPos val="b"/>
        <c:numFmt formatCode="General" sourceLinked="1"/>
        <c:majorTickMark val="out"/>
        <c:minorTickMark val="none"/>
        <c:tickLblPos val="nextTo"/>
        <c:crossAx val="183150252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'GE prom'!$N$12</c:f>
              <c:strCache>
                <c:ptCount val="1"/>
                <c:pt idx="0">
                  <c:v>Total</c:v>
                </c:pt>
              </c:strCache>
            </c:strRef>
          </c:tx>
          <c:spPr>
            <a:solidFill>
              <a:schemeClr val="accent1"/>
            </a:solidFill>
            <a:ln>
              <a:noFill/>
            </a:ln>
            <a:effectLst/>
          </c:spPr>
          <c:invertIfNegative val="0"/>
          <c:cat>
            <c:strRef>
              <c:f>'GE prom'!$M$13:$M$29</c:f>
              <c:strCache>
                <c:ptCount val="17"/>
                <c:pt idx="0">
                  <c:v>&lt; 1 año</c:v>
                </c:pt>
                <c:pt idx="1">
                  <c:v> 1 a 4</c:v>
                </c:pt>
                <c:pt idx="2">
                  <c:v>5 a 9</c:v>
                </c:pt>
                <c:pt idx="3">
                  <c:v>10 a 14</c:v>
                </c:pt>
                <c:pt idx="4">
                  <c:v>15 a 19</c:v>
                </c:pt>
                <c:pt idx="5">
                  <c:v>20 a 24</c:v>
                </c:pt>
                <c:pt idx="6">
                  <c:v>25 a 29</c:v>
                </c:pt>
                <c:pt idx="7">
                  <c:v>30 a 34</c:v>
                </c:pt>
                <c:pt idx="8">
                  <c:v>35 a 39</c:v>
                </c:pt>
                <c:pt idx="9">
                  <c:v>40 a 44</c:v>
                </c:pt>
                <c:pt idx="10">
                  <c:v>45 a 49</c:v>
                </c:pt>
                <c:pt idx="11">
                  <c:v>50 a 54</c:v>
                </c:pt>
                <c:pt idx="12">
                  <c:v>55 a 59</c:v>
                </c:pt>
                <c:pt idx="13">
                  <c:v>60 a 64</c:v>
                </c:pt>
                <c:pt idx="14">
                  <c:v>65 a 69</c:v>
                </c:pt>
                <c:pt idx="15">
                  <c:v>70 a 74</c:v>
                </c:pt>
                <c:pt idx="16">
                  <c:v>&gt; 75 años</c:v>
                </c:pt>
              </c:strCache>
            </c:strRef>
          </c:cat>
          <c:val>
            <c:numRef>
              <c:f>'GE prom'!$N$13:$N$29</c:f>
            </c:numRef>
          </c:val>
          <c:extLst>
            <c:ext xmlns:c16="http://schemas.microsoft.com/office/drawing/2014/chart" uri="{C3380CC4-5D6E-409C-BE32-E72D297353CC}">
              <c16:uniqueId val="{00000000-D891-42A1-AFE2-F1C48FEEEF55}"/>
            </c:ext>
          </c:extLst>
        </c:ser>
        <c:ser>
          <c:idx val="1"/>
          <c:order val="1"/>
          <c:tx>
            <c:strRef>
              <c:f>'GE prom'!$O$12</c:f>
              <c:strCache>
                <c:ptCount val="1"/>
                <c:pt idx="0">
                  <c:v>Mujeres</c:v>
                </c:pt>
              </c:strCache>
            </c:strRef>
          </c:tx>
          <c:spPr>
            <a:solidFill>
              <a:schemeClr val="accent2"/>
            </a:solidFill>
            <a:ln>
              <a:noFill/>
            </a:ln>
            <a:effectLst/>
          </c:spPr>
          <c:invertIfNegative val="0"/>
          <c:cat>
            <c:strRef>
              <c:f>'GE prom'!$M$13:$M$29</c:f>
              <c:strCache>
                <c:ptCount val="17"/>
                <c:pt idx="0">
                  <c:v>&lt; 1 año</c:v>
                </c:pt>
                <c:pt idx="1">
                  <c:v> 1 a 4</c:v>
                </c:pt>
                <c:pt idx="2">
                  <c:v>5 a 9</c:v>
                </c:pt>
                <c:pt idx="3">
                  <c:v>10 a 14</c:v>
                </c:pt>
                <c:pt idx="4">
                  <c:v>15 a 19</c:v>
                </c:pt>
                <c:pt idx="5">
                  <c:v>20 a 24</c:v>
                </c:pt>
                <c:pt idx="6">
                  <c:v>25 a 29</c:v>
                </c:pt>
                <c:pt idx="7">
                  <c:v>30 a 34</c:v>
                </c:pt>
                <c:pt idx="8">
                  <c:v>35 a 39</c:v>
                </c:pt>
                <c:pt idx="9">
                  <c:v>40 a 44</c:v>
                </c:pt>
                <c:pt idx="10">
                  <c:v>45 a 49</c:v>
                </c:pt>
                <c:pt idx="11">
                  <c:v>50 a 54</c:v>
                </c:pt>
                <c:pt idx="12">
                  <c:v>55 a 59</c:v>
                </c:pt>
                <c:pt idx="13">
                  <c:v>60 a 64</c:v>
                </c:pt>
                <c:pt idx="14">
                  <c:v>65 a 69</c:v>
                </c:pt>
                <c:pt idx="15">
                  <c:v>70 a 74</c:v>
                </c:pt>
                <c:pt idx="16">
                  <c:v>&gt; 75 años</c:v>
                </c:pt>
              </c:strCache>
            </c:strRef>
          </c:cat>
          <c:val>
            <c:numRef>
              <c:f>'GE prom'!$O$13:$O$29</c:f>
              <c:numCache>
                <c:formatCode>0.0</c:formatCode>
                <c:ptCount val="17"/>
                <c:pt idx="0">
                  <c:v>0</c:v>
                </c:pt>
                <c:pt idx="1">
                  <c:v>1.9313694827913732</c:v>
                </c:pt>
                <c:pt idx="2">
                  <c:v>0.9964284141802997</c:v>
                </c:pt>
                <c:pt idx="3">
                  <c:v>5.2738768417037232</c:v>
                </c:pt>
                <c:pt idx="4">
                  <c:v>27.357200977364368</c:v>
                </c:pt>
                <c:pt idx="5">
                  <c:v>90.243523605810992</c:v>
                </c:pt>
                <c:pt idx="6">
                  <c:v>160.46048289404254</c:v>
                </c:pt>
                <c:pt idx="7">
                  <c:v>270.25679928474995</c:v>
                </c:pt>
                <c:pt idx="8">
                  <c:v>417.48149159192883</c:v>
                </c:pt>
                <c:pt idx="9">
                  <c:v>566.45818358546467</c:v>
                </c:pt>
                <c:pt idx="10">
                  <c:v>722.24608195621522</c:v>
                </c:pt>
                <c:pt idx="11">
                  <c:v>708.45536920312497</c:v>
                </c:pt>
                <c:pt idx="12">
                  <c:v>623.53121782435664</c:v>
                </c:pt>
                <c:pt idx="13">
                  <c:v>633.3769121668164</c:v>
                </c:pt>
                <c:pt idx="14">
                  <c:v>731.1705183657939</c:v>
                </c:pt>
                <c:pt idx="15">
                  <c:v>681.56015877410744</c:v>
                </c:pt>
                <c:pt idx="16">
                  <c:v>637.86465591803392</c:v>
                </c:pt>
              </c:numCache>
            </c:numRef>
          </c:val>
          <c:extLst>
            <c:ext xmlns:c16="http://schemas.microsoft.com/office/drawing/2014/chart" uri="{C3380CC4-5D6E-409C-BE32-E72D297353CC}">
              <c16:uniqueId val="{00000001-D891-42A1-AFE2-F1C48FEEEF55}"/>
            </c:ext>
          </c:extLst>
        </c:ser>
        <c:ser>
          <c:idx val="2"/>
          <c:order val="2"/>
          <c:tx>
            <c:strRef>
              <c:f>'GE prom'!$P$12</c:f>
              <c:strCache>
                <c:ptCount val="1"/>
                <c:pt idx="0">
                  <c:v>Hombres</c:v>
                </c:pt>
              </c:strCache>
            </c:strRef>
          </c:tx>
          <c:spPr>
            <a:solidFill>
              <a:srgbClr val="A365D1"/>
            </a:solidFill>
            <a:ln>
              <a:noFill/>
            </a:ln>
            <a:effectLst/>
          </c:spPr>
          <c:invertIfNegative val="0"/>
          <c:cat>
            <c:strRef>
              <c:f>'GE prom'!$M$13:$M$29</c:f>
              <c:strCache>
                <c:ptCount val="17"/>
                <c:pt idx="0">
                  <c:v>&lt; 1 año</c:v>
                </c:pt>
                <c:pt idx="1">
                  <c:v> 1 a 4</c:v>
                </c:pt>
                <c:pt idx="2">
                  <c:v>5 a 9</c:v>
                </c:pt>
                <c:pt idx="3">
                  <c:v>10 a 14</c:v>
                </c:pt>
                <c:pt idx="4">
                  <c:v>15 a 19</c:v>
                </c:pt>
                <c:pt idx="5">
                  <c:v>20 a 24</c:v>
                </c:pt>
                <c:pt idx="6">
                  <c:v>25 a 29</c:v>
                </c:pt>
                <c:pt idx="7">
                  <c:v>30 a 34</c:v>
                </c:pt>
                <c:pt idx="8">
                  <c:v>35 a 39</c:v>
                </c:pt>
                <c:pt idx="9">
                  <c:v>40 a 44</c:v>
                </c:pt>
                <c:pt idx="10">
                  <c:v>45 a 49</c:v>
                </c:pt>
                <c:pt idx="11">
                  <c:v>50 a 54</c:v>
                </c:pt>
                <c:pt idx="12">
                  <c:v>55 a 59</c:v>
                </c:pt>
                <c:pt idx="13">
                  <c:v>60 a 64</c:v>
                </c:pt>
                <c:pt idx="14">
                  <c:v>65 a 69</c:v>
                </c:pt>
                <c:pt idx="15">
                  <c:v>70 a 74</c:v>
                </c:pt>
                <c:pt idx="16">
                  <c:v>&gt; 75 años</c:v>
                </c:pt>
              </c:strCache>
            </c:strRef>
          </c:cat>
          <c:val>
            <c:numRef>
              <c:f>'GE prom'!$P$13:$P$29</c:f>
              <c:numCache>
                <c:formatCode>0.0</c:formatCode>
                <c:ptCount val="17"/>
                <c:pt idx="0">
                  <c:v>0.5391852910252608</c:v>
                </c:pt>
                <c:pt idx="1">
                  <c:v>0.39435805081960751</c:v>
                </c:pt>
                <c:pt idx="2">
                  <c:v>0.84077154397267129</c:v>
                </c:pt>
                <c:pt idx="3">
                  <c:v>5.334352882366888</c:v>
                </c:pt>
                <c:pt idx="4">
                  <c:v>37.870458163601917</c:v>
                </c:pt>
                <c:pt idx="5">
                  <c:v>84.031956933008729</c:v>
                </c:pt>
                <c:pt idx="6">
                  <c:v>136.70202520913944</c:v>
                </c:pt>
                <c:pt idx="7">
                  <c:v>206.8084769566041</c:v>
                </c:pt>
                <c:pt idx="8">
                  <c:v>305.30234892784563</c:v>
                </c:pt>
                <c:pt idx="9">
                  <c:v>404.88093319796917</c:v>
                </c:pt>
                <c:pt idx="10">
                  <c:v>509.76682752465166</c:v>
                </c:pt>
                <c:pt idx="11">
                  <c:v>599.92305238895347</c:v>
                </c:pt>
                <c:pt idx="12">
                  <c:v>655.54279688506381</c:v>
                </c:pt>
                <c:pt idx="13">
                  <c:v>756.70791984335597</c:v>
                </c:pt>
                <c:pt idx="14">
                  <c:v>901.16166819201771</c:v>
                </c:pt>
                <c:pt idx="15">
                  <c:v>837.4319187651181</c:v>
                </c:pt>
                <c:pt idx="16">
                  <c:v>731.19660978420347</c:v>
                </c:pt>
              </c:numCache>
            </c:numRef>
          </c:val>
          <c:extLst>
            <c:ext xmlns:c16="http://schemas.microsoft.com/office/drawing/2014/chart" uri="{C3380CC4-5D6E-409C-BE32-E72D297353CC}">
              <c16:uniqueId val="{00000002-D891-42A1-AFE2-F1C48FEEEF55}"/>
            </c:ext>
          </c:extLst>
        </c:ser>
        <c:dLbls>
          <c:showLegendKey val="0"/>
          <c:showVal val="0"/>
          <c:showCatName val="0"/>
          <c:showSerName val="0"/>
          <c:showPercent val="0"/>
          <c:showBubbleSize val="0"/>
        </c:dLbls>
        <c:gapWidth val="150"/>
        <c:overlap val="100"/>
        <c:axId val="1707990880"/>
        <c:axId val="1707995232"/>
      </c:barChart>
      <c:catAx>
        <c:axId val="17079908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707995232"/>
        <c:crosses val="autoZero"/>
        <c:auto val="1"/>
        <c:lblAlgn val="ctr"/>
        <c:lblOffset val="100"/>
        <c:noMultiLvlLbl val="0"/>
      </c:catAx>
      <c:valAx>
        <c:axId val="170799523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r>
                  <a:rPr lang="es-PA" sz="800">
                    <a:solidFill>
                      <a:sysClr val="windowText" lastClr="000000"/>
                    </a:solidFill>
                  </a:rPr>
                  <a:t>Tasa</a:t>
                </a:r>
                <a:r>
                  <a:rPr lang="es-PA" sz="800" baseline="0">
                    <a:solidFill>
                      <a:sysClr val="windowText" lastClr="000000"/>
                    </a:solidFill>
                  </a:rPr>
                  <a:t> promedio por 100.000 habitantes </a:t>
                </a:r>
                <a:endParaRPr lang="es-PA" sz="800">
                  <a:solidFill>
                    <a:sysClr val="windowText" lastClr="000000"/>
                  </a:solidFill>
                </a:endParaRP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707990880"/>
        <c:crosses val="autoZero"/>
        <c:crossBetween val="between"/>
      </c:valAx>
      <c:spPr>
        <a:noFill/>
        <a:ln>
          <a:noFill/>
        </a:ln>
        <a:effectLst/>
      </c:spPr>
    </c:plotArea>
    <c:legend>
      <c:legendPos val="t"/>
      <c:legendEntry>
        <c:idx val="0"/>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legendEntry>
      <c:legendEntry>
        <c:idx val="1"/>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'Gráfico por Provincia tasas'!$G$5</c:f>
              <c:strCache>
                <c:ptCount val="1"/>
                <c:pt idx="0">
                  <c:v>Tasa</c:v>
                </c:pt>
              </c:strCache>
            </c:strRef>
          </c:tx>
          <c:spPr>
            <a:solidFill>
              <a:schemeClr val="accent1"/>
            </a:solidFill>
            <a:ln>
              <a:noFill/>
            </a:ln>
            <a:effectLst/>
          </c:spPr>
          <c:invertIfNegative val="0"/>
          <c:dLbls>
            <c:delete val="1"/>
          </c:dLbls>
          <c:cat>
            <c:strRef>
              <c:f>'Gráfico por Provincia tasas'!$F$6:$F$13</c:f>
              <c:strCache>
                <c:ptCount val="8"/>
                <c:pt idx="0">
                  <c:v>San Mateo</c:v>
                </c:pt>
                <c:pt idx="1">
                  <c:v>La Cruz</c:v>
                </c:pt>
                <c:pt idx="2">
                  <c:v>Golfito</c:v>
                </c:pt>
                <c:pt idx="3">
                  <c:v>Guatuso</c:v>
                </c:pt>
                <c:pt idx="4">
                  <c:v>Esparza</c:v>
                </c:pt>
                <c:pt idx="5">
                  <c:v>Orotina</c:v>
                </c:pt>
                <c:pt idx="6">
                  <c:v>Matina</c:v>
                </c:pt>
                <c:pt idx="7">
                  <c:v>Bagaces</c:v>
                </c:pt>
              </c:strCache>
            </c:strRef>
          </c:cat>
          <c:val>
            <c:numRef>
              <c:f>'Gráfico por Provincia tasas'!$G$6:$G$13</c:f>
              <c:numCache>
                <c:formatCode>0.0</c:formatCode>
                <c:ptCount val="8"/>
                <c:pt idx="0">
                  <c:v>14.427932477276007</c:v>
                </c:pt>
                <c:pt idx="1">
                  <c:v>8.3046132126396213</c:v>
                </c:pt>
                <c:pt idx="2">
                  <c:v>7.0561670900366922</c:v>
                </c:pt>
                <c:pt idx="3">
                  <c:v>5.4629882545752526</c:v>
                </c:pt>
                <c:pt idx="4">
                  <c:v>5.4724053957917205</c:v>
                </c:pt>
                <c:pt idx="5">
                  <c:v>4.5250916331055704</c:v>
                </c:pt>
                <c:pt idx="6">
                  <c:v>4.5928443485050288</c:v>
                </c:pt>
                <c:pt idx="7">
                  <c:v>4.4095599259193934</c:v>
                </c:pt>
              </c:numCache>
            </c:numRef>
          </c:val>
          <c:extLst>
            <c:ext xmlns:c16="http://schemas.microsoft.com/office/drawing/2014/chart" uri="{C3380CC4-5D6E-409C-BE32-E72D297353CC}">
              <c16:uniqueId val="{00000000-AB60-4F3E-8427-E5BFF6C1D9D0}"/>
            </c:ext>
          </c:extLst>
        </c:ser>
        <c:dLbls>
          <c:dLblPos val="outEnd"/>
          <c:showLegendKey val="0"/>
          <c:showVal val="1"/>
          <c:showCatName val="0"/>
          <c:showSerName val="0"/>
          <c:showPercent val="0"/>
          <c:showBubbleSize val="0"/>
        </c:dLbls>
        <c:gapWidth val="182"/>
        <c:axId val="1831505248"/>
        <c:axId val="1831516128"/>
      </c:barChart>
      <c:catAx>
        <c:axId val="18315052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50" b="0" i="0" u="none" strike="noStrike" kern="1200" baseline="0">
                <a:solidFill>
                  <a:sysClr val="windowText" lastClr="000000"/>
                </a:solidFill>
                <a:latin typeface="+mn-lt"/>
                <a:ea typeface="+mn-ea"/>
                <a:cs typeface="+mn-cs"/>
              </a:defRPr>
            </a:pPr>
            <a:endParaRPr lang="es-CR"/>
          </a:p>
        </c:txPr>
        <c:crossAx val="1831516128"/>
        <c:crosses val="autoZero"/>
        <c:auto val="1"/>
        <c:lblAlgn val="ctr"/>
        <c:lblOffset val="100"/>
        <c:noMultiLvlLbl val="0"/>
      </c:catAx>
      <c:valAx>
        <c:axId val="18315161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r>
                  <a:rPr lang="en-US" sz="800">
                    <a:solidFill>
                      <a:sysClr val="windowText" lastClr="000000"/>
                    </a:solidFill>
                  </a:rPr>
                  <a:t>Tasa</a:t>
                </a:r>
                <a:r>
                  <a:rPr lang="en-US" sz="800" baseline="0">
                    <a:solidFill>
                      <a:sysClr val="windowText" lastClr="000000"/>
                    </a:solidFill>
                  </a:rPr>
                  <a:t> por 100 000 habitantes</a:t>
                </a:r>
                <a:endParaRPr lang="en-US" sz="800">
                  <a:solidFill>
                    <a:sysClr val="windowText" lastClr="000000"/>
                  </a:solidFill>
                </a:endParaRP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31505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s-CR"/>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Hoja1!$B$7</c:f>
              <c:strCache>
                <c:ptCount val="1"/>
                <c:pt idx="0">
                  <c:v>Casos</c:v>
                </c:pt>
              </c:strCache>
            </c:strRef>
          </c:tx>
          <c:spPr>
            <a:solidFill>
              <a:schemeClr val="accent1"/>
            </a:solidFill>
            <a:ln>
              <a:noFill/>
            </a:ln>
            <a:effectLst/>
          </c:spPr>
          <c:invertIfNegative val="0"/>
          <c:dLbls>
            <c:dLbl>
              <c:idx val="0"/>
              <c:layout>
                <c:manualLayout>
                  <c:x val="0"/>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247-406A-BB35-CADFE537BBBD}"/>
                </c:ext>
              </c:extLst>
            </c:dLbl>
            <c:dLbl>
              <c:idx val="1"/>
              <c:layout>
                <c:manualLayout>
                  <c:x val="5.5555555555555046E-3"/>
                  <c:y val="-3.70370370370371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247-406A-BB35-CADFE537BBBD}"/>
                </c:ext>
              </c:extLst>
            </c:dLbl>
            <c:dLbl>
              <c:idx val="2"/>
              <c:layout>
                <c:manualLayout>
                  <c:x val="-1.0185067526415994E-16"/>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247-406A-BB35-CADFE537BBBD}"/>
                </c:ext>
              </c:extLst>
            </c:dLbl>
            <c:dLbl>
              <c:idx val="3"/>
              <c:layout>
                <c:manualLayout>
                  <c:x val="0"/>
                  <c:y val="-1.38888888888889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247-406A-BB35-CADFE537BBBD}"/>
                </c:ext>
              </c:extLst>
            </c:dLbl>
            <c:dLbl>
              <c:idx val="4"/>
              <c:layout>
                <c:manualLayout>
                  <c:x val="0"/>
                  <c:y val="-1.38888888888889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247-406A-BB35-CADFE537BBBD}"/>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Hoja1!$C$6:$G$6</c:f>
              <c:numCache>
                <c:formatCode>General</c:formatCode>
                <c:ptCount val="5"/>
                <c:pt idx="0">
                  <c:v>2014</c:v>
                </c:pt>
                <c:pt idx="1">
                  <c:v>2015</c:v>
                </c:pt>
                <c:pt idx="2">
                  <c:v>2016</c:v>
                </c:pt>
                <c:pt idx="3">
                  <c:v>2017</c:v>
                </c:pt>
                <c:pt idx="4">
                  <c:v>2018</c:v>
                </c:pt>
              </c:numCache>
            </c:numRef>
          </c:cat>
          <c:val>
            <c:numRef>
              <c:f>Hoja1!$C$7:$G$7</c:f>
              <c:numCache>
                <c:formatCode>General</c:formatCode>
                <c:ptCount val="5"/>
                <c:pt idx="0">
                  <c:v>2203</c:v>
                </c:pt>
                <c:pt idx="1">
                  <c:v>2008</c:v>
                </c:pt>
                <c:pt idx="2">
                  <c:v>2736</c:v>
                </c:pt>
                <c:pt idx="3">
                  <c:v>3833</c:v>
                </c:pt>
                <c:pt idx="4">
                  <c:v>4876</c:v>
                </c:pt>
              </c:numCache>
            </c:numRef>
          </c:val>
          <c:extLst>
            <c:ext xmlns:c16="http://schemas.microsoft.com/office/drawing/2014/chart" uri="{C3380CC4-5D6E-409C-BE32-E72D297353CC}">
              <c16:uniqueId val="{00000005-5247-406A-BB35-CADFE537BBBD}"/>
            </c:ext>
          </c:extLst>
        </c:ser>
        <c:dLbls>
          <c:showLegendKey val="0"/>
          <c:showVal val="1"/>
          <c:showCatName val="0"/>
          <c:showSerName val="0"/>
          <c:showPercent val="0"/>
          <c:showBubbleSize val="0"/>
        </c:dLbls>
        <c:gapWidth val="219"/>
        <c:overlap val="-27"/>
        <c:axId val="1831512320"/>
        <c:axId val="1831506880"/>
      </c:barChart>
      <c:lineChart>
        <c:grouping val="standard"/>
        <c:varyColors val="0"/>
        <c:ser>
          <c:idx val="1"/>
          <c:order val="1"/>
          <c:tx>
            <c:strRef>
              <c:f>Hoja1!$B$8</c:f>
              <c:strCache>
                <c:ptCount val="1"/>
                <c:pt idx="0">
                  <c:v>Tasa</c:v>
                </c:pt>
              </c:strCache>
            </c:strRef>
          </c:tx>
          <c:spPr>
            <a:ln w="28575" cap="rnd">
              <a:solidFill>
                <a:schemeClr val="accent2"/>
              </a:solidFill>
              <a:round/>
            </a:ln>
            <a:effectLst/>
          </c:spPr>
          <c:marker>
            <c:symbol val="none"/>
          </c:marker>
          <c:dLbls>
            <c:dLbl>
              <c:idx val="0"/>
              <c:layout>
                <c:manualLayout>
                  <c:x val="-3.6877394636015345E-2"/>
                  <c:y val="0.14042120972502201"/>
                </c:manualLayout>
              </c:layout>
              <c:tx>
                <c:rich>
                  <a:bodyPr/>
                  <a:lstStyle/>
                  <a:p>
                    <a:fld id="{E822983C-4FB3-455B-8681-26DEC6EC4362}" type="VALUE">
                      <a:rPr lang="en-US">
                        <a:solidFill>
                          <a:schemeClr val="tx1"/>
                        </a:solidFill>
                      </a:rPr>
                      <a:pPr/>
                      <a:t>[VALOR]</a:t>
                    </a:fld>
                    <a:endParaRPr lang="es-C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5247-406A-BB35-CADFE537BBBD}"/>
                </c:ext>
              </c:extLst>
            </c:dLbl>
            <c:dLbl>
              <c:idx val="1"/>
              <c:layout>
                <c:manualLayout>
                  <c:x val="-3.6877394636015325E-2"/>
                  <c:y val="0.1162449743287039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247-406A-BB35-CADFE537BBBD}"/>
                </c:ext>
              </c:extLst>
            </c:dLbl>
            <c:dLbl>
              <c:idx val="2"/>
              <c:layout>
                <c:manualLayout>
                  <c:x val="-3.6877394636015325E-2"/>
                  <c:y val="0.1887669981846327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247-406A-BB35-CADFE537BBBD}"/>
                </c:ext>
              </c:extLst>
            </c:dLbl>
            <c:dLbl>
              <c:idx val="3"/>
              <c:layout>
                <c:manualLayout>
                  <c:x val="-3.6877394636015325E-2"/>
                  <c:y val="0.3065506910646070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247-406A-BB35-CADFE537BBBD}"/>
                </c:ext>
              </c:extLst>
            </c:dLbl>
            <c:dLbl>
              <c:idx val="4"/>
              <c:layout>
                <c:manualLayout>
                  <c:x val="-3.8888888888889063E-2"/>
                  <c:y val="0.419704863624720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5247-406A-BB35-CADFE537BBBD}"/>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Hoja1!$C$6:$G$6</c:f>
              <c:numCache>
                <c:formatCode>General</c:formatCode>
                <c:ptCount val="5"/>
                <c:pt idx="0">
                  <c:v>2014</c:v>
                </c:pt>
                <c:pt idx="1">
                  <c:v>2015</c:v>
                </c:pt>
                <c:pt idx="2">
                  <c:v>2016</c:v>
                </c:pt>
                <c:pt idx="3">
                  <c:v>2017</c:v>
                </c:pt>
                <c:pt idx="4">
                  <c:v>2018</c:v>
                </c:pt>
              </c:numCache>
            </c:numRef>
          </c:cat>
          <c:val>
            <c:numRef>
              <c:f>Hoja1!$C$8:$G$8</c:f>
              <c:numCache>
                <c:formatCode>0.0</c:formatCode>
                <c:ptCount val="5"/>
                <c:pt idx="0">
                  <c:v>46.154307068396996</c:v>
                </c:pt>
                <c:pt idx="1">
                  <c:v>41.060271079582499</c:v>
                </c:pt>
                <c:pt idx="2">
                  <c:v>55.946664180148261</c:v>
                </c:pt>
                <c:pt idx="3">
                  <c:v>77.473768974554929</c:v>
                </c:pt>
                <c:pt idx="4">
                  <c:v>97.453867805307311</c:v>
                </c:pt>
              </c:numCache>
            </c:numRef>
          </c:val>
          <c:smooth val="0"/>
          <c:extLst>
            <c:ext xmlns:c16="http://schemas.microsoft.com/office/drawing/2014/chart" uri="{C3380CC4-5D6E-409C-BE32-E72D297353CC}">
              <c16:uniqueId val="{0000000B-5247-406A-BB35-CADFE537BBBD}"/>
            </c:ext>
          </c:extLst>
        </c:ser>
        <c:dLbls>
          <c:showLegendKey val="0"/>
          <c:showVal val="1"/>
          <c:showCatName val="0"/>
          <c:showSerName val="0"/>
          <c:showPercent val="0"/>
          <c:showBubbleSize val="0"/>
        </c:dLbls>
        <c:marker val="1"/>
        <c:smooth val="0"/>
        <c:axId val="1831493824"/>
        <c:axId val="1831495456"/>
      </c:lineChart>
      <c:catAx>
        <c:axId val="1831512320"/>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31506880"/>
        <c:crosses val="autoZero"/>
        <c:auto val="1"/>
        <c:lblAlgn val="ctr"/>
        <c:lblOffset val="100"/>
        <c:noMultiLvlLbl val="0"/>
      </c:catAx>
      <c:valAx>
        <c:axId val="1831506880"/>
        <c:scaling>
          <c:orientation val="minMax"/>
        </c:scaling>
        <c:delete val="0"/>
        <c:axPos val="l"/>
        <c:title>
          <c:tx>
            <c:rich>
              <a:bodyPr rot="-54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r>
                  <a:rPr lang="en-US" sz="800">
                    <a:solidFill>
                      <a:sysClr val="windowText" lastClr="000000"/>
                    </a:solidFill>
                  </a:rPr>
                  <a:t>Casos</a:t>
                </a:r>
              </a:p>
              <a:p>
                <a:pPr>
                  <a:defRPr sz="800">
                    <a:solidFill>
                      <a:sysClr val="windowText" lastClr="000000"/>
                    </a:solidFill>
                  </a:defRPr>
                </a:pPr>
                <a:endParaRPr lang="en-US" sz="800">
                  <a:solidFill>
                    <a:sysClr val="windowText" lastClr="000000"/>
                  </a:solidFill>
                </a:endParaRP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crossAx val="1831512320"/>
        <c:crosses val="autoZero"/>
        <c:crossBetween val="between"/>
      </c:valAx>
      <c:valAx>
        <c:axId val="1831495456"/>
        <c:scaling>
          <c:orientation val="minMax"/>
          <c:min val="0"/>
        </c:scaling>
        <c:delete val="0"/>
        <c:axPos val="r"/>
        <c:title>
          <c:tx>
            <c:rich>
              <a:bodyPr rot="-54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r>
                  <a:rPr lang="en-US" sz="800" baseline="0">
                    <a:solidFill>
                      <a:sysClr val="windowText" lastClr="000000"/>
                    </a:solidFill>
                  </a:rPr>
                  <a:t>Tasa por 100 000 habitantes</a:t>
                </a:r>
              </a:p>
            </c:rich>
          </c:tx>
          <c:layout>
            <c:manualLayout>
              <c:xMode val="edge"/>
              <c:yMode val="edge"/>
              <c:x val="0.95210539415331708"/>
              <c:y val="0.15593001369878273"/>
            </c:manualLayout>
          </c:layout>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title>
        <c:numFmt formatCode="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crossAx val="1831493824"/>
        <c:crosses val="max"/>
        <c:crossBetween val="between"/>
      </c:valAx>
      <c:catAx>
        <c:axId val="1831493824"/>
        <c:scaling>
          <c:orientation val="minMax"/>
        </c:scaling>
        <c:delete val="1"/>
        <c:axPos val="b"/>
        <c:numFmt formatCode="General" sourceLinked="1"/>
        <c:majorTickMark val="out"/>
        <c:minorTickMark val="none"/>
        <c:tickLblPos val="nextTo"/>
        <c:crossAx val="1831495456"/>
        <c:crossesAt val="0"/>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'Gráfico grs edad'!$K$8</c:f>
              <c:strCache>
                <c:ptCount val="1"/>
                <c:pt idx="0">
                  <c:v>Tasa</c:v>
                </c:pt>
              </c:strCache>
            </c:strRef>
          </c:tx>
          <c:spPr>
            <a:solidFill>
              <a:schemeClr val="accent1"/>
            </a:solidFill>
            <a:ln w="73025">
              <a:solidFill>
                <a:srgbClr val="00B05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'Gráfico grs edad'!$J$9:$J$25</c:f>
              <c:strCache>
                <c:ptCount val="17"/>
                <c:pt idx="0">
                  <c:v>&lt; 1 año</c:v>
                </c:pt>
                <c:pt idx="1">
                  <c:v>1 a 4</c:v>
                </c:pt>
                <c:pt idx="2">
                  <c:v>5 a 9</c:v>
                </c:pt>
                <c:pt idx="3">
                  <c:v>10 a 14</c:v>
                </c:pt>
                <c:pt idx="4">
                  <c:v>15 a 19</c:v>
                </c:pt>
                <c:pt idx="5">
                  <c:v> 20 a 24</c:v>
                </c:pt>
                <c:pt idx="6">
                  <c:v>25 a 29 </c:v>
                </c:pt>
                <c:pt idx="7">
                  <c:v>30 a 34 </c:v>
                </c:pt>
                <c:pt idx="8">
                  <c:v>35 a 39</c:v>
                </c:pt>
                <c:pt idx="9">
                  <c:v>40 a 44</c:v>
                </c:pt>
                <c:pt idx="10">
                  <c:v>45 a 49</c:v>
                </c:pt>
                <c:pt idx="11">
                  <c:v>50 a 54</c:v>
                </c:pt>
                <c:pt idx="12">
                  <c:v> 55 a 59</c:v>
                </c:pt>
                <c:pt idx="13">
                  <c:v>60 a 64</c:v>
                </c:pt>
                <c:pt idx="14">
                  <c:v>65 a 69</c:v>
                </c:pt>
                <c:pt idx="15">
                  <c:v>70 a 74</c:v>
                </c:pt>
                <c:pt idx="16">
                  <c:v>&gt; 75</c:v>
                </c:pt>
              </c:strCache>
            </c:strRef>
          </c:cat>
          <c:val>
            <c:numRef>
              <c:f>'Gráfico grs edad'!$K$9:$K$25</c:f>
              <c:numCache>
                <c:formatCode>0.0</c:formatCode>
                <c:ptCount val="17"/>
                <c:pt idx="0">
                  <c:v>423.41049644953944</c:v>
                </c:pt>
                <c:pt idx="1">
                  <c:v>114.26973117905854</c:v>
                </c:pt>
                <c:pt idx="2">
                  <c:v>34.936268000190971</c:v>
                </c:pt>
                <c:pt idx="3">
                  <c:v>12.915691409134137</c:v>
                </c:pt>
                <c:pt idx="4">
                  <c:v>11.31002567116335</c:v>
                </c:pt>
                <c:pt idx="5">
                  <c:v>15.667787033655681</c:v>
                </c:pt>
                <c:pt idx="6">
                  <c:v>17.058288338993101</c:v>
                </c:pt>
                <c:pt idx="7">
                  <c:v>21.566609174918522</c:v>
                </c:pt>
                <c:pt idx="8">
                  <c:v>26.045459460878931</c:v>
                </c:pt>
                <c:pt idx="9">
                  <c:v>29.484203501509274</c:v>
                </c:pt>
                <c:pt idx="10">
                  <c:v>38.559799559050475</c:v>
                </c:pt>
                <c:pt idx="11">
                  <c:v>46.634547683346682</c:v>
                </c:pt>
                <c:pt idx="12">
                  <c:v>66.706836018319365</c:v>
                </c:pt>
                <c:pt idx="13">
                  <c:v>92.586666120763127</c:v>
                </c:pt>
                <c:pt idx="14">
                  <c:v>125.66550615515196</c:v>
                </c:pt>
                <c:pt idx="15">
                  <c:v>202.93711034141575</c:v>
                </c:pt>
                <c:pt idx="16">
                  <c:v>591.1743074946171</c:v>
                </c:pt>
              </c:numCache>
            </c:numRef>
          </c:val>
          <c:extLst>
            <c:ext xmlns:c16="http://schemas.microsoft.com/office/drawing/2014/chart" uri="{C3380CC4-5D6E-409C-BE32-E72D297353CC}">
              <c16:uniqueId val="{00000000-31F5-4DBA-9BDE-67D21F61EBDF}"/>
            </c:ext>
          </c:extLst>
        </c:ser>
        <c:dLbls>
          <c:dLblPos val="outEnd"/>
          <c:showLegendKey val="0"/>
          <c:showVal val="1"/>
          <c:showCatName val="0"/>
          <c:showSerName val="0"/>
          <c:showPercent val="0"/>
          <c:showBubbleSize val="0"/>
        </c:dLbls>
        <c:gapWidth val="207"/>
        <c:overlap val="100"/>
        <c:axId val="1831513408"/>
        <c:axId val="1831516672"/>
      </c:barChart>
      <c:catAx>
        <c:axId val="1831513408"/>
        <c:scaling>
          <c:orientation val="minMax"/>
        </c:scaling>
        <c:delete val="0"/>
        <c:axPos val="l"/>
        <c:title>
          <c:tx>
            <c:rich>
              <a:bodyPr rot="-5400000" spcFirstLastPara="1" vertOverflow="ellipsis" vert="horz" wrap="square" anchor="ctr" anchorCtr="1"/>
              <a:lstStyle/>
              <a:p>
                <a:pPr>
                  <a:defRPr sz="800" b="0" i="0" u="none" strike="noStrike" kern="1200" baseline="0">
                    <a:solidFill>
                      <a:schemeClr val="tx1"/>
                    </a:solidFill>
                    <a:latin typeface="+mn-lt"/>
                    <a:ea typeface="+mn-ea"/>
                    <a:cs typeface="+mn-cs"/>
                  </a:defRPr>
                </a:pPr>
                <a:r>
                  <a:rPr lang="en-US" sz="800" baseline="0">
                    <a:solidFill>
                      <a:schemeClr val="tx1"/>
                    </a:solidFill>
                  </a:rPr>
                  <a:t>Grupos de edad</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31516672"/>
        <c:crosses val="autoZero"/>
        <c:auto val="1"/>
        <c:lblAlgn val="ctr"/>
        <c:lblOffset val="100"/>
        <c:noMultiLvlLbl val="0"/>
      </c:catAx>
      <c:valAx>
        <c:axId val="1831516672"/>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r>
                  <a:rPr lang="en-US" sz="800" baseline="0">
                    <a:solidFill>
                      <a:sysClr val="windowText" lastClr="000000"/>
                    </a:solidFill>
                  </a:rPr>
                  <a:t>Tasa por 100 00 habitantes</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title>
        <c:numFmt formatCode="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CR"/>
          </a:p>
        </c:txPr>
        <c:crossAx val="183151340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'[Coberturas anuales 2018-Final-CCSS-.xlsx]Hoja1'!$B$19</c:f>
              <c:strCache>
                <c:ptCount val="1"/>
                <c:pt idx="0">
                  <c:v>2014</c:v>
                </c:pt>
              </c:strCache>
            </c:strRef>
          </c:tx>
          <c:spPr>
            <a:solidFill>
              <a:schemeClr val="accent1"/>
            </a:solidFill>
            <a:ln>
              <a:noFill/>
            </a:ln>
            <a:effectLst/>
          </c:spPr>
          <c:invertIfNegative val="0"/>
          <c:cat>
            <c:strRef>
              <c:f>'[Coberturas anuales 2018-Final-CCSS-.xlsx]Hoja1'!$C$18:$K$18</c:f>
              <c:strCache>
                <c:ptCount val="9"/>
                <c:pt idx="0">
                  <c:v>BCG</c:v>
                </c:pt>
                <c:pt idx="1">
                  <c:v>Pentavalente 1</c:v>
                </c:pt>
                <c:pt idx="2">
                  <c:v>Neumococo 2</c:v>
                </c:pt>
                <c:pt idx="3">
                  <c:v>Hepatitis B 3</c:v>
                </c:pt>
                <c:pt idx="4">
                  <c:v>Pentavalente 3</c:v>
                </c:pt>
                <c:pt idx="5">
                  <c:v>SRP 1</c:v>
                </c:pt>
                <c:pt idx="6">
                  <c:v>Varicela</c:v>
                </c:pt>
                <c:pt idx="7">
                  <c:v>SRP 2</c:v>
                </c:pt>
                <c:pt idx="8">
                  <c:v>Td</c:v>
                </c:pt>
              </c:strCache>
            </c:strRef>
          </c:cat>
          <c:val>
            <c:numRef>
              <c:f>'[Coberturas anuales 2018-Final-CCSS-.xlsx]Hoja1'!$C$19:$K$19</c:f>
              <c:numCache>
                <c:formatCode>General</c:formatCode>
                <c:ptCount val="9"/>
                <c:pt idx="0">
                  <c:v>79.7</c:v>
                </c:pt>
                <c:pt idx="1">
                  <c:v>90.9</c:v>
                </c:pt>
                <c:pt idx="2">
                  <c:v>91.7</c:v>
                </c:pt>
                <c:pt idx="3">
                  <c:v>91</c:v>
                </c:pt>
                <c:pt idx="4">
                  <c:v>90.7</c:v>
                </c:pt>
                <c:pt idx="5">
                  <c:v>95.3</c:v>
                </c:pt>
                <c:pt idx="6">
                  <c:v>94.5</c:v>
                </c:pt>
                <c:pt idx="7">
                  <c:v>90.1</c:v>
                </c:pt>
                <c:pt idx="8">
                  <c:v>87.3</c:v>
                </c:pt>
              </c:numCache>
            </c:numRef>
          </c:val>
          <c:extLst>
            <c:ext xmlns:c16="http://schemas.microsoft.com/office/drawing/2014/chart" uri="{C3380CC4-5D6E-409C-BE32-E72D297353CC}">
              <c16:uniqueId val="{00000000-F573-4DD8-A902-B23F440C1D52}"/>
            </c:ext>
          </c:extLst>
        </c:ser>
        <c:ser>
          <c:idx val="1"/>
          <c:order val="1"/>
          <c:tx>
            <c:strRef>
              <c:f>'[Coberturas anuales 2018-Final-CCSS-.xlsx]Hoja1'!$B$20</c:f>
              <c:strCache>
                <c:ptCount val="1"/>
                <c:pt idx="0">
                  <c:v>2015</c:v>
                </c:pt>
              </c:strCache>
            </c:strRef>
          </c:tx>
          <c:spPr>
            <a:solidFill>
              <a:schemeClr val="accent2"/>
            </a:solidFill>
            <a:ln>
              <a:noFill/>
            </a:ln>
            <a:effectLst/>
          </c:spPr>
          <c:invertIfNegative val="0"/>
          <c:cat>
            <c:strRef>
              <c:f>'[Coberturas anuales 2018-Final-CCSS-.xlsx]Hoja1'!$C$18:$K$18</c:f>
              <c:strCache>
                <c:ptCount val="9"/>
                <c:pt idx="0">
                  <c:v>BCG</c:v>
                </c:pt>
                <c:pt idx="1">
                  <c:v>Pentavalente 1</c:v>
                </c:pt>
                <c:pt idx="2">
                  <c:v>Neumococo 2</c:v>
                </c:pt>
                <c:pt idx="3">
                  <c:v>Hepatitis B 3</c:v>
                </c:pt>
                <c:pt idx="4">
                  <c:v>Pentavalente 3</c:v>
                </c:pt>
                <c:pt idx="5">
                  <c:v>SRP 1</c:v>
                </c:pt>
                <c:pt idx="6">
                  <c:v>Varicela</c:v>
                </c:pt>
                <c:pt idx="7">
                  <c:v>SRP 2</c:v>
                </c:pt>
                <c:pt idx="8">
                  <c:v>Td</c:v>
                </c:pt>
              </c:strCache>
            </c:strRef>
          </c:cat>
          <c:val>
            <c:numRef>
              <c:f>'[Coberturas anuales 2018-Final-CCSS-.xlsx]Hoja1'!$C$20:$K$20</c:f>
              <c:numCache>
                <c:formatCode>General</c:formatCode>
                <c:ptCount val="9"/>
                <c:pt idx="0">
                  <c:v>83.2</c:v>
                </c:pt>
                <c:pt idx="1">
                  <c:v>93.2</c:v>
                </c:pt>
                <c:pt idx="2">
                  <c:v>93.8</c:v>
                </c:pt>
                <c:pt idx="3">
                  <c:v>92.1</c:v>
                </c:pt>
                <c:pt idx="4">
                  <c:v>92.5</c:v>
                </c:pt>
                <c:pt idx="5">
                  <c:v>92.5</c:v>
                </c:pt>
                <c:pt idx="6">
                  <c:v>92.1</c:v>
                </c:pt>
                <c:pt idx="7">
                  <c:v>87.3</c:v>
                </c:pt>
                <c:pt idx="8">
                  <c:v>88.8</c:v>
                </c:pt>
              </c:numCache>
            </c:numRef>
          </c:val>
          <c:extLst>
            <c:ext xmlns:c16="http://schemas.microsoft.com/office/drawing/2014/chart" uri="{C3380CC4-5D6E-409C-BE32-E72D297353CC}">
              <c16:uniqueId val="{00000001-F573-4DD8-A902-B23F440C1D52}"/>
            </c:ext>
          </c:extLst>
        </c:ser>
        <c:ser>
          <c:idx val="2"/>
          <c:order val="2"/>
          <c:tx>
            <c:strRef>
              <c:f>'[Coberturas anuales 2018-Final-CCSS-.xlsx]Hoja1'!$B$21</c:f>
              <c:strCache>
                <c:ptCount val="1"/>
                <c:pt idx="0">
                  <c:v>2016</c:v>
                </c:pt>
              </c:strCache>
            </c:strRef>
          </c:tx>
          <c:spPr>
            <a:solidFill>
              <a:schemeClr val="accent3"/>
            </a:solidFill>
            <a:ln>
              <a:noFill/>
            </a:ln>
            <a:effectLst/>
          </c:spPr>
          <c:invertIfNegative val="0"/>
          <c:cat>
            <c:strRef>
              <c:f>'[Coberturas anuales 2018-Final-CCSS-.xlsx]Hoja1'!$C$18:$K$18</c:f>
              <c:strCache>
                <c:ptCount val="9"/>
                <c:pt idx="0">
                  <c:v>BCG</c:v>
                </c:pt>
                <c:pt idx="1">
                  <c:v>Pentavalente 1</c:v>
                </c:pt>
                <c:pt idx="2">
                  <c:v>Neumococo 2</c:v>
                </c:pt>
                <c:pt idx="3">
                  <c:v>Hepatitis B 3</c:v>
                </c:pt>
                <c:pt idx="4">
                  <c:v>Pentavalente 3</c:v>
                </c:pt>
                <c:pt idx="5">
                  <c:v>SRP 1</c:v>
                </c:pt>
                <c:pt idx="6">
                  <c:v>Varicela</c:v>
                </c:pt>
                <c:pt idx="7">
                  <c:v>SRP 2</c:v>
                </c:pt>
                <c:pt idx="8">
                  <c:v>Td</c:v>
                </c:pt>
              </c:strCache>
            </c:strRef>
          </c:cat>
          <c:val>
            <c:numRef>
              <c:f>'[Coberturas anuales 2018-Final-CCSS-.xlsx]Hoja1'!$C$21:$K$21</c:f>
              <c:numCache>
                <c:formatCode>General</c:formatCode>
                <c:ptCount val="9"/>
                <c:pt idx="0">
                  <c:v>87.8</c:v>
                </c:pt>
                <c:pt idx="1">
                  <c:v>94.1</c:v>
                </c:pt>
                <c:pt idx="2">
                  <c:v>94.1</c:v>
                </c:pt>
                <c:pt idx="3">
                  <c:v>94.8</c:v>
                </c:pt>
                <c:pt idx="4">
                  <c:v>95.4</c:v>
                </c:pt>
                <c:pt idx="5">
                  <c:v>93.5</c:v>
                </c:pt>
                <c:pt idx="6">
                  <c:v>93.9</c:v>
                </c:pt>
                <c:pt idx="7">
                  <c:v>89.2</c:v>
                </c:pt>
                <c:pt idx="8">
                  <c:v>94.9</c:v>
                </c:pt>
              </c:numCache>
            </c:numRef>
          </c:val>
          <c:extLst>
            <c:ext xmlns:c16="http://schemas.microsoft.com/office/drawing/2014/chart" uri="{C3380CC4-5D6E-409C-BE32-E72D297353CC}">
              <c16:uniqueId val="{00000002-F573-4DD8-A902-B23F440C1D52}"/>
            </c:ext>
          </c:extLst>
        </c:ser>
        <c:ser>
          <c:idx val="3"/>
          <c:order val="3"/>
          <c:tx>
            <c:strRef>
              <c:f>'[Coberturas anuales 2018-Final-CCSS-.xlsx]Hoja1'!$B$22</c:f>
              <c:strCache>
                <c:ptCount val="1"/>
                <c:pt idx="0">
                  <c:v>2017</c:v>
                </c:pt>
              </c:strCache>
            </c:strRef>
          </c:tx>
          <c:spPr>
            <a:solidFill>
              <a:schemeClr val="accent4"/>
            </a:solidFill>
            <a:ln>
              <a:noFill/>
            </a:ln>
            <a:effectLst/>
          </c:spPr>
          <c:invertIfNegative val="0"/>
          <c:cat>
            <c:strRef>
              <c:f>'[Coberturas anuales 2018-Final-CCSS-.xlsx]Hoja1'!$C$18:$K$18</c:f>
              <c:strCache>
                <c:ptCount val="9"/>
                <c:pt idx="0">
                  <c:v>BCG</c:v>
                </c:pt>
                <c:pt idx="1">
                  <c:v>Pentavalente 1</c:v>
                </c:pt>
                <c:pt idx="2">
                  <c:v>Neumococo 2</c:v>
                </c:pt>
                <c:pt idx="3">
                  <c:v>Hepatitis B 3</c:v>
                </c:pt>
                <c:pt idx="4">
                  <c:v>Pentavalente 3</c:v>
                </c:pt>
                <c:pt idx="5">
                  <c:v>SRP 1</c:v>
                </c:pt>
                <c:pt idx="6">
                  <c:v>Varicela</c:v>
                </c:pt>
                <c:pt idx="7">
                  <c:v>SRP 2</c:v>
                </c:pt>
                <c:pt idx="8">
                  <c:v>Td</c:v>
                </c:pt>
              </c:strCache>
            </c:strRef>
          </c:cat>
          <c:val>
            <c:numRef>
              <c:f>'[Coberturas anuales 2018-Final-CCSS-.xlsx]Hoja1'!$C$22:$K$22</c:f>
              <c:numCache>
                <c:formatCode>General</c:formatCode>
                <c:ptCount val="9"/>
                <c:pt idx="0">
                  <c:v>90</c:v>
                </c:pt>
                <c:pt idx="1">
                  <c:v>99</c:v>
                </c:pt>
                <c:pt idx="2">
                  <c:v>98.1</c:v>
                </c:pt>
                <c:pt idx="3">
                  <c:v>96.6</c:v>
                </c:pt>
                <c:pt idx="4">
                  <c:v>96.4</c:v>
                </c:pt>
                <c:pt idx="5">
                  <c:v>93.5</c:v>
                </c:pt>
                <c:pt idx="6">
                  <c:v>93.5</c:v>
                </c:pt>
                <c:pt idx="7">
                  <c:v>93.3</c:v>
                </c:pt>
                <c:pt idx="8">
                  <c:v>96.4</c:v>
                </c:pt>
              </c:numCache>
            </c:numRef>
          </c:val>
          <c:extLst>
            <c:ext xmlns:c16="http://schemas.microsoft.com/office/drawing/2014/chart" uri="{C3380CC4-5D6E-409C-BE32-E72D297353CC}">
              <c16:uniqueId val="{00000003-F573-4DD8-A902-B23F440C1D52}"/>
            </c:ext>
          </c:extLst>
        </c:ser>
        <c:ser>
          <c:idx val="4"/>
          <c:order val="4"/>
          <c:tx>
            <c:strRef>
              <c:f>'[Coberturas anuales 2018-Final-CCSS-.xlsx]Hoja1'!$B$23</c:f>
              <c:strCache>
                <c:ptCount val="1"/>
                <c:pt idx="0">
                  <c:v>2018</c:v>
                </c:pt>
              </c:strCache>
            </c:strRef>
          </c:tx>
          <c:spPr>
            <a:solidFill>
              <a:srgbClr val="FFCC00"/>
            </a:solidFill>
            <a:ln>
              <a:noFill/>
            </a:ln>
            <a:effectLst/>
          </c:spPr>
          <c:invertIfNegative val="0"/>
          <c:cat>
            <c:strRef>
              <c:f>'[Coberturas anuales 2018-Final-CCSS-.xlsx]Hoja1'!$C$18:$K$18</c:f>
              <c:strCache>
                <c:ptCount val="9"/>
                <c:pt idx="0">
                  <c:v>BCG</c:v>
                </c:pt>
                <c:pt idx="1">
                  <c:v>Pentavalente 1</c:v>
                </c:pt>
                <c:pt idx="2">
                  <c:v>Neumococo 2</c:v>
                </c:pt>
                <c:pt idx="3">
                  <c:v>Hepatitis B 3</c:v>
                </c:pt>
                <c:pt idx="4">
                  <c:v>Pentavalente 3</c:v>
                </c:pt>
                <c:pt idx="5">
                  <c:v>SRP 1</c:v>
                </c:pt>
                <c:pt idx="6">
                  <c:v>Varicela</c:v>
                </c:pt>
                <c:pt idx="7">
                  <c:v>SRP 2</c:v>
                </c:pt>
                <c:pt idx="8">
                  <c:v>Td</c:v>
                </c:pt>
              </c:strCache>
            </c:strRef>
          </c:cat>
          <c:val>
            <c:numRef>
              <c:f>'[Coberturas anuales 2018-Final-CCSS-.xlsx]Hoja1'!$C$23:$K$23</c:f>
              <c:numCache>
                <c:formatCode>General</c:formatCode>
                <c:ptCount val="9"/>
                <c:pt idx="0">
                  <c:v>91.8</c:v>
                </c:pt>
                <c:pt idx="1">
                  <c:v>95</c:v>
                </c:pt>
                <c:pt idx="2">
                  <c:v>94.7</c:v>
                </c:pt>
                <c:pt idx="3">
                  <c:v>97.7</c:v>
                </c:pt>
                <c:pt idx="4">
                  <c:v>94</c:v>
                </c:pt>
                <c:pt idx="5">
                  <c:v>88.9</c:v>
                </c:pt>
                <c:pt idx="6">
                  <c:v>92.1</c:v>
                </c:pt>
                <c:pt idx="7">
                  <c:v>102.6</c:v>
                </c:pt>
                <c:pt idx="8">
                  <c:v>102.5</c:v>
                </c:pt>
              </c:numCache>
            </c:numRef>
          </c:val>
          <c:extLst>
            <c:ext xmlns:c16="http://schemas.microsoft.com/office/drawing/2014/chart" uri="{C3380CC4-5D6E-409C-BE32-E72D297353CC}">
              <c16:uniqueId val="{00000004-F573-4DD8-A902-B23F440C1D52}"/>
            </c:ext>
          </c:extLst>
        </c:ser>
        <c:dLbls>
          <c:showLegendKey val="0"/>
          <c:showVal val="0"/>
          <c:showCatName val="0"/>
          <c:showSerName val="0"/>
          <c:showPercent val="0"/>
          <c:showBubbleSize val="0"/>
        </c:dLbls>
        <c:gapWidth val="150"/>
        <c:axId val="1831505792"/>
        <c:axId val="1831511776"/>
      </c:barChart>
      <c:catAx>
        <c:axId val="18315057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R"/>
          </a:p>
        </c:txPr>
        <c:crossAx val="1831511776"/>
        <c:crosses val="autoZero"/>
        <c:auto val="1"/>
        <c:lblAlgn val="ctr"/>
        <c:lblOffset val="100"/>
        <c:noMultiLvlLbl val="0"/>
      </c:catAx>
      <c:valAx>
        <c:axId val="1831511776"/>
        <c:scaling>
          <c:orientation val="minMax"/>
          <c:max val="105"/>
          <c:min val="75"/>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1" i="0" u="none" strike="noStrike" kern="1200" baseline="0">
                <a:solidFill>
                  <a:schemeClr val="tx1">
                    <a:lumMod val="65000"/>
                    <a:lumOff val="35000"/>
                  </a:schemeClr>
                </a:solidFill>
                <a:latin typeface="+mn-lt"/>
                <a:ea typeface="+mn-ea"/>
                <a:cs typeface="+mn-cs"/>
              </a:defRPr>
            </a:pPr>
            <a:endParaRPr lang="es-CR"/>
          </a:p>
        </c:txPr>
        <c:crossAx val="1831505792"/>
        <c:crosses val="autoZero"/>
        <c:crossBetween val="between"/>
        <c:majorUnit val="5"/>
        <c:minorUnit val="5"/>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672473867595819"/>
          <c:y val="4.3521325459317577E-2"/>
          <c:w val="0.77535446439313926"/>
          <c:h val="0.75593274278215228"/>
        </c:manualLayout>
      </c:layout>
      <c:barChart>
        <c:barDir val="col"/>
        <c:grouping val="clustered"/>
        <c:varyColors val="0"/>
        <c:ser>
          <c:idx val="1"/>
          <c:order val="0"/>
          <c:tx>
            <c:strRef>
              <c:f>Sheet1!$A$2</c:f>
              <c:strCache>
                <c:ptCount val="1"/>
                <c:pt idx="0">
                  <c:v>casos</c:v>
                </c:pt>
              </c:strCache>
            </c:strRef>
          </c:tx>
          <c:spPr>
            <a:solidFill>
              <a:schemeClr val="tx2">
                <a:lumMod val="60000"/>
                <a:lumOff val="40000"/>
              </a:schemeClr>
            </a:solidFill>
            <a:ln w="12678">
              <a:solidFill>
                <a:srgbClr val="000000"/>
              </a:solidFill>
              <a:prstDash val="solid"/>
            </a:ln>
          </c:spPr>
          <c:invertIfNegative val="0"/>
          <c:dLbls>
            <c:dLbl>
              <c:idx val="0"/>
              <c:layout>
                <c:manualLayout>
                  <c:x val="-2.3490721165139554E-3"/>
                  <c:y val="0.1608086440556798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518-4F2A-B862-DE438B3349ED}"/>
                </c:ext>
              </c:extLst>
            </c:dLbl>
            <c:dLbl>
              <c:idx val="1"/>
              <c:layout>
                <c:manualLayout>
                  <c:x val="-2.3490721165139771E-3"/>
                  <c:y val="0.2343062661914342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518-4F2A-B862-DE438B3349ED}"/>
                </c:ext>
              </c:extLst>
            </c:dLbl>
            <c:dLbl>
              <c:idx val="2"/>
              <c:layout>
                <c:manualLayout>
                  <c:x val="0"/>
                  <c:y val="0.2991571092523940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518-4F2A-B862-DE438B3349ED}"/>
                </c:ext>
              </c:extLst>
            </c:dLbl>
            <c:dLbl>
              <c:idx val="3"/>
              <c:layout>
                <c:manualLayout>
                  <c:x val="0"/>
                  <c:y val="0.2905103301775994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518-4F2A-B862-DE438B3349ED}"/>
                </c:ext>
              </c:extLst>
            </c:dLbl>
            <c:dLbl>
              <c:idx val="4"/>
              <c:layout>
                <c:manualLayout>
                  <c:x val="0"/>
                  <c:y val="0.1435150859060905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518-4F2A-B862-DE438B3349ED}"/>
                </c:ext>
              </c:extLst>
            </c:dLbl>
            <c:spPr>
              <a:noFill/>
              <a:ln>
                <a:noFill/>
              </a:ln>
              <a:effectLst/>
            </c:spPr>
            <c:txPr>
              <a:bodyPr wrap="square" lIns="38100" tIns="19050" rIns="38100" bIns="19050" anchor="ctr">
                <a:spAutoFit/>
              </a:bodyPr>
              <a:lstStyle/>
              <a:p>
                <a:pPr>
                  <a:defRPr sz="800"/>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2014</c:v>
                </c:pt>
                <c:pt idx="1">
                  <c:v>2015</c:v>
                </c:pt>
                <c:pt idx="2">
                  <c:v>2016</c:v>
                </c:pt>
                <c:pt idx="3">
                  <c:v>2017</c:v>
                </c:pt>
                <c:pt idx="4">
                  <c:v>2018</c:v>
                </c:pt>
              </c:numCache>
            </c:numRef>
          </c:cat>
          <c:val>
            <c:numRef>
              <c:f>Sheet1!$B$2:$F$2</c:f>
              <c:numCache>
                <c:formatCode>General</c:formatCode>
                <c:ptCount val="5"/>
                <c:pt idx="0">
                  <c:v>738</c:v>
                </c:pt>
                <c:pt idx="1">
                  <c:v>874</c:v>
                </c:pt>
                <c:pt idx="2">
                  <c:v>979</c:v>
                </c:pt>
                <c:pt idx="3">
                  <c:v>969</c:v>
                </c:pt>
                <c:pt idx="4">
                  <c:v>361</c:v>
                </c:pt>
              </c:numCache>
            </c:numRef>
          </c:val>
          <c:extLst>
            <c:ext xmlns:c16="http://schemas.microsoft.com/office/drawing/2014/chart" uri="{C3380CC4-5D6E-409C-BE32-E72D297353CC}">
              <c16:uniqueId val="{00000005-F518-4F2A-B862-DE438B3349ED}"/>
            </c:ext>
          </c:extLst>
        </c:ser>
        <c:dLbls>
          <c:showLegendKey val="0"/>
          <c:showVal val="0"/>
          <c:showCatName val="0"/>
          <c:showSerName val="0"/>
          <c:showPercent val="0"/>
          <c:showBubbleSize val="0"/>
        </c:dLbls>
        <c:gapWidth val="150"/>
        <c:axId val="1831497632"/>
        <c:axId val="1831497088"/>
      </c:barChart>
      <c:lineChart>
        <c:grouping val="standard"/>
        <c:varyColors val="0"/>
        <c:ser>
          <c:idx val="0"/>
          <c:order val="1"/>
          <c:tx>
            <c:strRef>
              <c:f>Sheet1!$A$3</c:f>
              <c:strCache>
                <c:ptCount val="1"/>
                <c:pt idx="0">
                  <c:v>Incidencia</c:v>
                </c:pt>
              </c:strCache>
            </c:strRef>
          </c:tx>
          <c:spPr>
            <a:ln w="19050">
              <a:solidFill>
                <a:schemeClr val="accent6">
                  <a:lumMod val="75000"/>
                </a:schemeClr>
              </a:solidFill>
              <a:prstDash val="solid"/>
            </a:ln>
          </c:spPr>
          <c:marker>
            <c:symbol val="diamond"/>
            <c:size val="4"/>
            <c:spPr>
              <a:solidFill>
                <a:srgbClr val="000080"/>
              </a:solidFill>
              <a:ln>
                <a:solidFill>
                  <a:srgbClr val="000080"/>
                </a:solidFill>
                <a:prstDash val="solid"/>
              </a:ln>
            </c:spPr>
          </c:marker>
          <c:dLbls>
            <c:spPr>
              <a:noFill/>
              <a:ln>
                <a:noFill/>
              </a:ln>
              <a:effectLst/>
            </c:spPr>
            <c:txPr>
              <a:bodyPr wrap="square" lIns="38100" tIns="19050" rIns="38100" bIns="19050" anchor="ctr">
                <a:spAutoFit/>
              </a:bodyPr>
              <a:lstStyle/>
              <a:p>
                <a:pPr>
                  <a:defRPr sz="800"/>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2014</c:v>
                </c:pt>
                <c:pt idx="1">
                  <c:v>2015</c:v>
                </c:pt>
                <c:pt idx="2">
                  <c:v>2016</c:v>
                </c:pt>
                <c:pt idx="3">
                  <c:v>2017</c:v>
                </c:pt>
                <c:pt idx="4">
                  <c:v>2018</c:v>
                </c:pt>
              </c:numCache>
            </c:numRef>
          </c:cat>
          <c:val>
            <c:numRef>
              <c:f>Sheet1!$B$3:$F$3</c:f>
              <c:numCache>
                <c:formatCode>General</c:formatCode>
                <c:ptCount val="5"/>
                <c:pt idx="0">
                  <c:v>15.5</c:v>
                </c:pt>
                <c:pt idx="1">
                  <c:v>18.100000000000001</c:v>
                </c:pt>
                <c:pt idx="2">
                  <c:v>20</c:v>
                </c:pt>
                <c:pt idx="3">
                  <c:v>19.600000000000001</c:v>
                </c:pt>
                <c:pt idx="4">
                  <c:v>7.2</c:v>
                </c:pt>
              </c:numCache>
            </c:numRef>
          </c:val>
          <c:smooth val="0"/>
          <c:extLst>
            <c:ext xmlns:c16="http://schemas.microsoft.com/office/drawing/2014/chart" uri="{C3380CC4-5D6E-409C-BE32-E72D297353CC}">
              <c16:uniqueId val="{00000006-F518-4F2A-B862-DE438B3349ED}"/>
            </c:ext>
          </c:extLst>
        </c:ser>
        <c:dLbls>
          <c:showLegendKey val="0"/>
          <c:showVal val="0"/>
          <c:showCatName val="0"/>
          <c:showSerName val="0"/>
          <c:showPercent val="0"/>
          <c:showBubbleSize val="0"/>
        </c:dLbls>
        <c:marker val="1"/>
        <c:smooth val="0"/>
        <c:axId val="1831500896"/>
        <c:axId val="1831521024"/>
      </c:lineChart>
      <c:catAx>
        <c:axId val="1831497632"/>
        <c:scaling>
          <c:orientation val="minMax"/>
        </c:scaling>
        <c:delete val="0"/>
        <c:axPos val="b"/>
        <c:numFmt formatCode="General" sourceLinked="1"/>
        <c:majorTickMark val="cross"/>
        <c:minorTickMark val="none"/>
        <c:tickLblPos val="nextTo"/>
        <c:spPr>
          <a:ln w="3170">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CR"/>
          </a:p>
        </c:txPr>
        <c:crossAx val="1831497088"/>
        <c:crosses val="autoZero"/>
        <c:auto val="0"/>
        <c:lblAlgn val="ctr"/>
        <c:lblOffset val="100"/>
        <c:tickLblSkip val="1"/>
        <c:tickMarkSkip val="1"/>
        <c:noMultiLvlLbl val="0"/>
      </c:catAx>
      <c:valAx>
        <c:axId val="1831497088"/>
        <c:scaling>
          <c:orientation val="minMax"/>
          <c:max val="1200"/>
        </c:scaling>
        <c:delete val="0"/>
        <c:axPos val="l"/>
        <c:title>
          <c:tx>
            <c:rich>
              <a:bodyPr/>
              <a:lstStyle/>
              <a:p>
                <a:pPr>
                  <a:defRPr sz="799" b="1" i="0" u="none" strike="noStrike" baseline="0">
                    <a:solidFill>
                      <a:srgbClr val="000000"/>
                    </a:solidFill>
                    <a:latin typeface="Arial"/>
                    <a:ea typeface="Arial"/>
                    <a:cs typeface="Arial"/>
                  </a:defRPr>
                </a:pPr>
                <a:r>
                  <a:rPr lang="es-CR"/>
                  <a:t>Número de nuevos diagnósticos</a:t>
                </a:r>
              </a:p>
            </c:rich>
          </c:tx>
          <c:layout>
            <c:manualLayout>
              <c:xMode val="edge"/>
              <c:yMode val="edge"/>
              <c:x val="2.621102066258631E-2"/>
              <c:y val="0.22330136748470644"/>
            </c:manualLayout>
          </c:layout>
          <c:overlay val="0"/>
          <c:spPr>
            <a:noFill/>
            <a:ln w="25357">
              <a:noFill/>
            </a:ln>
          </c:spPr>
        </c:title>
        <c:numFmt formatCode="General" sourceLinked="1"/>
        <c:majorTickMark val="cross"/>
        <c:minorTickMark val="none"/>
        <c:tickLblPos val="nextTo"/>
        <c:spPr>
          <a:ln w="3170">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CR"/>
          </a:p>
        </c:txPr>
        <c:crossAx val="1831497632"/>
        <c:crosses val="autoZero"/>
        <c:crossBetween val="between"/>
      </c:valAx>
      <c:catAx>
        <c:axId val="1831500896"/>
        <c:scaling>
          <c:orientation val="minMax"/>
        </c:scaling>
        <c:delete val="1"/>
        <c:axPos val="b"/>
        <c:numFmt formatCode="General" sourceLinked="1"/>
        <c:majorTickMark val="out"/>
        <c:minorTickMark val="none"/>
        <c:tickLblPos val="nextTo"/>
        <c:crossAx val="1831521024"/>
        <c:crosses val="autoZero"/>
        <c:auto val="0"/>
        <c:lblAlgn val="ctr"/>
        <c:lblOffset val="100"/>
        <c:noMultiLvlLbl val="0"/>
      </c:catAx>
      <c:valAx>
        <c:axId val="1831521024"/>
        <c:scaling>
          <c:orientation val="minMax"/>
        </c:scaling>
        <c:delete val="0"/>
        <c:axPos val="r"/>
        <c:title>
          <c:tx>
            <c:rich>
              <a:bodyPr/>
              <a:lstStyle/>
              <a:p>
                <a:pPr>
                  <a:defRPr sz="799" b="1" i="0" u="none" strike="noStrike" baseline="0">
                    <a:solidFill>
                      <a:srgbClr val="000000"/>
                    </a:solidFill>
                    <a:latin typeface="Arial"/>
                    <a:ea typeface="Arial"/>
                    <a:cs typeface="Arial"/>
                  </a:defRPr>
                </a:pPr>
                <a:r>
                  <a:rPr lang="es-CR"/>
                  <a:t>Tasa</a:t>
                </a:r>
                <a:r>
                  <a:rPr lang="es-CR" baseline="0"/>
                  <a:t> por 100.000 habitantes</a:t>
                </a:r>
                <a:endParaRPr lang="es-CR"/>
              </a:p>
            </c:rich>
          </c:tx>
          <c:layout>
            <c:manualLayout>
              <c:xMode val="edge"/>
              <c:yMode val="edge"/>
              <c:x val="0.94905676431038088"/>
              <c:y val="0.14000667231771127"/>
            </c:manualLayout>
          </c:layout>
          <c:overlay val="0"/>
          <c:spPr>
            <a:noFill/>
            <a:ln w="25357">
              <a:noFill/>
            </a:ln>
          </c:spPr>
        </c:title>
        <c:numFmt formatCode="General" sourceLinked="1"/>
        <c:majorTickMark val="cross"/>
        <c:minorTickMark val="none"/>
        <c:tickLblPos val="nextTo"/>
        <c:spPr>
          <a:ln w="3170">
            <a:solidFill>
              <a:srgbClr val="000000"/>
            </a:solidFill>
            <a:prstDash val="solid"/>
          </a:ln>
        </c:spPr>
        <c:txPr>
          <a:bodyPr rot="0" vert="horz"/>
          <a:lstStyle/>
          <a:p>
            <a:pPr>
              <a:defRPr sz="998" b="0" i="0" u="none" strike="noStrike" baseline="0">
                <a:solidFill>
                  <a:srgbClr val="000000"/>
                </a:solidFill>
                <a:latin typeface="Arial"/>
                <a:ea typeface="Arial"/>
                <a:cs typeface="Arial"/>
              </a:defRPr>
            </a:pPr>
            <a:endParaRPr lang="es-CR"/>
          </a:p>
        </c:txPr>
        <c:crossAx val="1831500896"/>
        <c:crosses val="max"/>
        <c:crossBetween val="between"/>
      </c:valAx>
      <c:spPr>
        <a:noFill/>
        <a:ln w="25400">
          <a:noFill/>
        </a:ln>
      </c:spPr>
    </c:plotArea>
    <c:legend>
      <c:legendPos val="b"/>
      <c:layout>
        <c:manualLayout>
          <c:xMode val="edge"/>
          <c:yMode val="edge"/>
          <c:x val="0.32232376872552659"/>
          <c:y val="0.90064033824565704"/>
          <c:w val="0.34641895978647491"/>
          <c:h val="6.8965517241379309E-2"/>
        </c:manualLayout>
      </c:layout>
      <c:overlay val="0"/>
      <c:spPr>
        <a:solidFill>
          <a:srgbClr val="FFFFFF"/>
        </a:solidFill>
        <a:ln w="3170">
          <a:noFill/>
          <a:prstDash val="solid"/>
        </a:ln>
      </c:spPr>
      <c:txPr>
        <a:bodyPr/>
        <a:lstStyle/>
        <a:p>
          <a:pPr>
            <a:defRPr sz="900" b="0" i="0" u="none" strike="noStrike" baseline="0">
              <a:solidFill>
                <a:srgbClr val="000000"/>
              </a:solidFill>
              <a:latin typeface="Arial"/>
              <a:ea typeface="Arial"/>
              <a:cs typeface="Arial"/>
            </a:defRPr>
          </a:pPr>
          <a:endParaRPr lang="es-CR"/>
        </a:p>
      </c:txPr>
    </c:legend>
    <c:plotVisOnly val="1"/>
    <c:dispBlanksAs val="gap"/>
    <c:showDLblsOverMax val="0"/>
  </c:chart>
  <c:spPr>
    <a:noFill/>
    <a:ln>
      <a:noFill/>
    </a:ln>
  </c:spPr>
  <c:txPr>
    <a:bodyPr/>
    <a:lstStyle/>
    <a:p>
      <a:pPr>
        <a:defRPr sz="998" b="0" i="0" u="none" strike="noStrike" baseline="0">
          <a:solidFill>
            <a:srgbClr val="000000"/>
          </a:solidFill>
          <a:latin typeface="Arial"/>
          <a:ea typeface="Arial"/>
          <a:cs typeface="Arial"/>
        </a:defRPr>
      </a:pPr>
      <a:endParaRPr lang="es-CR"/>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877321222219238"/>
          <c:y val="5.7915057915057924E-2"/>
          <c:w val="0.87362088271389304"/>
          <c:h val="0.74646092315383661"/>
        </c:manualLayout>
      </c:layout>
      <c:lineChart>
        <c:grouping val="standard"/>
        <c:varyColors val="0"/>
        <c:ser>
          <c:idx val="2"/>
          <c:order val="2"/>
          <c:tx>
            <c:strRef>
              <c:f>Sheet1!$A$4</c:f>
              <c:strCache>
                <c:ptCount val="1"/>
                <c:pt idx="0">
                  <c:v>Femenino</c:v>
                </c:pt>
              </c:strCache>
            </c:strRef>
          </c:tx>
          <c:spPr>
            <a:ln w="50800"/>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2013</c:v>
                </c:pt>
                <c:pt idx="1">
                  <c:v>2014</c:v>
                </c:pt>
                <c:pt idx="2">
                  <c:v>2015</c:v>
                </c:pt>
                <c:pt idx="3">
                  <c:v>2016</c:v>
                </c:pt>
                <c:pt idx="4">
                  <c:v>2017</c:v>
                </c:pt>
              </c:numCache>
            </c:numRef>
          </c:cat>
          <c:val>
            <c:numRef>
              <c:f>Sheet1!$B$4:$F$4</c:f>
              <c:numCache>
                <c:formatCode>General</c:formatCode>
                <c:ptCount val="5"/>
                <c:pt idx="0">
                  <c:v>1.2</c:v>
                </c:pt>
                <c:pt idx="1">
                  <c:v>1.5</c:v>
                </c:pt>
                <c:pt idx="2">
                  <c:v>1</c:v>
                </c:pt>
                <c:pt idx="3">
                  <c:v>1.3</c:v>
                </c:pt>
                <c:pt idx="4">
                  <c:v>0.8</c:v>
                </c:pt>
              </c:numCache>
            </c:numRef>
          </c:val>
          <c:smooth val="0"/>
          <c:extLst>
            <c:ext xmlns:c16="http://schemas.microsoft.com/office/drawing/2014/chart" uri="{C3380CC4-5D6E-409C-BE32-E72D297353CC}">
              <c16:uniqueId val="{00000000-7902-4DED-ADA3-56CB77EE5064}"/>
            </c:ext>
          </c:extLst>
        </c:ser>
        <c:ser>
          <c:idx val="0"/>
          <c:order val="0"/>
          <c:tx>
            <c:strRef>
              <c:f>Sheet1!$A$2</c:f>
              <c:strCache>
                <c:ptCount val="1"/>
                <c:pt idx="0">
                  <c:v>País</c:v>
                </c:pt>
              </c:strCache>
            </c:strRef>
          </c:tx>
          <c:spPr>
            <a:ln w="50800">
              <a:solidFill>
                <a:srgbClr val="F79646">
                  <a:lumMod val="75000"/>
                </a:srgbClr>
              </a:solidFill>
            </a:ln>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2013</c:v>
                </c:pt>
                <c:pt idx="1">
                  <c:v>2014</c:v>
                </c:pt>
                <c:pt idx="2">
                  <c:v>2015</c:v>
                </c:pt>
                <c:pt idx="3">
                  <c:v>2016</c:v>
                </c:pt>
                <c:pt idx="4">
                  <c:v>2017</c:v>
                </c:pt>
              </c:numCache>
            </c:numRef>
          </c:cat>
          <c:val>
            <c:numRef>
              <c:f>Sheet1!$B$2:$F$2</c:f>
              <c:numCache>
                <c:formatCode>General</c:formatCode>
                <c:ptCount val="5"/>
                <c:pt idx="0">
                  <c:v>2.9</c:v>
                </c:pt>
                <c:pt idx="1">
                  <c:v>3.2</c:v>
                </c:pt>
                <c:pt idx="2">
                  <c:v>3.2</c:v>
                </c:pt>
                <c:pt idx="3">
                  <c:v>3.5</c:v>
                </c:pt>
                <c:pt idx="4">
                  <c:v>2.9</c:v>
                </c:pt>
              </c:numCache>
            </c:numRef>
          </c:val>
          <c:smooth val="0"/>
          <c:extLst>
            <c:ext xmlns:c16="http://schemas.microsoft.com/office/drawing/2014/chart" uri="{C3380CC4-5D6E-409C-BE32-E72D297353CC}">
              <c16:uniqueId val="{00000001-7902-4DED-ADA3-56CB77EE5064}"/>
            </c:ext>
          </c:extLst>
        </c:ser>
        <c:ser>
          <c:idx val="1"/>
          <c:order val="1"/>
          <c:tx>
            <c:strRef>
              <c:f>Sheet1!$A$3</c:f>
              <c:strCache>
                <c:ptCount val="1"/>
                <c:pt idx="0">
                  <c:v>Masculino</c:v>
                </c:pt>
              </c:strCache>
            </c:strRef>
          </c:tx>
          <c:spPr>
            <a:ln w="50800">
              <a:solidFill>
                <a:srgbClr val="1F497D">
                  <a:lumMod val="60000"/>
                  <a:lumOff val="40000"/>
                </a:srgbClr>
              </a:solidFill>
            </a:ln>
          </c:spPr>
          <c:marker>
            <c:symbol val="none"/>
          </c:marker>
          <c:dPt>
            <c:idx val="0"/>
            <c:bubble3D val="0"/>
            <c:extLst>
              <c:ext xmlns:c16="http://schemas.microsoft.com/office/drawing/2014/chart" uri="{C3380CC4-5D6E-409C-BE32-E72D297353CC}">
                <c16:uniqueId val="{00000002-7902-4DED-ADA3-56CB77EE5064}"/>
              </c:ext>
            </c:extLst>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2013</c:v>
                </c:pt>
                <c:pt idx="1">
                  <c:v>2014</c:v>
                </c:pt>
                <c:pt idx="2">
                  <c:v>2015</c:v>
                </c:pt>
                <c:pt idx="3">
                  <c:v>2016</c:v>
                </c:pt>
                <c:pt idx="4">
                  <c:v>2017</c:v>
                </c:pt>
              </c:numCache>
            </c:numRef>
          </c:cat>
          <c:val>
            <c:numRef>
              <c:f>Sheet1!$B$3:$F$3</c:f>
              <c:numCache>
                <c:formatCode>General</c:formatCode>
                <c:ptCount val="5"/>
                <c:pt idx="0">
                  <c:v>4.5</c:v>
                </c:pt>
                <c:pt idx="1">
                  <c:v>4.9000000000000004</c:v>
                </c:pt>
                <c:pt idx="2">
                  <c:v>5.4</c:v>
                </c:pt>
                <c:pt idx="3">
                  <c:v>5.5</c:v>
                </c:pt>
                <c:pt idx="4">
                  <c:v>5</c:v>
                </c:pt>
              </c:numCache>
            </c:numRef>
          </c:val>
          <c:smooth val="1"/>
          <c:extLst>
            <c:ext xmlns:c16="http://schemas.microsoft.com/office/drawing/2014/chart" uri="{C3380CC4-5D6E-409C-BE32-E72D297353CC}">
              <c16:uniqueId val="{00000003-7902-4DED-ADA3-56CB77EE5064}"/>
            </c:ext>
          </c:extLst>
        </c:ser>
        <c:dLbls>
          <c:showLegendKey val="0"/>
          <c:showVal val="0"/>
          <c:showCatName val="0"/>
          <c:showSerName val="0"/>
          <c:showPercent val="0"/>
          <c:showBubbleSize val="0"/>
        </c:dLbls>
        <c:smooth val="0"/>
        <c:axId val="1831501984"/>
        <c:axId val="1831512864"/>
      </c:lineChart>
      <c:catAx>
        <c:axId val="1831501984"/>
        <c:scaling>
          <c:orientation val="minMax"/>
        </c:scaling>
        <c:delete val="0"/>
        <c:axPos val="b"/>
        <c:title>
          <c:tx>
            <c:rich>
              <a:bodyPr/>
              <a:lstStyle/>
              <a:p>
                <a:pPr>
                  <a:defRPr/>
                </a:pPr>
                <a:r>
                  <a:rPr lang="es-CR"/>
                  <a:t>Año</a:t>
                </a:r>
              </a:p>
            </c:rich>
          </c:tx>
          <c:layout>
            <c:manualLayout>
              <c:xMode val="edge"/>
              <c:yMode val="edge"/>
              <c:x val="0.2771533507117071"/>
              <c:y val="0.89231340058396313"/>
            </c:manualLayout>
          </c:layout>
          <c:overlay val="0"/>
        </c:title>
        <c:numFmt formatCode="General" sourceLinked="1"/>
        <c:majorTickMark val="out"/>
        <c:minorTickMark val="none"/>
        <c:tickLblPos val="nextTo"/>
        <c:txPr>
          <a:bodyPr rot="0" vert="horz"/>
          <a:lstStyle/>
          <a:p>
            <a:pPr>
              <a:defRPr sz="800">
                <a:latin typeface="Arial" panose="020B0604020202020204" pitchFamily="34" charset="0"/>
                <a:cs typeface="Arial" panose="020B0604020202020204" pitchFamily="34" charset="0"/>
              </a:defRPr>
            </a:pPr>
            <a:endParaRPr lang="es-CR"/>
          </a:p>
        </c:txPr>
        <c:crossAx val="1831512864"/>
        <c:crosses val="autoZero"/>
        <c:auto val="1"/>
        <c:lblAlgn val="ctr"/>
        <c:lblOffset val="100"/>
        <c:noMultiLvlLbl val="0"/>
      </c:catAx>
      <c:valAx>
        <c:axId val="1831512864"/>
        <c:scaling>
          <c:orientation val="minMax"/>
        </c:scaling>
        <c:delete val="0"/>
        <c:axPos val="l"/>
        <c:majorGridlines>
          <c:spPr>
            <a:ln>
              <a:noFill/>
            </a:ln>
          </c:spPr>
        </c:majorGridlines>
        <c:title>
          <c:tx>
            <c:rich>
              <a:bodyPr/>
              <a:lstStyle/>
              <a:p>
                <a:pPr>
                  <a:defRPr/>
                </a:pPr>
                <a:r>
                  <a:rPr lang="es-CR"/>
                  <a:t>Tasa</a:t>
                </a:r>
              </a:p>
            </c:rich>
          </c:tx>
          <c:layout>
            <c:manualLayout>
              <c:xMode val="edge"/>
              <c:yMode val="edge"/>
              <c:x val="1.2458144097175567E-2"/>
              <c:y val="0.34353090479074738"/>
            </c:manualLayout>
          </c:layout>
          <c:overlay val="0"/>
        </c:title>
        <c:numFmt formatCode="#,##0.0" sourceLinked="0"/>
        <c:majorTickMark val="out"/>
        <c:minorTickMark val="none"/>
        <c:tickLblPos val="nextTo"/>
        <c:txPr>
          <a:bodyPr rot="0" vert="horz"/>
          <a:lstStyle/>
          <a:p>
            <a:pPr>
              <a:defRPr sz="800">
                <a:latin typeface="Arial" panose="020B0604020202020204" pitchFamily="34" charset="0"/>
                <a:cs typeface="Arial" panose="020B0604020202020204" pitchFamily="34" charset="0"/>
              </a:defRPr>
            </a:pPr>
            <a:endParaRPr lang="es-CR"/>
          </a:p>
        </c:txPr>
        <c:crossAx val="1831501984"/>
        <c:crosses val="autoZero"/>
        <c:crossBetween val="between"/>
      </c:valAx>
      <c:spPr>
        <a:noFill/>
      </c:spPr>
    </c:plotArea>
    <c:legend>
      <c:legendPos val="b"/>
      <c:layout>
        <c:manualLayout>
          <c:xMode val="edge"/>
          <c:yMode val="edge"/>
          <c:x val="0.47183879318839411"/>
          <c:y val="0.9091290094762251"/>
          <c:w val="0.51471392867700416"/>
          <c:h val="6.5890016759953207E-2"/>
        </c:manualLayout>
      </c:layout>
      <c:overlay val="0"/>
      <c:txPr>
        <a:bodyPr/>
        <a:lstStyle/>
        <a:p>
          <a:pPr>
            <a:defRPr sz="800">
              <a:latin typeface="Arial" panose="020B0604020202020204" pitchFamily="34" charset="0"/>
              <a:cs typeface="Arial" panose="020B0604020202020204" pitchFamily="34" charset="0"/>
            </a:defRPr>
          </a:pPr>
          <a:endParaRPr lang="es-CR"/>
        </a:p>
      </c:txPr>
    </c:legend>
    <c:plotVisOnly val="1"/>
    <c:dispBlanksAs val="gap"/>
    <c:showDLblsOverMax val="0"/>
  </c:chart>
  <c:spPr>
    <a:ln>
      <a:noFill/>
    </a:ln>
  </c:spPr>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71823042933889"/>
          <c:y val="5.0925984410043645E-2"/>
          <c:w val="0.86102930330365157"/>
          <c:h val="0.70541906500549512"/>
        </c:manualLayout>
      </c:layout>
      <c:lineChart>
        <c:grouping val="standard"/>
        <c:varyColors val="0"/>
        <c:ser>
          <c:idx val="0"/>
          <c:order val="0"/>
          <c:tx>
            <c:strRef>
              <c:f>Hoja2!$B$30</c:f>
              <c:strCache>
                <c:ptCount val="1"/>
                <c:pt idx="0">
                  <c:v>menos 1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2.5462668816039986E-17"/>
                  <c:y val="-4.1666666666666664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5E5-44A1-962D-B75DE1761A97}"/>
                </c:ext>
              </c:extLst>
            </c:dLbl>
            <c:dLbl>
              <c:idx val="1"/>
              <c:layout>
                <c:manualLayout>
                  <c:x val="-8.3333333333333835E-3"/>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5E5-44A1-962D-B75DE1761A97}"/>
                </c:ext>
              </c:extLst>
            </c:dLbl>
            <c:dLbl>
              <c:idx val="2"/>
              <c:layout>
                <c:manualLayout>
                  <c:x val="-8.3333333333333332E-3"/>
                  <c:y val="-5.5555555555555552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5E5-44A1-962D-B75DE1761A97}"/>
                </c:ext>
              </c:extLst>
            </c:dLbl>
            <c:dLbl>
              <c:idx val="3"/>
              <c:layout>
                <c:manualLayout>
                  <c:x val="0"/>
                  <c:y val="-5.5555555555555552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5E5-44A1-962D-B75DE1761A97}"/>
                </c:ext>
              </c:extLst>
            </c:dLbl>
            <c:dLbl>
              <c:idx val="4"/>
              <c:layout>
                <c:manualLayout>
                  <c:x val="-5.5555555555554534E-3"/>
                  <c:y val="-6.9444444444444531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5E5-44A1-962D-B75DE1761A9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Hoja2!$C$29:$G$29</c:f>
              <c:numCache>
                <c:formatCode>General</c:formatCode>
                <c:ptCount val="5"/>
                <c:pt idx="0">
                  <c:v>2014</c:v>
                </c:pt>
                <c:pt idx="1">
                  <c:v>2015</c:v>
                </c:pt>
                <c:pt idx="2">
                  <c:v>2016</c:v>
                </c:pt>
                <c:pt idx="3">
                  <c:v>2017</c:v>
                </c:pt>
                <c:pt idx="4">
                  <c:v>2018</c:v>
                </c:pt>
              </c:numCache>
            </c:numRef>
          </c:cat>
          <c:val>
            <c:numRef>
              <c:f>Hoja2!$C$30:$G$30</c:f>
              <c:numCache>
                <c:formatCode>#,##0</c:formatCode>
                <c:ptCount val="5"/>
                <c:pt idx="0">
                  <c:v>15976.5</c:v>
                </c:pt>
                <c:pt idx="1">
                  <c:v>16391.2</c:v>
                </c:pt>
                <c:pt idx="2">
                  <c:v>15270.6</c:v>
                </c:pt>
                <c:pt idx="3">
                  <c:v>14097.5</c:v>
                </c:pt>
                <c:pt idx="4">
                  <c:v>13651</c:v>
                </c:pt>
              </c:numCache>
            </c:numRef>
          </c:val>
          <c:smooth val="0"/>
          <c:extLst>
            <c:ext xmlns:c16="http://schemas.microsoft.com/office/drawing/2014/chart" uri="{C3380CC4-5D6E-409C-BE32-E72D297353CC}">
              <c16:uniqueId val="{00000005-35E5-44A1-962D-B75DE1761A97}"/>
            </c:ext>
          </c:extLst>
        </c:ser>
        <c:ser>
          <c:idx val="1"/>
          <c:order val="1"/>
          <c:tx>
            <c:strRef>
              <c:f>Hoja2!$B$31</c:f>
              <c:strCache>
                <c:ptCount val="1"/>
                <c:pt idx="0">
                  <c:v>1 a 9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Hoja2!$C$29:$G$29</c:f>
              <c:numCache>
                <c:formatCode>General</c:formatCode>
                <c:ptCount val="5"/>
                <c:pt idx="0">
                  <c:v>2014</c:v>
                </c:pt>
                <c:pt idx="1">
                  <c:v>2015</c:v>
                </c:pt>
                <c:pt idx="2">
                  <c:v>2016</c:v>
                </c:pt>
                <c:pt idx="3">
                  <c:v>2017</c:v>
                </c:pt>
                <c:pt idx="4">
                  <c:v>2018</c:v>
                </c:pt>
              </c:numCache>
            </c:numRef>
          </c:cat>
          <c:val>
            <c:numRef>
              <c:f>Hoja2!$C$31:$G$31</c:f>
              <c:numCache>
                <c:formatCode>#,##0</c:formatCode>
                <c:ptCount val="5"/>
                <c:pt idx="0">
                  <c:v>10742.4</c:v>
                </c:pt>
                <c:pt idx="1">
                  <c:v>10941.4</c:v>
                </c:pt>
                <c:pt idx="2">
                  <c:v>9826.7000000000007</c:v>
                </c:pt>
                <c:pt idx="3">
                  <c:v>9849</c:v>
                </c:pt>
                <c:pt idx="4">
                  <c:v>8810.4</c:v>
                </c:pt>
              </c:numCache>
            </c:numRef>
          </c:val>
          <c:smooth val="0"/>
          <c:extLst>
            <c:ext xmlns:c16="http://schemas.microsoft.com/office/drawing/2014/chart" uri="{C3380CC4-5D6E-409C-BE32-E72D297353CC}">
              <c16:uniqueId val="{00000006-35E5-44A1-962D-B75DE1761A97}"/>
            </c:ext>
          </c:extLst>
        </c:ser>
        <c:ser>
          <c:idx val="2"/>
          <c:order val="2"/>
          <c:tx>
            <c:strRef>
              <c:f>Hoja2!$B$32</c:f>
              <c:strCache>
                <c:ptCount val="1"/>
                <c:pt idx="0">
                  <c:v>10 a 19</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Hoja2!$C$29:$G$29</c:f>
              <c:numCache>
                <c:formatCode>General</c:formatCode>
                <c:ptCount val="5"/>
                <c:pt idx="0">
                  <c:v>2014</c:v>
                </c:pt>
                <c:pt idx="1">
                  <c:v>2015</c:v>
                </c:pt>
                <c:pt idx="2">
                  <c:v>2016</c:v>
                </c:pt>
                <c:pt idx="3">
                  <c:v>2017</c:v>
                </c:pt>
                <c:pt idx="4">
                  <c:v>2018</c:v>
                </c:pt>
              </c:numCache>
            </c:numRef>
          </c:cat>
          <c:val>
            <c:numRef>
              <c:f>Hoja2!$C$32:$G$32</c:f>
              <c:numCache>
                <c:formatCode>#,##0</c:formatCode>
                <c:ptCount val="5"/>
                <c:pt idx="0">
                  <c:v>4692.7</c:v>
                </c:pt>
                <c:pt idx="1">
                  <c:v>4211.6000000000004</c:v>
                </c:pt>
                <c:pt idx="2">
                  <c:v>4095.1</c:v>
                </c:pt>
                <c:pt idx="3">
                  <c:v>4088.5</c:v>
                </c:pt>
                <c:pt idx="4">
                  <c:v>3442.1</c:v>
                </c:pt>
              </c:numCache>
            </c:numRef>
          </c:val>
          <c:smooth val="0"/>
          <c:extLst>
            <c:ext xmlns:c16="http://schemas.microsoft.com/office/drawing/2014/chart" uri="{C3380CC4-5D6E-409C-BE32-E72D297353CC}">
              <c16:uniqueId val="{00000007-35E5-44A1-962D-B75DE1761A97}"/>
            </c:ext>
          </c:extLst>
        </c:ser>
        <c:ser>
          <c:idx val="3"/>
          <c:order val="3"/>
          <c:tx>
            <c:strRef>
              <c:f>Hoja2!$B$33</c:f>
              <c:strCache>
                <c:ptCount val="1"/>
                <c:pt idx="0">
                  <c:v>20 a 64</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dLbl>
              <c:idx val="0"/>
              <c:layout>
                <c:manualLayout>
                  <c:x val="-2.5462668816039986E-17"/>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5E5-44A1-962D-B75DE1761A97}"/>
                </c:ext>
              </c:extLst>
            </c:dLbl>
            <c:dLbl>
              <c:idx val="1"/>
              <c:layout>
                <c:manualLayout>
                  <c:x val="-5.0925337632079971E-17"/>
                  <c:y val="4.1666666666666664E-2"/>
                </c:manualLayout>
              </c:layout>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15:layout>
                    <c:manualLayout>
                      <c:w val="8.6680446194225727E-2"/>
                      <c:h val="0.12493073782443861"/>
                    </c:manualLayout>
                  </c15:layout>
                </c:ext>
                <c:ext xmlns:c16="http://schemas.microsoft.com/office/drawing/2014/chart" uri="{C3380CC4-5D6E-409C-BE32-E72D297353CC}">
                  <c16:uniqueId val="{00000009-35E5-44A1-962D-B75DE1761A97}"/>
                </c:ext>
              </c:extLst>
            </c:dLbl>
            <c:dLbl>
              <c:idx val="2"/>
              <c:layout>
                <c:manualLayout>
                  <c:x val="-1.6666666666666666E-2"/>
                  <c:y val="6.9444444444444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5E5-44A1-962D-B75DE1761A97}"/>
                </c:ext>
              </c:extLst>
            </c:dLbl>
            <c:dLbl>
              <c:idx val="3"/>
              <c:layout>
                <c:manualLayout>
                  <c:x val="-1.6666666666666666E-2"/>
                  <c:y val="8.33333333333333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5E5-44A1-962D-B75DE1761A97}"/>
                </c:ext>
              </c:extLst>
            </c:dLbl>
            <c:dLbl>
              <c:idx val="4"/>
              <c:layout>
                <c:manualLayout>
                  <c:x val="-3.6111111111111212E-2"/>
                  <c:y val="7.8703703703703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5E5-44A1-962D-B75DE1761A9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Hoja2!$C$29:$G$29</c:f>
              <c:numCache>
                <c:formatCode>General</c:formatCode>
                <c:ptCount val="5"/>
                <c:pt idx="0">
                  <c:v>2014</c:v>
                </c:pt>
                <c:pt idx="1">
                  <c:v>2015</c:v>
                </c:pt>
                <c:pt idx="2">
                  <c:v>2016</c:v>
                </c:pt>
                <c:pt idx="3">
                  <c:v>2017</c:v>
                </c:pt>
                <c:pt idx="4">
                  <c:v>2018</c:v>
                </c:pt>
              </c:numCache>
            </c:numRef>
          </c:cat>
          <c:val>
            <c:numRef>
              <c:f>Hoja2!$C$33:$G$33</c:f>
              <c:numCache>
                <c:formatCode>#,##0</c:formatCode>
                <c:ptCount val="5"/>
                <c:pt idx="0">
                  <c:v>55333.2</c:v>
                </c:pt>
                <c:pt idx="1">
                  <c:v>53063.5</c:v>
                </c:pt>
                <c:pt idx="2">
                  <c:v>51724.5</c:v>
                </c:pt>
                <c:pt idx="3">
                  <c:v>48621.7</c:v>
                </c:pt>
                <c:pt idx="4">
                  <c:v>45627.4</c:v>
                </c:pt>
              </c:numCache>
            </c:numRef>
          </c:val>
          <c:smooth val="0"/>
          <c:extLst>
            <c:ext xmlns:c16="http://schemas.microsoft.com/office/drawing/2014/chart" uri="{C3380CC4-5D6E-409C-BE32-E72D297353CC}">
              <c16:uniqueId val="{0000000D-35E5-44A1-962D-B75DE1761A97}"/>
            </c:ext>
          </c:extLst>
        </c:ser>
        <c:ser>
          <c:idx val="4"/>
          <c:order val="4"/>
          <c:tx>
            <c:strRef>
              <c:f>Hoja2!$B$34</c:f>
              <c:strCache>
                <c:ptCount val="1"/>
                <c:pt idx="0">
                  <c:v> 65  y más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Hoja2!$C$29:$G$29</c:f>
              <c:numCache>
                <c:formatCode>General</c:formatCode>
                <c:ptCount val="5"/>
                <c:pt idx="0">
                  <c:v>2014</c:v>
                </c:pt>
                <c:pt idx="1">
                  <c:v>2015</c:v>
                </c:pt>
                <c:pt idx="2">
                  <c:v>2016</c:v>
                </c:pt>
                <c:pt idx="3">
                  <c:v>2017</c:v>
                </c:pt>
                <c:pt idx="4">
                  <c:v>2018</c:v>
                </c:pt>
              </c:numCache>
            </c:numRef>
          </c:cat>
          <c:val>
            <c:numRef>
              <c:f>Hoja2!$C$34:$G$34</c:f>
              <c:numCache>
                <c:formatCode>#,##0</c:formatCode>
                <c:ptCount val="5"/>
                <c:pt idx="0">
                  <c:v>7095.6</c:v>
                </c:pt>
                <c:pt idx="1">
                  <c:v>6519.7</c:v>
                </c:pt>
                <c:pt idx="2">
                  <c:v>6837</c:v>
                </c:pt>
                <c:pt idx="3">
                  <c:v>5194.5</c:v>
                </c:pt>
                <c:pt idx="4">
                  <c:v>5316.2</c:v>
                </c:pt>
              </c:numCache>
            </c:numRef>
          </c:val>
          <c:smooth val="0"/>
          <c:extLst>
            <c:ext xmlns:c16="http://schemas.microsoft.com/office/drawing/2014/chart" uri="{C3380CC4-5D6E-409C-BE32-E72D297353CC}">
              <c16:uniqueId val="{0000000E-35E5-44A1-962D-B75DE1761A97}"/>
            </c:ext>
          </c:extLst>
        </c:ser>
        <c:dLbls>
          <c:showLegendKey val="0"/>
          <c:showVal val="0"/>
          <c:showCatName val="0"/>
          <c:showSerName val="0"/>
          <c:showPercent val="0"/>
          <c:showBubbleSize val="0"/>
        </c:dLbls>
        <c:marker val="1"/>
        <c:smooth val="0"/>
        <c:axId val="1831514496"/>
        <c:axId val="1831503072"/>
      </c:lineChart>
      <c:catAx>
        <c:axId val="183151449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31503072"/>
        <c:crosses val="autoZero"/>
        <c:auto val="1"/>
        <c:lblAlgn val="ctr"/>
        <c:lblOffset val="100"/>
        <c:noMultiLvlLbl val="0"/>
      </c:catAx>
      <c:valAx>
        <c:axId val="183150307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Tasa por 100.0000 habitantes</a:t>
                </a:r>
              </a:p>
            </c:rich>
          </c:tx>
          <c:overlay val="0"/>
          <c:spPr>
            <a:noFill/>
            <a:ln>
              <a:solidFill>
                <a:schemeClr val="bg1"/>
              </a:solid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crossAx val="1831514496"/>
        <c:crosses val="autoZero"/>
        <c:crossBetween val="between"/>
      </c:valAx>
      <c:spPr>
        <a:noFill/>
        <a:ln>
          <a:noFill/>
        </a:ln>
        <a:effectLst/>
      </c:spPr>
    </c:plotArea>
    <c:legend>
      <c:legendPos val="b"/>
      <c:layout>
        <c:manualLayout>
          <c:xMode val="edge"/>
          <c:yMode val="edge"/>
          <c:x val="0.13063246267857984"/>
          <c:y val="0.90081247906663753"/>
          <c:w val="0.74645494346293906"/>
          <c:h val="6.9767941527671629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'Top PROV '!$H$11</c:f>
              <c:strCache>
                <c:ptCount val="1"/>
                <c:pt idx="0">
                  <c:v>N°</c:v>
                </c:pt>
              </c:strCache>
            </c:strRef>
          </c:tx>
          <c:spPr>
            <a:solidFill>
              <a:srgbClr val="92D050"/>
            </a:solidFill>
            <a:ln>
              <a:noFill/>
            </a:ln>
            <a:effectLst/>
          </c:spPr>
          <c:invertIfNegative val="0"/>
          <c:cat>
            <c:strRef>
              <c:f>'Top PROV '!$G$12:$G$18</c:f>
              <c:strCache>
                <c:ptCount val="7"/>
                <c:pt idx="0">
                  <c:v>Puntarenas</c:v>
                </c:pt>
                <c:pt idx="1">
                  <c:v>San José</c:v>
                </c:pt>
                <c:pt idx="2">
                  <c:v>Cartago</c:v>
                </c:pt>
                <c:pt idx="3">
                  <c:v>Guanacaste</c:v>
                </c:pt>
                <c:pt idx="4">
                  <c:v>Alajuela</c:v>
                </c:pt>
                <c:pt idx="5">
                  <c:v>Limón</c:v>
                </c:pt>
                <c:pt idx="6">
                  <c:v>Heredia</c:v>
                </c:pt>
              </c:strCache>
            </c:strRef>
          </c:cat>
          <c:val>
            <c:numRef>
              <c:f>'Top PROV '!$H$12:$H$18</c:f>
              <c:numCache>
                <c:formatCode>0</c:formatCode>
                <c:ptCount val="7"/>
                <c:pt idx="0">
                  <c:v>8716</c:v>
                </c:pt>
                <c:pt idx="1">
                  <c:v>28279</c:v>
                </c:pt>
                <c:pt idx="2">
                  <c:v>8287</c:v>
                </c:pt>
                <c:pt idx="3">
                  <c:v>4690</c:v>
                </c:pt>
                <c:pt idx="4">
                  <c:v>11714</c:v>
                </c:pt>
                <c:pt idx="5">
                  <c:v>5162</c:v>
                </c:pt>
                <c:pt idx="6">
                  <c:v>5044</c:v>
                </c:pt>
              </c:numCache>
            </c:numRef>
          </c:val>
          <c:extLst>
            <c:ext xmlns:c16="http://schemas.microsoft.com/office/drawing/2014/chart" uri="{C3380CC4-5D6E-409C-BE32-E72D297353CC}">
              <c16:uniqueId val="{00000000-B8FA-4FEF-8675-DB6783EF4839}"/>
            </c:ext>
          </c:extLst>
        </c:ser>
        <c:dLbls>
          <c:showLegendKey val="0"/>
          <c:showVal val="0"/>
          <c:showCatName val="0"/>
          <c:showSerName val="0"/>
          <c:showPercent val="0"/>
          <c:showBubbleSize val="0"/>
        </c:dLbls>
        <c:gapWidth val="150"/>
        <c:axId val="1708000128"/>
        <c:axId val="1708001216"/>
      </c:barChart>
      <c:lineChart>
        <c:grouping val="standard"/>
        <c:varyColors val="0"/>
        <c:ser>
          <c:idx val="1"/>
          <c:order val="1"/>
          <c:tx>
            <c:strRef>
              <c:f>'Top PROV '!$I$11</c:f>
              <c:strCache>
                <c:ptCount val="1"/>
                <c:pt idx="0">
                  <c:v>Tasa promedio</c:v>
                </c:pt>
              </c:strCache>
            </c:strRef>
          </c:tx>
          <c:spPr>
            <a:ln w="28575" cap="rnd">
              <a:solidFill>
                <a:schemeClr val="accent2"/>
              </a:solidFill>
              <a:round/>
            </a:ln>
            <a:effectLst/>
          </c:spPr>
          <c:marker>
            <c:symbol val="none"/>
          </c:marker>
          <c:cat>
            <c:strRef>
              <c:f>'Top PROV '!$G$12:$G$18</c:f>
              <c:strCache>
                <c:ptCount val="7"/>
                <c:pt idx="0">
                  <c:v>Puntarenas</c:v>
                </c:pt>
                <c:pt idx="1">
                  <c:v>San José</c:v>
                </c:pt>
                <c:pt idx="2">
                  <c:v>Cartago</c:v>
                </c:pt>
                <c:pt idx="3">
                  <c:v>Guanacaste</c:v>
                </c:pt>
                <c:pt idx="4">
                  <c:v>Alajuela</c:v>
                </c:pt>
                <c:pt idx="5">
                  <c:v>Limón</c:v>
                </c:pt>
                <c:pt idx="6">
                  <c:v>Heredia</c:v>
                </c:pt>
              </c:strCache>
            </c:strRef>
          </c:cat>
          <c:val>
            <c:numRef>
              <c:f>'Top PROV '!$I$12:$I$18</c:f>
              <c:numCache>
                <c:formatCode>0.0</c:formatCode>
                <c:ptCount val="7"/>
                <c:pt idx="0">
                  <c:v>366.94021764623119</c:v>
                </c:pt>
                <c:pt idx="1">
                  <c:v>352.24509585880543</c:v>
                </c:pt>
                <c:pt idx="2">
                  <c:v>315.2704137272849</c:v>
                </c:pt>
                <c:pt idx="3">
                  <c:v>252.44214859862717</c:v>
                </c:pt>
                <c:pt idx="4">
                  <c:v>240.08994821728328</c:v>
                </c:pt>
                <c:pt idx="5">
                  <c:v>234.31307153999714</c:v>
                </c:pt>
                <c:pt idx="6">
                  <c:v>203.91749603266825</c:v>
                </c:pt>
              </c:numCache>
            </c:numRef>
          </c:val>
          <c:smooth val="0"/>
          <c:extLst>
            <c:ext xmlns:c16="http://schemas.microsoft.com/office/drawing/2014/chart" uri="{C3380CC4-5D6E-409C-BE32-E72D297353CC}">
              <c16:uniqueId val="{00000001-B8FA-4FEF-8675-DB6783EF4839}"/>
            </c:ext>
          </c:extLst>
        </c:ser>
        <c:dLbls>
          <c:showLegendKey val="0"/>
          <c:showVal val="0"/>
          <c:showCatName val="0"/>
          <c:showSerName val="0"/>
          <c:showPercent val="0"/>
          <c:showBubbleSize val="0"/>
        </c:dLbls>
        <c:marker val="1"/>
        <c:smooth val="0"/>
        <c:axId val="1708005024"/>
        <c:axId val="1708003936"/>
      </c:lineChart>
      <c:catAx>
        <c:axId val="17080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708001216"/>
        <c:crosses val="autoZero"/>
        <c:auto val="1"/>
        <c:lblAlgn val="ctr"/>
        <c:lblOffset val="100"/>
        <c:noMultiLvlLbl val="0"/>
      </c:catAx>
      <c:valAx>
        <c:axId val="17080012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708000128"/>
        <c:crosses val="autoZero"/>
        <c:crossBetween val="between"/>
      </c:valAx>
      <c:valAx>
        <c:axId val="1708003936"/>
        <c:scaling>
          <c:orientation val="minMax"/>
        </c:scaling>
        <c:delete val="0"/>
        <c:axPos val="r"/>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708005024"/>
        <c:crosses val="max"/>
        <c:crossBetween val="between"/>
      </c:valAx>
      <c:catAx>
        <c:axId val="1708005024"/>
        <c:scaling>
          <c:orientation val="minMax"/>
        </c:scaling>
        <c:delete val="1"/>
        <c:axPos val="b"/>
        <c:numFmt formatCode="General" sourceLinked="1"/>
        <c:majorTickMark val="none"/>
        <c:minorTickMark val="none"/>
        <c:tickLblPos val="nextTo"/>
        <c:crossAx val="170800393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Hoja1!$A$11</c:f>
              <c:strCache>
                <c:ptCount val="1"/>
                <c:pt idx="0">
                  <c:v>Mortalidad en poblacion </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Hoja1!$B$10:$E$10</c:f>
              <c:numCache>
                <c:formatCode>General</c:formatCode>
                <c:ptCount val="4"/>
                <c:pt idx="0">
                  <c:v>2014</c:v>
                </c:pt>
                <c:pt idx="1">
                  <c:v>2015</c:v>
                </c:pt>
                <c:pt idx="2">
                  <c:v>2016</c:v>
                </c:pt>
                <c:pt idx="3">
                  <c:v>2017</c:v>
                </c:pt>
              </c:numCache>
            </c:numRef>
          </c:cat>
          <c:val>
            <c:numRef>
              <c:f>Hoja1!$B$11:$E$11</c:f>
              <c:numCache>
                <c:formatCode>0.00</c:formatCode>
                <c:ptCount val="4"/>
                <c:pt idx="0">
                  <c:v>1.4455956367314537</c:v>
                </c:pt>
                <c:pt idx="1">
                  <c:v>2.2763831252132816</c:v>
                </c:pt>
                <c:pt idx="2">
                  <c:v>2.4333527183617116</c:v>
                </c:pt>
                <c:pt idx="3">
                  <c:v>2.4052644163767383</c:v>
                </c:pt>
              </c:numCache>
            </c:numRef>
          </c:val>
          <c:smooth val="0"/>
          <c:extLst>
            <c:ext xmlns:c16="http://schemas.microsoft.com/office/drawing/2014/chart" uri="{C3380CC4-5D6E-409C-BE32-E72D297353CC}">
              <c16:uniqueId val="{00000000-878C-4584-A3C1-742D0DABD6A7}"/>
            </c:ext>
          </c:extLst>
        </c:ser>
        <c:ser>
          <c:idx val="1"/>
          <c:order val="1"/>
          <c:tx>
            <c:strRef>
              <c:f>Hoja1!$A$12</c:f>
              <c:strCache>
                <c:ptCount val="1"/>
                <c:pt idx="0">
                  <c:v>Masculino</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5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Hoja1!$B$10:$E$10</c:f>
              <c:numCache>
                <c:formatCode>General</c:formatCode>
                <c:ptCount val="4"/>
                <c:pt idx="0">
                  <c:v>2014</c:v>
                </c:pt>
                <c:pt idx="1">
                  <c:v>2015</c:v>
                </c:pt>
                <c:pt idx="2">
                  <c:v>2016</c:v>
                </c:pt>
                <c:pt idx="3">
                  <c:v>2017</c:v>
                </c:pt>
              </c:numCache>
            </c:numRef>
          </c:cat>
          <c:val>
            <c:numRef>
              <c:f>Hoja1!$B$12:$E$12</c:f>
              <c:numCache>
                <c:formatCode>0.00</c:formatCode>
                <c:ptCount val="4"/>
                <c:pt idx="0">
                  <c:v>1.12018553591543</c:v>
                </c:pt>
                <c:pt idx="1">
                  <c:v>2.0907431731086157</c:v>
                </c:pt>
                <c:pt idx="2">
                  <c:v>2.1881616403108</c:v>
                </c:pt>
                <c:pt idx="3">
                  <c:v>2.2438018979358625</c:v>
                </c:pt>
              </c:numCache>
            </c:numRef>
          </c:val>
          <c:smooth val="0"/>
          <c:extLst>
            <c:ext xmlns:c16="http://schemas.microsoft.com/office/drawing/2014/chart" uri="{C3380CC4-5D6E-409C-BE32-E72D297353CC}">
              <c16:uniqueId val="{00000001-878C-4584-A3C1-742D0DABD6A7}"/>
            </c:ext>
          </c:extLst>
        </c:ser>
        <c:ser>
          <c:idx val="2"/>
          <c:order val="2"/>
          <c:tx>
            <c:strRef>
              <c:f>Hoja1!$A$13</c:f>
              <c:strCache>
                <c:ptCount val="1"/>
                <c:pt idx="0">
                  <c:v>Femenino</c:v>
                </c:pt>
              </c:strCache>
            </c:strRef>
          </c:tx>
          <c:spPr>
            <a:ln w="31750" cap="rnd">
              <a:solidFill>
                <a:srgbClr val="C00000"/>
              </a:solidFill>
              <a:round/>
            </a:ln>
            <a:effectLst/>
          </c:spPr>
          <c:marker>
            <c:symbol val="circle"/>
            <c:size val="17"/>
            <c:spPr>
              <a:solidFill>
                <a:srgbClr val="C00000"/>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5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Hoja1!$B$10:$E$10</c:f>
              <c:numCache>
                <c:formatCode>General</c:formatCode>
                <c:ptCount val="4"/>
                <c:pt idx="0">
                  <c:v>2014</c:v>
                </c:pt>
                <c:pt idx="1">
                  <c:v>2015</c:v>
                </c:pt>
                <c:pt idx="2">
                  <c:v>2016</c:v>
                </c:pt>
                <c:pt idx="3">
                  <c:v>2017</c:v>
                </c:pt>
              </c:numCache>
            </c:numRef>
          </c:cat>
          <c:val>
            <c:numRef>
              <c:f>Hoja1!$B$13:$E$13</c:f>
              <c:numCache>
                <c:formatCode>0.00</c:formatCode>
                <c:ptCount val="4"/>
                <c:pt idx="0">
                  <c:v>1.7775490476569364</c:v>
                </c:pt>
                <c:pt idx="1">
                  <c:v>2.4656243901236281</c:v>
                </c:pt>
                <c:pt idx="2">
                  <c:v>2.683126478041499</c:v>
                </c:pt>
                <c:pt idx="3">
                  <c:v>2.5696277343592264</c:v>
                </c:pt>
              </c:numCache>
            </c:numRef>
          </c:val>
          <c:smooth val="0"/>
          <c:extLst>
            <c:ext xmlns:c16="http://schemas.microsoft.com/office/drawing/2014/chart" uri="{C3380CC4-5D6E-409C-BE32-E72D297353CC}">
              <c16:uniqueId val="{00000002-878C-4584-A3C1-742D0DABD6A7}"/>
            </c:ext>
          </c:extLst>
        </c:ser>
        <c:dLbls>
          <c:dLblPos val="ctr"/>
          <c:showLegendKey val="0"/>
          <c:showVal val="1"/>
          <c:showCatName val="0"/>
          <c:showSerName val="0"/>
          <c:showPercent val="0"/>
          <c:showBubbleSize val="0"/>
        </c:dLbls>
        <c:marker val="1"/>
        <c:smooth val="0"/>
        <c:axId val="1826702000"/>
        <c:axId val="1826703088"/>
      </c:lineChart>
      <c:catAx>
        <c:axId val="182670200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800" b="0" i="0" u="none" strike="noStrike" kern="1200" cap="all" baseline="0">
                <a:solidFill>
                  <a:schemeClr val="dk1">
                    <a:lumMod val="75000"/>
                    <a:lumOff val="25000"/>
                  </a:schemeClr>
                </a:solidFill>
                <a:latin typeface="+mn-lt"/>
                <a:ea typeface="+mn-ea"/>
                <a:cs typeface="+mn-cs"/>
              </a:defRPr>
            </a:pPr>
            <a:endParaRPr lang="es-CR"/>
          </a:p>
        </c:txPr>
        <c:crossAx val="1826703088"/>
        <c:crosses val="autoZero"/>
        <c:auto val="1"/>
        <c:lblAlgn val="ctr"/>
        <c:lblOffset val="100"/>
        <c:noMultiLvlLbl val="0"/>
      </c:catAx>
      <c:valAx>
        <c:axId val="182670308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extTo"/>
        <c:crossAx val="1826702000"/>
        <c:crosses val="autoZero"/>
        <c:crossBetween val="between"/>
      </c:valAx>
      <c:spPr>
        <a:solidFill>
          <a:schemeClr val="bg1"/>
        </a:solid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700" b="0" i="0" u="none" strike="noStrike" kern="1200" baseline="0">
              <a:solidFill>
                <a:schemeClr val="dk1">
                  <a:lumMod val="75000"/>
                  <a:lumOff val="2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s-C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'Top PROV CANT'!$M$10</c:f>
              <c:strCache>
                <c:ptCount val="1"/>
                <c:pt idx="0">
                  <c:v>Nº</c:v>
                </c:pt>
              </c:strCache>
            </c:strRef>
          </c:tx>
          <c:spPr>
            <a:solidFill>
              <a:schemeClr val="accent1">
                <a:lumMod val="50000"/>
              </a:schemeClr>
            </a:solidFill>
            <a:ln>
              <a:noFill/>
            </a:ln>
            <a:effectLst/>
          </c:spPr>
          <c:invertIfNegative val="0"/>
          <c:cat>
            <c:strRef>
              <c:f>'Top PROV CANT'!$L$12:$L$18</c:f>
              <c:strCache>
                <c:ptCount val="7"/>
                <c:pt idx="0">
                  <c:v>Puntarenas</c:v>
                </c:pt>
                <c:pt idx="1">
                  <c:v>San José</c:v>
                </c:pt>
                <c:pt idx="2">
                  <c:v>Cartago</c:v>
                </c:pt>
                <c:pt idx="3">
                  <c:v>Guanacaste</c:v>
                </c:pt>
                <c:pt idx="4">
                  <c:v>Limón</c:v>
                </c:pt>
                <c:pt idx="5">
                  <c:v>Alajuela</c:v>
                </c:pt>
                <c:pt idx="6">
                  <c:v>Heredia</c:v>
                </c:pt>
              </c:strCache>
            </c:strRef>
          </c:cat>
          <c:val>
            <c:numRef>
              <c:f>'Top PROV CANT'!$M$12:$M$18</c:f>
              <c:numCache>
                <c:formatCode>0</c:formatCode>
                <c:ptCount val="7"/>
                <c:pt idx="0">
                  <c:v>6197</c:v>
                </c:pt>
                <c:pt idx="1">
                  <c:v>16494</c:v>
                </c:pt>
                <c:pt idx="2">
                  <c:v>5207</c:v>
                </c:pt>
                <c:pt idx="3">
                  <c:v>3159</c:v>
                </c:pt>
                <c:pt idx="4">
                  <c:v>3542</c:v>
                </c:pt>
                <c:pt idx="5">
                  <c:v>6741</c:v>
                </c:pt>
                <c:pt idx="6">
                  <c:v>2915</c:v>
                </c:pt>
              </c:numCache>
            </c:numRef>
          </c:val>
          <c:extLst>
            <c:ext xmlns:c16="http://schemas.microsoft.com/office/drawing/2014/chart" uri="{C3380CC4-5D6E-409C-BE32-E72D297353CC}">
              <c16:uniqueId val="{00000000-1C69-46C3-B57E-7315ADEEF4C2}"/>
            </c:ext>
          </c:extLst>
        </c:ser>
        <c:dLbls>
          <c:showLegendKey val="0"/>
          <c:showVal val="0"/>
          <c:showCatName val="0"/>
          <c:showSerName val="0"/>
          <c:showPercent val="0"/>
          <c:showBubbleSize val="0"/>
        </c:dLbls>
        <c:gapWidth val="150"/>
        <c:axId val="1826706352"/>
        <c:axId val="1826715056"/>
      </c:barChart>
      <c:lineChart>
        <c:grouping val="standard"/>
        <c:varyColors val="0"/>
        <c:ser>
          <c:idx val="1"/>
          <c:order val="1"/>
          <c:tx>
            <c:strRef>
              <c:f>'Top PROV CANT'!$N$10</c:f>
              <c:strCache>
                <c:ptCount val="1"/>
                <c:pt idx="0">
                  <c:v>Tasa promedio</c:v>
                </c:pt>
              </c:strCache>
            </c:strRef>
          </c:tx>
          <c:spPr>
            <a:ln w="28575" cap="rnd">
              <a:solidFill>
                <a:schemeClr val="accent2"/>
              </a:solidFill>
              <a:round/>
            </a:ln>
            <a:effectLst/>
          </c:spPr>
          <c:marker>
            <c:symbol val="none"/>
          </c:marker>
          <c:cat>
            <c:strRef>
              <c:f>'Top PROV CANT'!$L$12:$L$18</c:f>
              <c:strCache>
                <c:ptCount val="7"/>
                <c:pt idx="0">
                  <c:v>Puntarenas</c:v>
                </c:pt>
                <c:pt idx="1">
                  <c:v>San José</c:v>
                </c:pt>
                <c:pt idx="2">
                  <c:v>Cartago</c:v>
                </c:pt>
                <c:pt idx="3">
                  <c:v>Guanacaste</c:v>
                </c:pt>
                <c:pt idx="4">
                  <c:v>Limón</c:v>
                </c:pt>
                <c:pt idx="5">
                  <c:v>Alajuela</c:v>
                </c:pt>
                <c:pt idx="6">
                  <c:v>Heredia</c:v>
                </c:pt>
              </c:strCache>
            </c:strRef>
          </c:cat>
          <c:val>
            <c:numRef>
              <c:f>'Top PROV CANT'!$N$12:$N$18</c:f>
              <c:numCache>
                <c:formatCode>0.0</c:formatCode>
                <c:ptCount val="7"/>
                <c:pt idx="0">
                  <c:v>261.2457607827314</c:v>
                </c:pt>
                <c:pt idx="1">
                  <c:v>205.41061009028539</c:v>
                </c:pt>
                <c:pt idx="2">
                  <c:v>198.15095423392367</c:v>
                </c:pt>
                <c:pt idx="3">
                  <c:v>170.14360312280724</c:v>
                </c:pt>
                <c:pt idx="4">
                  <c:v>160.85928958239776</c:v>
                </c:pt>
                <c:pt idx="5">
                  <c:v>138.09627070796236</c:v>
                </c:pt>
                <c:pt idx="6">
                  <c:v>117.51353517166294</c:v>
                </c:pt>
              </c:numCache>
            </c:numRef>
          </c:val>
          <c:smooth val="0"/>
          <c:extLst>
            <c:ext xmlns:c16="http://schemas.microsoft.com/office/drawing/2014/chart" uri="{C3380CC4-5D6E-409C-BE32-E72D297353CC}">
              <c16:uniqueId val="{00000001-1C69-46C3-B57E-7315ADEEF4C2}"/>
            </c:ext>
          </c:extLst>
        </c:ser>
        <c:dLbls>
          <c:showLegendKey val="0"/>
          <c:showVal val="0"/>
          <c:showCatName val="0"/>
          <c:showSerName val="0"/>
          <c:showPercent val="0"/>
          <c:showBubbleSize val="0"/>
        </c:dLbls>
        <c:marker val="1"/>
        <c:smooth val="0"/>
        <c:axId val="1826725392"/>
        <c:axId val="1826701456"/>
      </c:lineChart>
      <c:catAx>
        <c:axId val="1826706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26715056"/>
        <c:crosses val="autoZero"/>
        <c:auto val="1"/>
        <c:lblAlgn val="ctr"/>
        <c:lblOffset val="100"/>
        <c:noMultiLvlLbl val="0"/>
      </c:catAx>
      <c:valAx>
        <c:axId val="1826715056"/>
        <c:scaling>
          <c:orientation val="minMax"/>
          <c:max val="18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26706352"/>
        <c:crosses val="autoZero"/>
        <c:crossBetween val="between"/>
      </c:valAx>
      <c:valAx>
        <c:axId val="1826701456"/>
        <c:scaling>
          <c:orientation val="minMax"/>
        </c:scaling>
        <c:delete val="0"/>
        <c:axPos val="r"/>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26725392"/>
        <c:crosses val="max"/>
        <c:crossBetween val="between"/>
      </c:valAx>
      <c:catAx>
        <c:axId val="1826725392"/>
        <c:scaling>
          <c:orientation val="minMax"/>
        </c:scaling>
        <c:delete val="1"/>
        <c:axPos val="b"/>
        <c:numFmt formatCode="General" sourceLinked="1"/>
        <c:majorTickMark val="none"/>
        <c:minorTickMark val="none"/>
        <c:tickLblPos val="nextTo"/>
        <c:crossAx val="182670145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6032000549487633E-2"/>
          <c:y val="8.0466069853301528E-2"/>
          <c:w val="0.88303871400944778"/>
          <c:h val="0.67346767079426273"/>
        </c:manualLayout>
      </c:layout>
      <c:barChart>
        <c:barDir val="col"/>
        <c:grouping val="clustered"/>
        <c:varyColors val="0"/>
        <c:ser>
          <c:idx val="0"/>
          <c:order val="0"/>
          <c:tx>
            <c:strRef>
              <c:f>'DE prom'!$N$12</c:f>
              <c:strCache>
                <c:ptCount val="1"/>
                <c:pt idx="0">
                  <c:v>Total</c:v>
                </c:pt>
              </c:strCache>
            </c:strRef>
          </c:tx>
          <c:spPr>
            <a:solidFill>
              <a:schemeClr val="accent1"/>
            </a:solidFill>
            <a:ln>
              <a:noFill/>
            </a:ln>
            <a:effectLst/>
          </c:spPr>
          <c:invertIfNegative val="0"/>
          <c:cat>
            <c:strRef>
              <c:f>'DE prom'!$M$13:$M$29</c:f>
              <c:strCache>
                <c:ptCount val="17"/>
                <c:pt idx="0">
                  <c:v>&lt; 1 año</c:v>
                </c:pt>
                <c:pt idx="1">
                  <c:v> 1 a 4</c:v>
                </c:pt>
                <c:pt idx="2">
                  <c:v>5 a 9</c:v>
                </c:pt>
                <c:pt idx="3">
                  <c:v>10 a 14</c:v>
                </c:pt>
                <c:pt idx="4">
                  <c:v>15 a 19</c:v>
                </c:pt>
                <c:pt idx="5">
                  <c:v>20 a 24</c:v>
                </c:pt>
                <c:pt idx="6">
                  <c:v>25 a 29</c:v>
                </c:pt>
                <c:pt idx="7">
                  <c:v>30 a 34</c:v>
                </c:pt>
                <c:pt idx="8">
                  <c:v>35 a 39</c:v>
                </c:pt>
                <c:pt idx="9">
                  <c:v>40 a 44</c:v>
                </c:pt>
                <c:pt idx="10">
                  <c:v>45 a 49</c:v>
                </c:pt>
                <c:pt idx="11">
                  <c:v>50 a 54</c:v>
                </c:pt>
                <c:pt idx="12">
                  <c:v>55 a 59</c:v>
                </c:pt>
                <c:pt idx="13">
                  <c:v>60 a 64</c:v>
                </c:pt>
                <c:pt idx="14">
                  <c:v>65 a 69</c:v>
                </c:pt>
                <c:pt idx="15">
                  <c:v>70 a 74</c:v>
                </c:pt>
                <c:pt idx="16">
                  <c:v>&gt; 75 años</c:v>
                </c:pt>
              </c:strCache>
            </c:strRef>
          </c:cat>
          <c:val>
            <c:numRef>
              <c:f>'DE prom'!$N$13:$N$29</c:f>
              <c:numCache>
                <c:formatCode>0.0</c:formatCode>
                <c:ptCount val="17"/>
                <c:pt idx="0">
                  <c:v>0.27594580424404647</c:v>
                </c:pt>
                <c:pt idx="1">
                  <c:v>2.6996792737504944</c:v>
                </c:pt>
                <c:pt idx="2">
                  <c:v>5.5705717985981575</c:v>
                </c:pt>
                <c:pt idx="3">
                  <c:v>8.868342575095495</c:v>
                </c:pt>
                <c:pt idx="4">
                  <c:v>12.770586387034587</c:v>
                </c:pt>
                <c:pt idx="5">
                  <c:v>22.371138555607928</c:v>
                </c:pt>
                <c:pt idx="6">
                  <c:v>46.668662210593617</c:v>
                </c:pt>
                <c:pt idx="7">
                  <c:v>86.492243311641516</c:v>
                </c:pt>
                <c:pt idx="8">
                  <c:v>158.95289877648301</c:v>
                </c:pt>
                <c:pt idx="9">
                  <c:v>246.67959293308854</c:v>
                </c:pt>
                <c:pt idx="10">
                  <c:v>345.92060243681999</c:v>
                </c:pt>
                <c:pt idx="11">
                  <c:v>445.9325792645306</c:v>
                </c:pt>
                <c:pt idx="12">
                  <c:v>499.61566290402925</c:v>
                </c:pt>
                <c:pt idx="13">
                  <c:v>560.96768433077307</c:v>
                </c:pt>
                <c:pt idx="14">
                  <c:v>647.20523812356339</c:v>
                </c:pt>
                <c:pt idx="15">
                  <c:v>597.40945903615443</c:v>
                </c:pt>
                <c:pt idx="16">
                  <c:v>498.61269428060905</c:v>
                </c:pt>
              </c:numCache>
            </c:numRef>
          </c:val>
          <c:extLst>
            <c:ext xmlns:c16="http://schemas.microsoft.com/office/drawing/2014/chart" uri="{C3380CC4-5D6E-409C-BE32-E72D297353CC}">
              <c16:uniqueId val="{00000000-68C8-49D7-9382-31FB25493FFD}"/>
            </c:ext>
          </c:extLst>
        </c:ser>
        <c:ser>
          <c:idx val="1"/>
          <c:order val="1"/>
          <c:tx>
            <c:strRef>
              <c:f>'DE prom'!$O$12</c:f>
              <c:strCache>
                <c:ptCount val="1"/>
                <c:pt idx="0">
                  <c:v>Mujeres</c:v>
                </c:pt>
              </c:strCache>
            </c:strRef>
          </c:tx>
          <c:spPr>
            <a:solidFill>
              <a:schemeClr val="accent2"/>
            </a:solidFill>
            <a:ln>
              <a:noFill/>
            </a:ln>
            <a:effectLst/>
          </c:spPr>
          <c:invertIfNegative val="0"/>
          <c:cat>
            <c:strRef>
              <c:f>'DE prom'!$M$13:$M$29</c:f>
              <c:strCache>
                <c:ptCount val="17"/>
                <c:pt idx="0">
                  <c:v>&lt; 1 año</c:v>
                </c:pt>
                <c:pt idx="1">
                  <c:v> 1 a 4</c:v>
                </c:pt>
                <c:pt idx="2">
                  <c:v>5 a 9</c:v>
                </c:pt>
                <c:pt idx="3">
                  <c:v>10 a 14</c:v>
                </c:pt>
                <c:pt idx="4">
                  <c:v>15 a 19</c:v>
                </c:pt>
                <c:pt idx="5">
                  <c:v>20 a 24</c:v>
                </c:pt>
                <c:pt idx="6">
                  <c:v>25 a 29</c:v>
                </c:pt>
                <c:pt idx="7">
                  <c:v>30 a 34</c:v>
                </c:pt>
                <c:pt idx="8">
                  <c:v>35 a 39</c:v>
                </c:pt>
                <c:pt idx="9">
                  <c:v>40 a 44</c:v>
                </c:pt>
                <c:pt idx="10">
                  <c:v>45 a 49</c:v>
                </c:pt>
                <c:pt idx="11">
                  <c:v>50 a 54</c:v>
                </c:pt>
                <c:pt idx="12">
                  <c:v>55 a 59</c:v>
                </c:pt>
                <c:pt idx="13">
                  <c:v>60 a 64</c:v>
                </c:pt>
                <c:pt idx="14">
                  <c:v>65 a 69</c:v>
                </c:pt>
                <c:pt idx="15">
                  <c:v>70 a 74</c:v>
                </c:pt>
                <c:pt idx="16">
                  <c:v>&gt; 75 años</c:v>
                </c:pt>
              </c:strCache>
            </c:strRef>
          </c:cat>
          <c:val>
            <c:numRef>
              <c:f>'DE prom'!$O$13:$O$29</c:f>
              <c:numCache>
                <c:formatCode>0.0</c:formatCode>
                <c:ptCount val="17"/>
                <c:pt idx="0">
                  <c:v>0</c:v>
                </c:pt>
                <c:pt idx="1">
                  <c:v>3.3148404550690862</c:v>
                </c:pt>
                <c:pt idx="2">
                  <c:v>6.443328399537398</c:v>
                </c:pt>
                <c:pt idx="3">
                  <c:v>9.6395232979287684</c:v>
                </c:pt>
                <c:pt idx="4">
                  <c:v>15.198906038138636</c:v>
                </c:pt>
                <c:pt idx="5">
                  <c:v>27.518926987614002</c:v>
                </c:pt>
                <c:pt idx="6">
                  <c:v>54.616571187462057</c:v>
                </c:pt>
                <c:pt idx="7">
                  <c:v>94.49417846102078</c:v>
                </c:pt>
                <c:pt idx="8">
                  <c:v>176.36992617359141</c:v>
                </c:pt>
                <c:pt idx="9">
                  <c:v>269.74292093345991</c:v>
                </c:pt>
                <c:pt idx="10">
                  <c:v>394.95045305517198</c:v>
                </c:pt>
                <c:pt idx="11">
                  <c:v>502.43091571433234</c:v>
                </c:pt>
                <c:pt idx="12">
                  <c:v>547.71263299935367</c:v>
                </c:pt>
                <c:pt idx="13">
                  <c:v>603.8904577888394</c:v>
                </c:pt>
                <c:pt idx="14">
                  <c:v>648.90156559124807</c:v>
                </c:pt>
                <c:pt idx="15">
                  <c:v>612.46914465825262</c:v>
                </c:pt>
                <c:pt idx="16">
                  <c:v>482.8452503693573</c:v>
                </c:pt>
              </c:numCache>
            </c:numRef>
          </c:val>
          <c:extLst>
            <c:ext xmlns:c16="http://schemas.microsoft.com/office/drawing/2014/chart" uri="{C3380CC4-5D6E-409C-BE32-E72D297353CC}">
              <c16:uniqueId val="{00000001-68C8-49D7-9382-31FB25493FFD}"/>
            </c:ext>
          </c:extLst>
        </c:ser>
        <c:ser>
          <c:idx val="2"/>
          <c:order val="2"/>
          <c:tx>
            <c:strRef>
              <c:f>'DE prom'!$P$12</c:f>
              <c:strCache>
                <c:ptCount val="1"/>
                <c:pt idx="0">
                  <c:v>Hombres</c:v>
                </c:pt>
              </c:strCache>
            </c:strRef>
          </c:tx>
          <c:spPr>
            <a:solidFill>
              <a:srgbClr val="00B050"/>
            </a:solidFill>
            <a:ln>
              <a:noFill/>
            </a:ln>
            <a:effectLst/>
          </c:spPr>
          <c:invertIfNegative val="0"/>
          <c:cat>
            <c:strRef>
              <c:f>'DE prom'!$M$13:$M$29</c:f>
              <c:strCache>
                <c:ptCount val="17"/>
                <c:pt idx="0">
                  <c:v>&lt; 1 año</c:v>
                </c:pt>
                <c:pt idx="1">
                  <c:v> 1 a 4</c:v>
                </c:pt>
                <c:pt idx="2">
                  <c:v>5 a 9</c:v>
                </c:pt>
                <c:pt idx="3">
                  <c:v>10 a 14</c:v>
                </c:pt>
                <c:pt idx="4">
                  <c:v>15 a 19</c:v>
                </c:pt>
                <c:pt idx="5">
                  <c:v>20 a 24</c:v>
                </c:pt>
                <c:pt idx="6">
                  <c:v>25 a 29</c:v>
                </c:pt>
                <c:pt idx="7">
                  <c:v>30 a 34</c:v>
                </c:pt>
                <c:pt idx="8">
                  <c:v>35 a 39</c:v>
                </c:pt>
                <c:pt idx="9">
                  <c:v>40 a 44</c:v>
                </c:pt>
                <c:pt idx="10">
                  <c:v>45 a 49</c:v>
                </c:pt>
                <c:pt idx="11">
                  <c:v>50 a 54</c:v>
                </c:pt>
                <c:pt idx="12">
                  <c:v>55 a 59</c:v>
                </c:pt>
                <c:pt idx="13">
                  <c:v>60 a 64</c:v>
                </c:pt>
                <c:pt idx="14">
                  <c:v>65 a 69</c:v>
                </c:pt>
                <c:pt idx="15">
                  <c:v>70 a 74</c:v>
                </c:pt>
                <c:pt idx="16">
                  <c:v>&gt; 75 años</c:v>
                </c:pt>
              </c:strCache>
            </c:strRef>
          </c:cat>
          <c:val>
            <c:numRef>
              <c:f>'DE prom'!$P$13:$P$29</c:f>
              <c:numCache>
                <c:formatCode>0.0</c:formatCode>
                <c:ptCount val="17"/>
                <c:pt idx="0">
                  <c:v>0.5391852910252608</c:v>
                </c:pt>
                <c:pt idx="1">
                  <c:v>2.1148632594035597</c:v>
                </c:pt>
                <c:pt idx="2">
                  <c:v>4.7424818319593234</c:v>
                </c:pt>
                <c:pt idx="3">
                  <c:v>8.1360563580097569</c:v>
                </c:pt>
                <c:pt idx="4">
                  <c:v>10.462071349721008</c:v>
                </c:pt>
                <c:pt idx="5">
                  <c:v>17.5535979084895</c:v>
                </c:pt>
                <c:pt idx="6">
                  <c:v>39.220013338742469</c:v>
                </c:pt>
                <c:pt idx="7">
                  <c:v>78.876939429496431</c:v>
                </c:pt>
                <c:pt idx="8">
                  <c:v>141.84170463760364</c:v>
                </c:pt>
                <c:pt idx="9">
                  <c:v>223.59528748175006</c:v>
                </c:pt>
                <c:pt idx="10">
                  <c:v>295.63661665147691</c:v>
                </c:pt>
                <c:pt idx="11">
                  <c:v>387.82023041715559</c:v>
                </c:pt>
                <c:pt idx="12">
                  <c:v>450.09045176635129</c:v>
                </c:pt>
                <c:pt idx="13">
                  <c:v>516.39779401222279</c:v>
                </c:pt>
                <c:pt idx="14">
                  <c:v>645.40988488433118</c:v>
                </c:pt>
                <c:pt idx="15">
                  <c:v>581.24680379705455</c:v>
                </c:pt>
                <c:pt idx="16">
                  <c:v>517.85729379518341</c:v>
                </c:pt>
              </c:numCache>
            </c:numRef>
          </c:val>
          <c:extLst>
            <c:ext xmlns:c16="http://schemas.microsoft.com/office/drawing/2014/chart" uri="{C3380CC4-5D6E-409C-BE32-E72D297353CC}">
              <c16:uniqueId val="{00000002-68C8-49D7-9382-31FB25493FFD}"/>
            </c:ext>
          </c:extLst>
        </c:ser>
        <c:dLbls>
          <c:showLegendKey val="0"/>
          <c:showVal val="0"/>
          <c:showCatName val="0"/>
          <c:showSerName val="0"/>
          <c:showPercent val="0"/>
          <c:showBubbleSize val="0"/>
        </c:dLbls>
        <c:gapWidth val="100"/>
        <c:overlap val="-27"/>
        <c:axId val="1826707440"/>
        <c:axId val="1826706896"/>
      </c:barChart>
      <c:catAx>
        <c:axId val="1826707440"/>
        <c:scaling>
          <c:orientation val="minMax"/>
        </c:scaling>
        <c:delete val="0"/>
        <c:axPos val="b"/>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crossAx val="1826706896"/>
        <c:crosses val="autoZero"/>
        <c:auto val="1"/>
        <c:lblAlgn val="ctr"/>
        <c:lblOffset val="100"/>
        <c:noMultiLvlLbl val="0"/>
      </c:catAx>
      <c:valAx>
        <c:axId val="182670689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R"/>
          </a:p>
        </c:txPr>
        <c:crossAx val="1826707440"/>
        <c:crosses val="autoZero"/>
        <c:crossBetween val="between"/>
      </c:valAx>
      <c:spPr>
        <a:noFill/>
        <a:ln>
          <a:noFill/>
        </a:ln>
        <a:effectLst/>
      </c:spPr>
    </c:plotArea>
    <c:legend>
      <c:legendPos val="b"/>
      <c:layout>
        <c:manualLayout>
          <c:xMode val="edge"/>
          <c:yMode val="edge"/>
          <c:x val="0.27595885000763837"/>
          <c:y val="2.2196719704642731E-3"/>
          <c:w val="0.47220181998635097"/>
          <c:h val="9.2007131184073693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Hoja1!$A$8</c:f>
              <c:strCache>
                <c:ptCount val="1"/>
                <c:pt idx="0">
                  <c:v>Mortalidad en poblacion </c:v>
                </c:pt>
              </c:strCache>
            </c:strRef>
          </c:tx>
          <c:spPr>
            <a:ln w="28575" cap="rnd">
              <a:solidFill>
                <a:schemeClr val="accent1"/>
              </a:solidFill>
              <a:round/>
            </a:ln>
            <a:effectLst/>
          </c:spPr>
          <c:marker>
            <c:symbol val="none"/>
          </c:marker>
          <c:cat>
            <c:numRef>
              <c:f>Hoja1!$B$7:$E$7</c:f>
              <c:numCache>
                <c:formatCode>General</c:formatCode>
                <c:ptCount val="4"/>
                <c:pt idx="0">
                  <c:v>2014</c:v>
                </c:pt>
                <c:pt idx="1">
                  <c:v>2015</c:v>
                </c:pt>
                <c:pt idx="2">
                  <c:v>2016</c:v>
                </c:pt>
                <c:pt idx="3">
                  <c:v>2017</c:v>
                </c:pt>
              </c:numCache>
            </c:numRef>
          </c:cat>
          <c:val>
            <c:numRef>
              <c:f>Hoja1!$B$8:$E$8</c:f>
              <c:numCache>
                <c:formatCode>0.00</c:formatCode>
                <c:ptCount val="4"/>
                <c:pt idx="0">
                  <c:v>15.168278854979313</c:v>
                </c:pt>
                <c:pt idx="1">
                  <c:v>20.383976166682569</c:v>
                </c:pt>
                <c:pt idx="2">
                  <c:v>23.270213390719562</c:v>
                </c:pt>
                <c:pt idx="3">
                  <c:v>26.255785519944393</c:v>
                </c:pt>
              </c:numCache>
            </c:numRef>
          </c:val>
          <c:smooth val="0"/>
          <c:extLst>
            <c:ext xmlns:c16="http://schemas.microsoft.com/office/drawing/2014/chart" uri="{C3380CC4-5D6E-409C-BE32-E72D297353CC}">
              <c16:uniqueId val="{00000000-5829-4CF4-A24D-672BCA669D74}"/>
            </c:ext>
          </c:extLst>
        </c:ser>
        <c:ser>
          <c:idx val="1"/>
          <c:order val="1"/>
          <c:tx>
            <c:strRef>
              <c:f>Hoja1!$A$9</c:f>
              <c:strCache>
                <c:ptCount val="1"/>
                <c:pt idx="0">
                  <c:v>Masculino</c:v>
                </c:pt>
              </c:strCache>
            </c:strRef>
          </c:tx>
          <c:spPr>
            <a:ln w="28575" cap="rnd">
              <a:solidFill>
                <a:schemeClr val="accent2"/>
              </a:solidFill>
              <a:round/>
            </a:ln>
            <a:effectLst/>
          </c:spPr>
          <c:marker>
            <c:symbol val="none"/>
          </c:marker>
          <c:cat>
            <c:numRef>
              <c:f>Hoja1!$B$7:$E$7</c:f>
              <c:numCache>
                <c:formatCode>General</c:formatCode>
                <c:ptCount val="4"/>
                <c:pt idx="0">
                  <c:v>2014</c:v>
                </c:pt>
                <c:pt idx="1">
                  <c:v>2015</c:v>
                </c:pt>
                <c:pt idx="2">
                  <c:v>2016</c:v>
                </c:pt>
                <c:pt idx="3">
                  <c:v>2017</c:v>
                </c:pt>
              </c:numCache>
            </c:numRef>
          </c:cat>
          <c:val>
            <c:numRef>
              <c:f>Hoja1!$B$9:$E$9</c:f>
              <c:numCache>
                <c:formatCode>0.00</c:formatCode>
                <c:ptCount val="4"/>
                <c:pt idx="0">
                  <c:v>13.857109962805691</c:v>
                </c:pt>
                <c:pt idx="1">
                  <c:v>19.554597913192346</c:v>
                </c:pt>
                <c:pt idx="2">
                  <c:v>22.165266986111252</c:v>
                </c:pt>
                <c:pt idx="3">
                  <c:v>25.162635569709316</c:v>
                </c:pt>
              </c:numCache>
            </c:numRef>
          </c:val>
          <c:smooth val="0"/>
          <c:extLst>
            <c:ext xmlns:c16="http://schemas.microsoft.com/office/drawing/2014/chart" uri="{C3380CC4-5D6E-409C-BE32-E72D297353CC}">
              <c16:uniqueId val="{00000001-5829-4CF4-A24D-672BCA669D74}"/>
            </c:ext>
          </c:extLst>
        </c:ser>
        <c:ser>
          <c:idx val="2"/>
          <c:order val="2"/>
          <c:tx>
            <c:strRef>
              <c:f>Hoja1!$A$10</c:f>
              <c:strCache>
                <c:ptCount val="1"/>
                <c:pt idx="0">
                  <c:v>Femenino</c:v>
                </c:pt>
              </c:strCache>
            </c:strRef>
          </c:tx>
          <c:spPr>
            <a:ln w="28575" cap="rnd">
              <a:solidFill>
                <a:srgbClr val="00B050"/>
              </a:solidFill>
              <a:round/>
            </a:ln>
            <a:effectLst/>
          </c:spPr>
          <c:marker>
            <c:symbol val="none"/>
          </c:marker>
          <c:cat>
            <c:numRef>
              <c:f>Hoja1!$B$7:$E$7</c:f>
              <c:numCache>
                <c:formatCode>General</c:formatCode>
                <c:ptCount val="4"/>
                <c:pt idx="0">
                  <c:v>2014</c:v>
                </c:pt>
                <c:pt idx="1">
                  <c:v>2015</c:v>
                </c:pt>
                <c:pt idx="2">
                  <c:v>2016</c:v>
                </c:pt>
                <c:pt idx="3">
                  <c:v>2017</c:v>
                </c:pt>
              </c:numCache>
            </c:numRef>
          </c:cat>
          <c:val>
            <c:numRef>
              <c:f>Hoja1!$B$10:$E$10</c:f>
              <c:numCache>
                <c:formatCode>0.00</c:formatCode>
                <c:ptCount val="4"/>
                <c:pt idx="0">
                  <c:v>16.50581258538584</c:v>
                </c:pt>
                <c:pt idx="1">
                  <c:v>21.229443901403439</c:v>
                </c:pt>
                <c:pt idx="2">
                  <c:v>24.395811515731172</c:v>
                </c:pt>
                <c:pt idx="3">
                  <c:v>27.368574758016528</c:v>
                </c:pt>
              </c:numCache>
            </c:numRef>
          </c:val>
          <c:smooth val="0"/>
          <c:extLst>
            <c:ext xmlns:c16="http://schemas.microsoft.com/office/drawing/2014/chart" uri="{C3380CC4-5D6E-409C-BE32-E72D297353CC}">
              <c16:uniqueId val="{00000002-5829-4CF4-A24D-672BCA669D74}"/>
            </c:ext>
          </c:extLst>
        </c:ser>
        <c:dLbls>
          <c:showLegendKey val="0"/>
          <c:showVal val="0"/>
          <c:showCatName val="0"/>
          <c:showSerName val="0"/>
          <c:showPercent val="0"/>
          <c:showBubbleSize val="0"/>
        </c:dLbls>
        <c:smooth val="0"/>
        <c:axId val="1826722672"/>
        <c:axId val="1826715600"/>
      </c:lineChart>
      <c:catAx>
        <c:axId val="182672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R"/>
          </a:p>
        </c:txPr>
        <c:crossAx val="1826715600"/>
        <c:crosses val="autoZero"/>
        <c:auto val="1"/>
        <c:lblAlgn val="ctr"/>
        <c:lblOffset val="100"/>
        <c:noMultiLvlLbl val="0"/>
      </c:catAx>
      <c:valAx>
        <c:axId val="18267156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CR"/>
          </a:p>
        </c:txPr>
        <c:crossAx val="1826722672"/>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es-CR"/>
          </a:p>
        </c:txPr>
      </c:legendEntry>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noFill/>
    <a:ln w="9525" cap="flat" cmpd="sng" algn="ctr">
      <a:noFill/>
      <a:round/>
    </a:ln>
    <a:effectLst/>
  </c:spPr>
  <c:txPr>
    <a:bodyPr/>
    <a:lstStyle/>
    <a:p>
      <a:pPr>
        <a:defRPr/>
      </a:pPr>
      <a:endParaRPr lang="es-C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flat" cmpd="sng" algn="ctr">
              <a:noFill/>
              <a:prstDash val="sysDot"/>
              <a:round/>
            </a:ln>
            <a:effectLst/>
          </c:spPr>
          <c:marker>
            <c:symbol val="square"/>
            <c:size val="5"/>
            <c:spPr>
              <a:solidFill>
                <a:srgbClr val="FF0000"/>
              </a:solidFill>
              <a:ln w="9525" cap="flat" cmpd="sng" algn="ctr">
                <a:solidFill>
                  <a:srgbClr val="C00000"/>
                </a:solidFill>
                <a:round/>
              </a:ln>
              <a:effectLst/>
            </c:spPr>
          </c:marker>
          <c:trendline>
            <c:spPr>
              <a:ln w="15875" cap="rnd">
                <a:solidFill>
                  <a:schemeClr val="tx1"/>
                </a:solidFill>
              </a:ln>
              <a:effectLst/>
            </c:spPr>
            <c:trendlineType val="linear"/>
            <c:dispRSqr val="1"/>
            <c:dispEq val="1"/>
            <c:trendlineLbl>
              <c:layout>
                <c:manualLayout>
                  <c:x val="7.5797226363709842E-3"/>
                  <c:y val="-0.24166049123048508"/>
                </c:manualLayout>
              </c:layout>
              <c:numFmt formatCode="General" sourceLinked="0"/>
              <c:spPr>
                <a:noFill/>
                <a:ln>
                  <a:noFill/>
                </a:ln>
                <a:effectLst/>
              </c:spPr>
              <c:txPr>
                <a:bodyPr rot="0" spcFirstLastPara="1" vertOverflow="ellipsis" vert="horz" wrap="square" anchor="ctr" anchorCtr="1"/>
                <a:lstStyle/>
                <a:p>
                  <a:pPr>
                    <a:defRPr lang="en-US" sz="800" b="0" i="0" u="none" strike="noStrike" kern="1200" baseline="0">
                      <a:solidFill>
                        <a:sysClr val="windowText" lastClr="000000"/>
                      </a:solidFill>
                      <a:latin typeface="+mn-lt"/>
                      <a:ea typeface="+mn-ea"/>
                      <a:cs typeface="+mn-cs"/>
                    </a:defRPr>
                  </a:pPr>
                  <a:endParaRPr lang="es-CR"/>
                </a:p>
              </c:txPr>
            </c:trendlineLbl>
          </c:trendline>
          <c:xVal>
            <c:numRef>
              <c:f>'5.2. IDS distritos EdoNutr'!$R$2:$R$478</c:f>
              <c:numCache>
                <c:formatCode>0.0</c:formatCode>
                <c:ptCount val="477"/>
                <c:pt idx="0">
                  <c:v>42.2</c:v>
                </c:pt>
                <c:pt idx="1">
                  <c:v>53.6</c:v>
                </c:pt>
                <c:pt idx="2">
                  <c:v>50.2</c:v>
                </c:pt>
                <c:pt idx="3">
                  <c:v>87.5</c:v>
                </c:pt>
                <c:pt idx="4">
                  <c:v>50.6</c:v>
                </c:pt>
                <c:pt idx="5">
                  <c:v>58</c:v>
                </c:pt>
                <c:pt idx="6">
                  <c:v>54.8</c:v>
                </c:pt>
                <c:pt idx="7">
                  <c:v>88.2</c:v>
                </c:pt>
                <c:pt idx="8">
                  <c:v>63.9</c:v>
                </c:pt>
                <c:pt idx="9">
                  <c:v>57.4</c:v>
                </c:pt>
                <c:pt idx="10">
                  <c:v>79.599999999999994</c:v>
                </c:pt>
                <c:pt idx="11">
                  <c:v>58</c:v>
                </c:pt>
                <c:pt idx="12">
                  <c:v>88.3</c:v>
                </c:pt>
                <c:pt idx="13">
                  <c:v>70</c:v>
                </c:pt>
                <c:pt idx="14">
                  <c:v>81.7</c:v>
                </c:pt>
                <c:pt idx="15">
                  <c:v>69.599999999999994</c:v>
                </c:pt>
                <c:pt idx="16">
                  <c:v>67</c:v>
                </c:pt>
                <c:pt idx="17">
                  <c:v>53.6</c:v>
                </c:pt>
                <c:pt idx="18">
                  <c:v>69.400000000000006</c:v>
                </c:pt>
                <c:pt idx="19">
                  <c:v>53.2</c:v>
                </c:pt>
                <c:pt idx="20">
                  <c:v>67.599999999999994</c:v>
                </c:pt>
                <c:pt idx="21">
                  <c:v>87.2</c:v>
                </c:pt>
                <c:pt idx="22">
                  <c:v>85.5</c:v>
                </c:pt>
                <c:pt idx="23">
                  <c:v>53.3</c:v>
                </c:pt>
                <c:pt idx="24">
                  <c:v>87.4</c:v>
                </c:pt>
                <c:pt idx="25">
                  <c:v>52.7</c:v>
                </c:pt>
                <c:pt idx="26">
                  <c:v>71.599999999999994</c:v>
                </c:pt>
                <c:pt idx="27">
                  <c:v>62.8</c:v>
                </c:pt>
                <c:pt idx="28">
                  <c:v>81.099999999999994</c:v>
                </c:pt>
                <c:pt idx="29">
                  <c:v>64.900000000000006</c:v>
                </c:pt>
                <c:pt idx="30">
                  <c:v>31.3</c:v>
                </c:pt>
                <c:pt idx="31">
                  <c:v>77.3</c:v>
                </c:pt>
                <c:pt idx="32">
                  <c:v>83.2</c:v>
                </c:pt>
                <c:pt idx="33">
                  <c:v>73.599999999999994</c:v>
                </c:pt>
                <c:pt idx="34">
                  <c:v>45.4</c:v>
                </c:pt>
                <c:pt idx="35">
                  <c:v>88.5</c:v>
                </c:pt>
                <c:pt idx="36">
                  <c:v>70.900000000000006</c:v>
                </c:pt>
                <c:pt idx="37">
                  <c:v>74.599999999999994</c:v>
                </c:pt>
                <c:pt idx="38">
                  <c:v>69.599999999999994</c:v>
                </c:pt>
                <c:pt idx="39">
                  <c:v>74.5</c:v>
                </c:pt>
                <c:pt idx="40">
                  <c:v>63.3</c:v>
                </c:pt>
                <c:pt idx="41">
                  <c:v>74.400000000000006</c:v>
                </c:pt>
                <c:pt idx="42">
                  <c:v>75.5</c:v>
                </c:pt>
                <c:pt idx="43">
                  <c:v>77.400000000000006</c:v>
                </c:pt>
                <c:pt idx="44">
                  <c:v>42.6</c:v>
                </c:pt>
                <c:pt idx="45">
                  <c:v>81</c:v>
                </c:pt>
                <c:pt idx="46">
                  <c:v>82.1</c:v>
                </c:pt>
                <c:pt idx="47">
                  <c:v>72.900000000000006</c:v>
                </c:pt>
                <c:pt idx="48">
                  <c:v>75.5</c:v>
                </c:pt>
                <c:pt idx="49">
                  <c:v>57.2</c:v>
                </c:pt>
                <c:pt idx="50">
                  <c:v>62.5</c:v>
                </c:pt>
                <c:pt idx="51">
                  <c:v>39.4</c:v>
                </c:pt>
                <c:pt idx="52">
                  <c:v>47.2</c:v>
                </c:pt>
                <c:pt idx="53">
                  <c:v>40.299999999999997</c:v>
                </c:pt>
                <c:pt idx="54">
                  <c:v>70.099999999999994</c:v>
                </c:pt>
                <c:pt idx="55">
                  <c:v>68.099999999999994</c:v>
                </c:pt>
                <c:pt idx="56">
                  <c:v>73.099999999999994</c:v>
                </c:pt>
                <c:pt idx="57">
                  <c:v>70.3</c:v>
                </c:pt>
                <c:pt idx="58">
                  <c:v>81.599999999999994</c:v>
                </c:pt>
                <c:pt idx="59">
                  <c:v>62.1</c:v>
                </c:pt>
                <c:pt idx="60">
                  <c:v>80.7</c:v>
                </c:pt>
                <c:pt idx="61">
                  <c:v>77</c:v>
                </c:pt>
                <c:pt idx="62">
                  <c:v>67.599999999999994</c:v>
                </c:pt>
                <c:pt idx="63">
                  <c:v>57.5</c:v>
                </c:pt>
                <c:pt idx="64">
                  <c:v>60.8</c:v>
                </c:pt>
                <c:pt idx="65">
                  <c:v>68.599999999999994</c:v>
                </c:pt>
                <c:pt idx="66">
                  <c:v>50.4</c:v>
                </c:pt>
                <c:pt idx="67">
                  <c:v>78.2</c:v>
                </c:pt>
                <c:pt idx="68">
                  <c:v>65.900000000000006</c:v>
                </c:pt>
                <c:pt idx="69">
                  <c:v>73.400000000000006</c:v>
                </c:pt>
                <c:pt idx="70">
                  <c:v>63.9</c:v>
                </c:pt>
                <c:pt idx="71">
                  <c:v>47</c:v>
                </c:pt>
                <c:pt idx="72">
                  <c:v>76.5</c:v>
                </c:pt>
                <c:pt idx="73">
                  <c:v>39.4</c:v>
                </c:pt>
                <c:pt idx="74">
                  <c:v>65.7</c:v>
                </c:pt>
                <c:pt idx="75">
                  <c:v>62.4</c:v>
                </c:pt>
                <c:pt idx="76">
                  <c:v>75.599999999999994</c:v>
                </c:pt>
                <c:pt idx="77">
                  <c:v>92.2</c:v>
                </c:pt>
                <c:pt idx="78">
                  <c:v>76</c:v>
                </c:pt>
                <c:pt idx="79">
                  <c:v>57.5</c:v>
                </c:pt>
                <c:pt idx="80">
                  <c:v>48.8</c:v>
                </c:pt>
                <c:pt idx="81">
                  <c:v>67.599999999999994</c:v>
                </c:pt>
                <c:pt idx="82">
                  <c:v>45.7</c:v>
                </c:pt>
                <c:pt idx="83">
                  <c:v>83.4</c:v>
                </c:pt>
                <c:pt idx="84">
                  <c:v>74</c:v>
                </c:pt>
                <c:pt idx="85">
                  <c:v>69.7</c:v>
                </c:pt>
                <c:pt idx="86">
                  <c:v>76.400000000000006</c:v>
                </c:pt>
                <c:pt idx="87">
                  <c:v>99.5</c:v>
                </c:pt>
                <c:pt idx="88">
                  <c:v>79.099999999999994</c:v>
                </c:pt>
                <c:pt idx="89">
                  <c:v>83.3</c:v>
                </c:pt>
                <c:pt idx="90">
                  <c:v>64.7</c:v>
                </c:pt>
                <c:pt idx="91">
                  <c:v>47.2</c:v>
                </c:pt>
                <c:pt idx="92">
                  <c:v>77.3</c:v>
                </c:pt>
                <c:pt idx="93">
                  <c:v>91.9</c:v>
                </c:pt>
                <c:pt idx="94">
                  <c:v>87</c:v>
                </c:pt>
                <c:pt idx="95">
                  <c:v>66.099999999999994</c:v>
                </c:pt>
                <c:pt idx="96">
                  <c:v>77.3</c:v>
                </c:pt>
                <c:pt idx="97">
                  <c:v>52.1</c:v>
                </c:pt>
                <c:pt idx="98">
                  <c:v>57.8</c:v>
                </c:pt>
                <c:pt idx="99">
                  <c:v>72</c:v>
                </c:pt>
                <c:pt idx="100">
                  <c:v>42.8</c:v>
                </c:pt>
                <c:pt idx="101">
                  <c:v>70.8</c:v>
                </c:pt>
                <c:pt idx="102">
                  <c:v>76.400000000000006</c:v>
                </c:pt>
                <c:pt idx="103">
                  <c:v>51.9</c:v>
                </c:pt>
                <c:pt idx="104">
                  <c:v>70.099999999999994</c:v>
                </c:pt>
                <c:pt idx="105">
                  <c:v>77.599999999999994</c:v>
                </c:pt>
                <c:pt idx="106">
                  <c:v>40.200000000000003</c:v>
                </c:pt>
                <c:pt idx="107">
                  <c:v>54.4</c:v>
                </c:pt>
                <c:pt idx="108">
                  <c:v>51.7</c:v>
                </c:pt>
                <c:pt idx="109">
                  <c:v>69.099999999999994</c:v>
                </c:pt>
                <c:pt idx="110">
                  <c:v>55.8</c:v>
                </c:pt>
                <c:pt idx="111">
                  <c:v>64.8</c:v>
                </c:pt>
                <c:pt idx="112">
                  <c:v>72.7</c:v>
                </c:pt>
                <c:pt idx="113">
                  <c:v>65.099999999999994</c:v>
                </c:pt>
                <c:pt idx="114">
                  <c:v>73.3</c:v>
                </c:pt>
                <c:pt idx="115">
                  <c:v>71.3</c:v>
                </c:pt>
                <c:pt idx="116">
                  <c:v>46.8</c:v>
                </c:pt>
                <c:pt idx="117">
                  <c:v>78.3</c:v>
                </c:pt>
                <c:pt idx="118">
                  <c:v>83.4</c:v>
                </c:pt>
                <c:pt idx="119">
                  <c:v>71.2</c:v>
                </c:pt>
                <c:pt idx="120">
                  <c:v>64.2</c:v>
                </c:pt>
                <c:pt idx="121">
                  <c:v>54.4</c:v>
                </c:pt>
                <c:pt idx="122">
                  <c:v>47.2</c:v>
                </c:pt>
                <c:pt idx="123">
                  <c:v>63.3</c:v>
                </c:pt>
                <c:pt idx="124">
                  <c:v>73.7</c:v>
                </c:pt>
                <c:pt idx="125">
                  <c:v>56.7</c:v>
                </c:pt>
                <c:pt idx="126">
                  <c:v>77.2</c:v>
                </c:pt>
                <c:pt idx="127">
                  <c:v>65.099999999999994</c:v>
                </c:pt>
                <c:pt idx="128">
                  <c:v>63.9</c:v>
                </c:pt>
                <c:pt idx="129">
                  <c:v>81</c:v>
                </c:pt>
                <c:pt idx="130">
                  <c:v>72.5</c:v>
                </c:pt>
                <c:pt idx="131">
                  <c:v>70.599999999999994</c:v>
                </c:pt>
                <c:pt idx="132">
                  <c:v>76.099999999999994</c:v>
                </c:pt>
                <c:pt idx="133">
                  <c:v>67.3</c:v>
                </c:pt>
                <c:pt idx="134">
                  <c:v>53.4</c:v>
                </c:pt>
                <c:pt idx="135">
                  <c:v>62</c:v>
                </c:pt>
                <c:pt idx="136">
                  <c:v>63</c:v>
                </c:pt>
                <c:pt idx="137">
                  <c:v>70.900000000000006</c:v>
                </c:pt>
                <c:pt idx="138">
                  <c:v>66.7</c:v>
                </c:pt>
                <c:pt idx="139">
                  <c:v>70.2</c:v>
                </c:pt>
                <c:pt idx="140">
                  <c:v>60.5</c:v>
                </c:pt>
                <c:pt idx="141">
                  <c:v>59.2</c:v>
                </c:pt>
                <c:pt idx="142">
                  <c:v>85.6</c:v>
                </c:pt>
                <c:pt idx="143">
                  <c:v>52.5</c:v>
                </c:pt>
                <c:pt idx="144">
                  <c:v>60.5</c:v>
                </c:pt>
                <c:pt idx="145">
                  <c:v>67.3</c:v>
                </c:pt>
                <c:pt idx="146">
                  <c:v>58.9</c:v>
                </c:pt>
                <c:pt idx="147">
                  <c:v>69</c:v>
                </c:pt>
                <c:pt idx="148">
                  <c:v>66.8</c:v>
                </c:pt>
                <c:pt idx="149">
                  <c:v>68.8</c:v>
                </c:pt>
                <c:pt idx="150">
                  <c:v>71.2</c:v>
                </c:pt>
                <c:pt idx="151">
                  <c:v>45.2</c:v>
                </c:pt>
                <c:pt idx="152">
                  <c:v>88.2</c:v>
                </c:pt>
                <c:pt idx="153">
                  <c:v>51.6</c:v>
                </c:pt>
                <c:pt idx="154">
                  <c:v>44.3</c:v>
                </c:pt>
                <c:pt idx="155">
                  <c:v>68.3</c:v>
                </c:pt>
                <c:pt idx="156">
                  <c:v>81.2</c:v>
                </c:pt>
                <c:pt idx="157">
                  <c:v>63.6</c:v>
                </c:pt>
                <c:pt idx="158">
                  <c:v>60.5</c:v>
                </c:pt>
                <c:pt idx="159">
                  <c:v>90.2</c:v>
                </c:pt>
                <c:pt idx="160">
                  <c:v>48.4</c:v>
                </c:pt>
                <c:pt idx="161">
                  <c:v>68.400000000000006</c:v>
                </c:pt>
                <c:pt idx="162">
                  <c:v>79.900000000000006</c:v>
                </c:pt>
                <c:pt idx="163">
                  <c:v>62.7</c:v>
                </c:pt>
                <c:pt idx="164">
                  <c:v>62.6</c:v>
                </c:pt>
                <c:pt idx="165">
                  <c:v>77.099999999999994</c:v>
                </c:pt>
                <c:pt idx="166">
                  <c:v>60.9</c:v>
                </c:pt>
                <c:pt idx="167">
                  <c:v>58.1</c:v>
                </c:pt>
                <c:pt idx="168">
                  <c:v>85.5</c:v>
                </c:pt>
                <c:pt idx="169">
                  <c:v>50.2</c:v>
                </c:pt>
                <c:pt idx="170">
                  <c:v>65.8</c:v>
                </c:pt>
                <c:pt idx="171">
                  <c:v>55.6</c:v>
                </c:pt>
                <c:pt idx="172">
                  <c:v>48.4</c:v>
                </c:pt>
                <c:pt idx="173">
                  <c:v>65.5</c:v>
                </c:pt>
                <c:pt idx="174">
                  <c:v>59.2</c:v>
                </c:pt>
                <c:pt idx="175">
                  <c:v>65.099999999999994</c:v>
                </c:pt>
                <c:pt idx="176">
                  <c:v>35.4</c:v>
                </c:pt>
                <c:pt idx="177">
                  <c:v>53.3</c:v>
                </c:pt>
                <c:pt idx="178">
                  <c:v>44.7</c:v>
                </c:pt>
                <c:pt idx="179">
                  <c:v>67.400000000000006</c:v>
                </c:pt>
                <c:pt idx="180">
                  <c:v>70.5</c:v>
                </c:pt>
                <c:pt idx="181">
                  <c:v>74.5</c:v>
                </c:pt>
                <c:pt idx="182">
                  <c:v>59.6</c:v>
                </c:pt>
                <c:pt idx="183">
                  <c:v>63.8</c:v>
                </c:pt>
                <c:pt idx="184">
                  <c:v>67</c:v>
                </c:pt>
                <c:pt idx="185">
                  <c:v>61</c:v>
                </c:pt>
                <c:pt idx="186">
                  <c:v>56.4</c:v>
                </c:pt>
                <c:pt idx="187">
                  <c:v>62</c:v>
                </c:pt>
                <c:pt idx="188">
                  <c:v>59.5</c:v>
                </c:pt>
                <c:pt idx="189">
                  <c:v>34.6</c:v>
                </c:pt>
                <c:pt idx="190">
                  <c:v>57</c:v>
                </c:pt>
                <c:pt idx="191">
                  <c:v>54.1</c:v>
                </c:pt>
                <c:pt idx="192">
                  <c:v>67.099999999999994</c:v>
                </c:pt>
                <c:pt idx="193">
                  <c:v>67.900000000000006</c:v>
                </c:pt>
                <c:pt idx="194">
                  <c:v>74.3</c:v>
                </c:pt>
                <c:pt idx="195">
                  <c:v>72.099999999999994</c:v>
                </c:pt>
                <c:pt idx="196">
                  <c:v>55.2</c:v>
                </c:pt>
                <c:pt idx="197">
                  <c:v>50.7</c:v>
                </c:pt>
                <c:pt idx="198">
                  <c:v>43.4</c:v>
                </c:pt>
                <c:pt idx="199">
                  <c:v>60.5</c:v>
                </c:pt>
                <c:pt idx="200">
                  <c:v>70.8</c:v>
                </c:pt>
                <c:pt idx="201">
                  <c:v>65.5</c:v>
                </c:pt>
                <c:pt idx="202">
                  <c:v>82.6</c:v>
                </c:pt>
                <c:pt idx="203">
                  <c:v>60.8</c:v>
                </c:pt>
                <c:pt idx="204">
                  <c:v>69.599999999999994</c:v>
                </c:pt>
                <c:pt idx="205">
                  <c:v>55.2</c:v>
                </c:pt>
                <c:pt idx="206">
                  <c:v>78.400000000000006</c:v>
                </c:pt>
                <c:pt idx="207">
                  <c:v>41.5</c:v>
                </c:pt>
                <c:pt idx="208">
                  <c:v>26.4</c:v>
                </c:pt>
                <c:pt idx="209">
                  <c:v>56</c:v>
                </c:pt>
                <c:pt idx="210">
                  <c:v>67.599999999999994</c:v>
                </c:pt>
                <c:pt idx="211">
                  <c:v>61.7</c:v>
                </c:pt>
                <c:pt idx="212">
                  <c:v>79.099999999999994</c:v>
                </c:pt>
                <c:pt idx="213">
                  <c:v>63.9</c:v>
                </c:pt>
                <c:pt idx="214">
                  <c:v>45.2</c:v>
                </c:pt>
                <c:pt idx="215">
                  <c:v>67.599999999999994</c:v>
                </c:pt>
                <c:pt idx="216">
                  <c:v>66.900000000000006</c:v>
                </c:pt>
                <c:pt idx="217">
                  <c:v>59.8</c:v>
                </c:pt>
                <c:pt idx="218">
                  <c:v>79.099999999999994</c:v>
                </c:pt>
                <c:pt idx="219">
                  <c:v>58.4</c:v>
                </c:pt>
                <c:pt idx="220">
                  <c:v>66.2</c:v>
                </c:pt>
                <c:pt idx="221">
                  <c:v>70.900000000000006</c:v>
                </c:pt>
                <c:pt idx="222">
                  <c:v>60.7</c:v>
                </c:pt>
                <c:pt idx="223">
                  <c:v>51.2</c:v>
                </c:pt>
                <c:pt idx="224">
                  <c:v>50.5</c:v>
                </c:pt>
                <c:pt idx="225">
                  <c:v>90.5</c:v>
                </c:pt>
                <c:pt idx="226">
                  <c:v>62.4</c:v>
                </c:pt>
                <c:pt idx="227">
                  <c:v>44.6</c:v>
                </c:pt>
                <c:pt idx="228">
                  <c:v>51.4</c:v>
                </c:pt>
                <c:pt idx="229">
                  <c:v>78</c:v>
                </c:pt>
                <c:pt idx="230">
                  <c:v>74.7</c:v>
                </c:pt>
                <c:pt idx="231">
                  <c:v>61.4</c:v>
                </c:pt>
                <c:pt idx="232">
                  <c:v>51.8</c:v>
                </c:pt>
                <c:pt idx="233">
                  <c:v>82.2</c:v>
                </c:pt>
                <c:pt idx="234">
                  <c:v>69.3</c:v>
                </c:pt>
                <c:pt idx="235">
                  <c:v>38.4</c:v>
                </c:pt>
                <c:pt idx="236">
                  <c:v>53.4</c:v>
                </c:pt>
                <c:pt idx="237">
                  <c:v>73.2</c:v>
                </c:pt>
                <c:pt idx="238">
                  <c:v>58.4</c:v>
                </c:pt>
                <c:pt idx="239">
                  <c:v>58.1</c:v>
                </c:pt>
                <c:pt idx="240">
                  <c:v>67</c:v>
                </c:pt>
                <c:pt idx="241">
                  <c:v>50.7</c:v>
                </c:pt>
                <c:pt idx="242">
                  <c:v>46.9</c:v>
                </c:pt>
                <c:pt idx="243">
                  <c:v>53.5</c:v>
                </c:pt>
                <c:pt idx="244">
                  <c:v>66.599999999999994</c:v>
                </c:pt>
                <c:pt idx="245">
                  <c:v>66.599999999999994</c:v>
                </c:pt>
                <c:pt idx="246">
                  <c:v>49.6</c:v>
                </c:pt>
                <c:pt idx="247">
                  <c:v>74.599999999999994</c:v>
                </c:pt>
                <c:pt idx="248">
                  <c:v>47.9</c:v>
                </c:pt>
                <c:pt idx="249">
                  <c:v>58.6</c:v>
                </c:pt>
                <c:pt idx="250">
                  <c:v>73.900000000000006</c:v>
                </c:pt>
                <c:pt idx="251">
                  <c:v>70.3</c:v>
                </c:pt>
                <c:pt idx="252">
                  <c:v>71.2</c:v>
                </c:pt>
                <c:pt idx="253">
                  <c:v>55.9</c:v>
                </c:pt>
                <c:pt idx="254">
                  <c:v>75.3</c:v>
                </c:pt>
                <c:pt idx="255">
                  <c:v>91.9</c:v>
                </c:pt>
                <c:pt idx="256">
                  <c:v>24.8</c:v>
                </c:pt>
                <c:pt idx="257">
                  <c:v>61.9</c:v>
                </c:pt>
                <c:pt idx="258">
                  <c:v>68.8</c:v>
                </c:pt>
                <c:pt idx="259">
                  <c:v>65.5</c:v>
                </c:pt>
                <c:pt idx="260">
                  <c:v>46.2</c:v>
                </c:pt>
                <c:pt idx="261">
                  <c:v>61.8</c:v>
                </c:pt>
                <c:pt idx="262">
                  <c:v>75.900000000000006</c:v>
                </c:pt>
                <c:pt idx="263">
                  <c:v>54.5</c:v>
                </c:pt>
                <c:pt idx="264">
                  <c:v>66.5</c:v>
                </c:pt>
                <c:pt idx="265">
                  <c:v>47.6</c:v>
                </c:pt>
                <c:pt idx="266">
                  <c:v>81.5</c:v>
                </c:pt>
                <c:pt idx="267">
                  <c:v>64</c:v>
                </c:pt>
                <c:pt idx="268">
                  <c:v>60.7</c:v>
                </c:pt>
                <c:pt idx="269">
                  <c:v>50.2</c:v>
                </c:pt>
                <c:pt idx="270">
                  <c:v>60.9</c:v>
                </c:pt>
                <c:pt idx="271">
                  <c:v>66.900000000000006</c:v>
                </c:pt>
                <c:pt idx="272">
                  <c:v>37.5</c:v>
                </c:pt>
                <c:pt idx="273">
                  <c:v>73.900000000000006</c:v>
                </c:pt>
                <c:pt idx="274">
                  <c:v>49.7</c:v>
                </c:pt>
                <c:pt idx="275">
                  <c:v>56.5</c:v>
                </c:pt>
                <c:pt idx="276">
                  <c:v>64.599999999999994</c:v>
                </c:pt>
                <c:pt idx="277">
                  <c:v>41</c:v>
                </c:pt>
                <c:pt idx="278">
                  <c:v>45.3</c:v>
                </c:pt>
                <c:pt idx="279">
                  <c:v>54.1</c:v>
                </c:pt>
                <c:pt idx="280">
                  <c:v>65.099999999999994</c:v>
                </c:pt>
                <c:pt idx="281">
                  <c:v>58.9</c:v>
                </c:pt>
                <c:pt idx="282">
                  <c:v>59.8</c:v>
                </c:pt>
                <c:pt idx="283">
                  <c:v>91.9</c:v>
                </c:pt>
                <c:pt idx="284">
                  <c:v>56.5</c:v>
                </c:pt>
                <c:pt idx="285">
                  <c:v>53.2</c:v>
                </c:pt>
                <c:pt idx="286">
                  <c:v>73.099999999999994</c:v>
                </c:pt>
                <c:pt idx="287">
                  <c:v>44.4</c:v>
                </c:pt>
                <c:pt idx="288">
                  <c:v>56.3</c:v>
                </c:pt>
                <c:pt idx="289">
                  <c:v>72.599999999999994</c:v>
                </c:pt>
                <c:pt idx="290">
                  <c:v>65.900000000000006</c:v>
                </c:pt>
                <c:pt idx="291">
                  <c:v>51.1</c:v>
                </c:pt>
                <c:pt idx="292">
                  <c:v>18.7</c:v>
                </c:pt>
                <c:pt idx="293">
                  <c:v>67.2</c:v>
                </c:pt>
                <c:pt idx="294">
                  <c:v>63.3</c:v>
                </c:pt>
                <c:pt idx="295">
                  <c:v>62.4</c:v>
                </c:pt>
                <c:pt idx="296">
                  <c:v>58.2</c:v>
                </c:pt>
                <c:pt idx="297">
                  <c:v>60.7</c:v>
                </c:pt>
                <c:pt idx="298">
                  <c:v>64.7</c:v>
                </c:pt>
                <c:pt idx="299">
                  <c:v>55.7</c:v>
                </c:pt>
                <c:pt idx="300">
                  <c:v>68.5</c:v>
                </c:pt>
                <c:pt idx="301">
                  <c:v>45.3</c:v>
                </c:pt>
                <c:pt idx="302">
                  <c:v>59.8</c:v>
                </c:pt>
                <c:pt idx="303">
                  <c:v>44.3</c:v>
                </c:pt>
                <c:pt idx="304">
                  <c:v>52.9</c:v>
                </c:pt>
                <c:pt idx="305">
                  <c:v>63.4</c:v>
                </c:pt>
                <c:pt idx="306">
                  <c:v>55.1</c:v>
                </c:pt>
                <c:pt idx="307">
                  <c:v>66.5</c:v>
                </c:pt>
                <c:pt idx="308">
                  <c:v>65.099999999999994</c:v>
                </c:pt>
                <c:pt idx="309">
                  <c:v>63.9</c:v>
                </c:pt>
                <c:pt idx="310">
                  <c:v>66.599999999999994</c:v>
                </c:pt>
                <c:pt idx="311">
                  <c:v>38.700000000000003</c:v>
                </c:pt>
                <c:pt idx="312">
                  <c:v>58.2</c:v>
                </c:pt>
                <c:pt idx="313">
                  <c:v>64.400000000000006</c:v>
                </c:pt>
                <c:pt idx="314">
                  <c:v>55.5</c:v>
                </c:pt>
                <c:pt idx="315">
                  <c:v>60.4</c:v>
                </c:pt>
                <c:pt idx="316">
                  <c:v>50.9</c:v>
                </c:pt>
                <c:pt idx="317">
                  <c:v>68.3</c:v>
                </c:pt>
                <c:pt idx="318">
                  <c:v>41.7</c:v>
                </c:pt>
                <c:pt idx="319">
                  <c:v>59.8</c:v>
                </c:pt>
                <c:pt idx="320">
                  <c:v>58.1</c:v>
                </c:pt>
                <c:pt idx="321">
                  <c:v>50.1</c:v>
                </c:pt>
                <c:pt idx="322">
                  <c:v>55.6</c:v>
                </c:pt>
                <c:pt idx="323">
                  <c:v>36</c:v>
                </c:pt>
                <c:pt idx="324">
                  <c:v>62.8</c:v>
                </c:pt>
                <c:pt idx="325">
                  <c:v>56.4</c:v>
                </c:pt>
                <c:pt idx="326">
                  <c:v>48</c:v>
                </c:pt>
                <c:pt idx="327">
                  <c:v>68.2</c:v>
                </c:pt>
                <c:pt idx="328">
                  <c:v>49.2</c:v>
                </c:pt>
                <c:pt idx="329">
                  <c:v>60.2</c:v>
                </c:pt>
                <c:pt idx="330">
                  <c:v>57.1</c:v>
                </c:pt>
                <c:pt idx="331">
                  <c:v>71</c:v>
                </c:pt>
                <c:pt idx="332">
                  <c:v>49.4</c:v>
                </c:pt>
                <c:pt idx="333">
                  <c:v>49.6</c:v>
                </c:pt>
                <c:pt idx="334">
                  <c:v>42.9</c:v>
                </c:pt>
                <c:pt idx="335">
                  <c:v>86.9</c:v>
                </c:pt>
                <c:pt idx="336">
                  <c:v>40.799999999999997</c:v>
                </c:pt>
                <c:pt idx="337">
                  <c:v>50.9</c:v>
                </c:pt>
                <c:pt idx="338">
                  <c:v>50</c:v>
                </c:pt>
                <c:pt idx="339">
                  <c:v>64.400000000000006</c:v>
                </c:pt>
                <c:pt idx="340">
                  <c:v>70.400000000000006</c:v>
                </c:pt>
                <c:pt idx="341">
                  <c:v>47.8</c:v>
                </c:pt>
                <c:pt idx="342">
                  <c:v>45.5</c:v>
                </c:pt>
                <c:pt idx="343">
                  <c:v>50.8</c:v>
                </c:pt>
                <c:pt idx="344">
                  <c:v>45.5</c:v>
                </c:pt>
                <c:pt idx="345">
                  <c:v>48.9</c:v>
                </c:pt>
                <c:pt idx="346">
                  <c:v>61.7</c:v>
                </c:pt>
                <c:pt idx="347">
                  <c:v>85.9</c:v>
                </c:pt>
                <c:pt idx="348">
                  <c:v>63.9</c:v>
                </c:pt>
                <c:pt idx="349">
                  <c:v>61.9</c:v>
                </c:pt>
                <c:pt idx="350">
                  <c:v>49.6</c:v>
                </c:pt>
                <c:pt idx="351">
                  <c:v>58</c:v>
                </c:pt>
                <c:pt idx="352">
                  <c:v>72.2</c:v>
                </c:pt>
                <c:pt idx="353">
                  <c:v>37.4</c:v>
                </c:pt>
                <c:pt idx="354">
                  <c:v>63.8</c:v>
                </c:pt>
                <c:pt idx="355">
                  <c:v>44</c:v>
                </c:pt>
                <c:pt idx="356">
                  <c:v>49.5</c:v>
                </c:pt>
                <c:pt idx="357">
                  <c:v>57.2</c:v>
                </c:pt>
                <c:pt idx="358">
                  <c:v>100</c:v>
                </c:pt>
                <c:pt idx="359">
                  <c:v>43.4</c:v>
                </c:pt>
                <c:pt idx="360">
                  <c:v>42.2</c:v>
                </c:pt>
                <c:pt idx="361">
                  <c:v>43.9</c:v>
                </c:pt>
                <c:pt idx="362">
                  <c:v>39.9</c:v>
                </c:pt>
                <c:pt idx="363">
                  <c:v>61.6</c:v>
                </c:pt>
                <c:pt idx="364">
                  <c:v>73.599999999999994</c:v>
                </c:pt>
                <c:pt idx="365">
                  <c:v>42.5</c:v>
                </c:pt>
                <c:pt idx="366">
                  <c:v>51.3</c:v>
                </c:pt>
                <c:pt idx="367">
                  <c:v>32.9</c:v>
                </c:pt>
                <c:pt idx="368">
                  <c:v>9</c:v>
                </c:pt>
                <c:pt idx="369">
                  <c:v>66.7</c:v>
                </c:pt>
                <c:pt idx="370">
                  <c:v>78</c:v>
                </c:pt>
                <c:pt idx="371">
                  <c:v>55.2</c:v>
                </c:pt>
                <c:pt idx="372">
                  <c:v>52.3</c:v>
                </c:pt>
                <c:pt idx="373">
                  <c:v>67</c:v>
                </c:pt>
                <c:pt idx="374">
                  <c:v>56.7</c:v>
                </c:pt>
                <c:pt idx="375">
                  <c:v>36.9</c:v>
                </c:pt>
                <c:pt idx="376">
                  <c:v>68.900000000000006</c:v>
                </c:pt>
                <c:pt idx="377">
                  <c:v>59.4</c:v>
                </c:pt>
                <c:pt idx="378">
                  <c:v>82.1</c:v>
                </c:pt>
                <c:pt idx="379">
                  <c:v>39.9</c:v>
                </c:pt>
                <c:pt idx="380">
                  <c:v>46.9</c:v>
                </c:pt>
                <c:pt idx="381">
                  <c:v>45.2</c:v>
                </c:pt>
                <c:pt idx="382">
                  <c:v>42.7</c:v>
                </c:pt>
                <c:pt idx="383">
                  <c:v>31.6</c:v>
                </c:pt>
                <c:pt idx="384">
                  <c:v>56.4</c:v>
                </c:pt>
                <c:pt idx="385">
                  <c:v>52.2</c:v>
                </c:pt>
                <c:pt idx="386">
                  <c:v>51</c:v>
                </c:pt>
                <c:pt idx="387">
                  <c:v>46.9</c:v>
                </c:pt>
                <c:pt idx="388">
                  <c:v>56.3</c:v>
                </c:pt>
                <c:pt idx="389">
                  <c:v>48.2</c:v>
                </c:pt>
                <c:pt idx="390">
                  <c:v>49</c:v>
                </c:pt>
                <c:pt idx="391">
                  <c:v>46.5</c:v>
                </c:pt>
                <c:pt idx="392">
                  <c:v>33.299999999999997</c:v>
                </c:pt>
                <c:pt idx="393">
                  <c:v>50.7</c:v>
                </c:pt>
                <c:pt idx="394">
                  <c:v>66.099999999999994</c:v>
                </c:pt>
                <c:pt idx="395">
                  <c:v>59.2</c:v>
                </c:pt>
                <c:pt idx="396">
                  <c:v>62.6</c:v>
                </c:pt>
                <c:pt idx="397">
                  <c:v>43.3</c:v>
                </c:pt>
                <c:pt idx="398">
                  <c:v>57.3</c:v>
                </c:pt>
                <c:pt idx="399">
                  <c:v>64.8</c:v>
                </c:pt>
                <c:pt idx="400">
                  <c:v>78.3</c:v>
                </c:pt>
                <c:pt idx="401">
                  <c:v>47.5</c:v>
                </c:pt>
                <c:pt idx="402">
                  <c:v>73.7</c:v>
                </c:pt>
                <c:pt idx="403">
                  <c:v>46.9</c:v>
                </c:pt>
                <c:pt idx="404">
                  <c:v>48.8</c:v>
                </c:pt>
                <c:pt idx="405">
                  <c:v>40.9</c:v>
                </c:pt>
                <c:pt idx="406">
                  <c:v>41.5</c:v>
                </c:pt>
                <c:pt idx="407">
                  <c:v>53.7</c:v>
                </c:pt>
                <c:pt idx="408">
                  <c:v>29.1</c:v>
                </c:pt>
                <c:pt idx="409">
                  <c:v>52.6</c:v>
                </c:pt>
                <c:pt idx="410">
                  <c:v>81.900000000000006</c:v>
                </c:pt>
                <c:pt idx="411">
                  <c:v>58.6</c:v>
                </c:pt>
                <c:pt idx="412">
                  <c:v>46.9</c:v>
                </c:pt>
                <c:pt idx="413">
                  <c:v>34.200000000000003</c:v>
                </c:pt>
                <c:pt idx="414">
                  <c:v>60.3</c:v>
                </c:pt>
                <c:pt idx="415">
                  <c:v>55.6</c:v>
                </c:pt>
                <c:pt idx="416">
                  <c:v>57</c:v>
                </c:pt>
                <c:pt idx="417">
                  <c:v>57.1</c:v>
                </c:pt>
                <c:pt idx="418">
                  <c:v>59.4</c:v>
                </c:pt>
                <c:pt idx="419">
                  <c:v>44.7</c:v>
                </c:pt>
                <c:pt idx="420">
                  <c:v>41.7</c:v>
                </c:pt>
                <c:pt idx="421">
                  <c:v>20.7</c:v>
                </c:pt>
                <c:pt idx="422">
                  <c:v>51.3</c:v>
                </c:pt>
                <c:pt idx="423">
                  <c:v>51.2</c:v>
                </c:pt>
                <c:pt idx="424">
                  <c:v>52.3</c:v>
                </c:pt>
                <c:pt idx="425">
                  <c:v>57.5</c:v>
                </c:pt>
                <c:pt idx="426">
                  <c:v>48.8</c:v>
                </c:pt>
                <c:pt idx="427">
                  <c:v>49.7</c:v>
                </c:pt>
                <c:pt idx="428">
                  <c:v>36</c:v>
                </c:pt>
                <c:pt idx="429">
                  <c:v>45</c:v>
                </c:pt>
                <c:pt idx="430">
                  <c:v>48.4</c:v>
                </c:pt>
                <c:pt idx="431">
                  <c:v>47.6</c:v>
                </c:pt>
                <c:pt idx="432">
                  <c:v>46.3</c:v>
                </c:pt>
                <c:pt idx="433">
                  <c:v>52.5</c:v>
                </c:pt>
                <c:pt idx="434">
                  <c:v>40.200000000000003</c:v>
                </c:pt>
                <c:pt idx="435">
                  <c:v>47</c:v>
                </c:pt>
                <c:pt idx="436">
                  <c:v>55.1</c:v>
                </c:pt>
                <c:pt idx="437">
                  <c:v>74.5</c:v>
                </c:pt>
                <c:pt idx="438">
                  <c:v>54.2</c:v>
                </c:pt>
                <c:pt idx="439">
                  <c:v>61.3</c:v>
                </c:pt>
                <c:pt idx="440">
                  <c:v>52.7</c:v>
                </c:pt>
                <c:pt idx="441">
                  <c:v>59.4</c:v>
                </c:pt>
                <c:pt idx="442">
                  <c:v>47.8</c:v>
                </c:pt>
                <c:pt idx="443">
                  <c:v>42.8</c:v>
                </c:pt>
                <c:pt idx="444">
                  <c:v>51</c:v>
                </c:pt>
                <c:pt idx="445">
                  <c:v>39.5</c:v>
                </c:pt>
                <c:pt idx="446">
                  <c:v>45</c:v>
                </c:pt>
                <c:pt idx="447">
                  <c:v>66.400000000000006</c:v>
                </c:pt>
                <c:pt idx="448">
                  <c:v>34.299999999999997</c:v>
                </c:pt>
                <c:pt idx="449">
                  <c:v>58.7</c:v>
                </c:pt>
                <c:pt idx="450">
                  <c:v>56.3</c:v>
                </c:pt>
                <c:pt idx="451">
                  <c:v>41</c:v>
                </c:pt>
                <c:pt idx="452">
                  <c:v>38.5</c:v>
                </c:pt>
                <c:pt idx="453">
                  <c:v>72.2</c:v>
                </c:pt>
                <c:pt idx="454">
                  <c:v>50.9</c:v>
                </c:pt>
                <c:pt idx="455">
                  <c:v>27.3</c:v>
                </c:pt>
                <c:pt idx="456">
                  <c:v>64.2</c:v>
                </c:pt>
                <c:pt idx="457">
                  <c:v>44.8</c:v>
                </c:pt>
                <c:pt idx="458">
                  <c:v>41.7</c:v>
                </c:pt>
                <c:pt idx="459">
                  <c:v>77</c:v>
                </c:pt>
                <c:pt idx="460">
                  <c:v>55.8</c:v>
                </c:pt>
                <c:pt idx="461">
                  <c:v>44.3</c:v>
                </c:pt>
                <c:pt idx="462">
                  <c:v>59.4</c:v>
                </c:pt>
                <c:pt idx="463">
                  <c:v>0</c:v>
                </c:pt>
                <c:pt idx="464">
                  <c:v>47.7</c:v>
                </c:pt>
                <c:pt idx="465">
                  <c:v>48.3</c:v>
                </c:pt>
                <c:pt idx="466">
                  <c:v>31.7</c:v>
                </c:pt>
                <c:pt idx="467">
                  <c:v>67.099999999999994</c:v>
                </c:pt>
                <c:pt idx="468">
                  <c:v>55.1</c:v>
                </c:pt>
                <c:pt idx="469">
                  <c:v>45.6</c:v>
                </c:pt>
                <c:pt idx="470">
                  <c:v>44.5</c:v>
                </c:pt>
                <c:pt idx="471">
                  <c:v>50.9</c:v>
                </c:pt>
                <c:pt idx="472">
                  <c:v>59.1</c:v>
                </c:pt>
                <c:pt idx="473">
                  <c:v>52.1</c:v>
                </c:pt>
                <c:pt idx="474">
                  <c:v>53.6</c:v>
                </c:pt>
                <c:pt idx="475">
                  <c:v>61.7</c:v>
                </c:pt>
                <c:pt idx="476">
                  <c:v>59.5</c:v>
                </c:pt>
              </c:numCache>
            </c:numRef>
          </c:xVal>
          <c:yVal>
            <c:numRef>
              <c:f>'5.2. IDS distritos EdoNutr'!$S$2:$S$478</c:f>
              <c:numCache>
                <c:formatCode>0.0%</c:formatCode>
                <c:ptCount val="477"/>
                <c:pt idx="0">
                  <c:v>0.55555555555555558</c:v>
                </c:pt>
                <c:pt idx="1">
                  <c:v>0.55172413793103448</c:v>
                </c:pt>
                <c:pt idx="2">
                  <c:v>0.50666666666666671</c:v>
                </c:pt>
                <c:pt idx="3">
                  <c:v>0.48717948717948723</c:v>
                </c:pt>
                <c:pt idx="4">
                  <c:v>0.46666666666666667</c:v>
                </c:pt>
                <c:pt idx="5">
                  <c:v>0.4563106796116505</c:v>
                </c:pt>
                <c:pt idx="6">
                  <c:v>0.45054945054945056</c:v>
                </c:pt>
                <c:pt idx="7">
                  <c:v>0.44833068362480127</c:v>
                </c:pt>
                <c:pt idx="8">
                  <c:v>0.44736842105263158</c:v>
                </c:pt>
                <c:pt idx="9">
                  <c:v>0.44444444444444448</c:v>
                </c:pt>
                <c:pt idx="10">
                  <c:v>0.43941411451398138</c:v>
                </c:pt>
                <c:pt idx="11">
                  <c:v>0.4336569579288026</c:v>
                </c:pt>
                <c:pt idx="12">
                  <c:v>0.43283582089552242</c:v>
                </c:pt>
                <c:pt idx="13">
                  <c:v>0.43093922651933703</c:v>
                </c:pt>
                <c:pt idx="14">
                  <c:v>0.42736486486486491</c:v>
                </c:pt>
                <c:pt idx="15">
                  <c:v>0.4256055363321799</c:v>
                </c:pt>
                <c:pt idx="16">
                  <c:v>0.42471042471042469</c:v>
                </c:pt>
                <c:pt idx="17">
                  <c:v>0.42424242424242425</c:v>
                </c:pt>
                <c:pt idx="18">
                  <c:v>0.42364532019704437</c:v>
                </c:pt>
                <c:pt idx="19">
                  <c:v>0.42222222222222222</c:v>
                </c:pt>
                <c:pt idx="20">
                  <c:v>0.42216981132075471</c:v>
                </c:pt>
                <c:pt idx="21">
                  <c:v>0.42068965517241375</c:v>
                </c:pt>
                <c:pt idx="22">
                  <c:v>0.4204946996466431</c:v>
                </c:pt>
                <c:pt idx="23">
                  <c:v>0.42016806722689076</c:v>
                </c:pt>
                <c:pt idx="24">
                  <c:v>0.41966426858513189</c:v>
                </c:pt>
                <c:pt idx="25">
                  <c:v>0.41949152542372881</c:v>
                </c:pt>
                <c:pt idx="26">
                  <c:v>0.41935483870967749</c:v>
                </c:pt>
                <c:pt idx="27">
                  <c:v>0.41656210790464243</c:v>
                </c:pt>
                <c:pt idx="28">
                  <c:v>0.41216216216216217</c:v>
                </c:pt>
                <c:pt idx="29">
                  <c:v>0.41176470588235292</c:v>
                </c:pt>
                <c:pt idx="30">
                  <c:v>0.41160949868073882</c:v>
                </c:pt>
                <c:pt idx="31">
                  <c:v>0.41093117408906876</c:v>
                </c:pt>
                <c:pt idx="32">
                  <c:v>0.40860215053763443</c:v>
                </c:pt>
                <c:pt idx="33">
                  <c:v>0.40620957309184991</c:v>
                </c:pt>
                <c:pt idx="34">
                  <c:v>0.40604026845637586</c:v>
                </c:pt>
                <c:pt idx="35">
                  <c:v>0.40514469453376201</c:v>
                </c:pt>
                <c:pt idx="36">
                  <c:v>0.40481927710843368</c:v>
                </c:pt>
                <c:pt idx="37">
                  <c:v>0.40476190476190477</c:v>
                </c:pt>
                <c:pt idx="38">
                  <c:v>0.40436241610738255</c:v>
                </c:pt>
                <c:pt idx="39">
                  <c:v>0.40314136125654454</c:v>
                </c:pt>
                <c:pt idx="40">
                  <c:v>0.40206185567010311</c:v>
                </c:pt>
                <c:pt idx="41">
                  <c:v>0.40143603133159267</c:v>
                </c:pt>
                <c:pt idx="42">
                  <c:v>0.40122824974411464</c:v>
                </c:pt>
                <c:pt idx="43">
                  <c:v>0.40058236272878534</c:v>
                </c:pt>
                <c:pt idx="44">
                  <c:v>0.4</c:v>
                </c:pt>
                <c:pt idx="45">
                  <c:v>0.4</c:v>
                </c:pt>
                <c:pt idx="46">
                  <c:v>0.3996415770609319</c:v>
                </c:pt>
                <c:pt idx="47">
                  <c:v>0.39910979228486643</c:v>
                </c:pt>
                <c:pt idx="48">
                  <c:v>0.39717425431711151</c:v>
                </c:pt>
                <c:pt idx="49">
                  <c:v>0.39690721649484539</c:v>
                </c:pt>
                <c:pt idx="50">
                  <c:v>0.39655172413793105</c:v>
                </c:pt>
                <c:pt idx="51">
                  <c:v>0.39572192513368987</c:v>
                </c:pt>
                <c:pt idx="52">
                  <c:v>0.39568345323741005</c:v>
                </c:pt>
                <c:pt idx="53">
                  <c:v>0.39473684210526316</c:v>
                </c:pt>
                <c:pt idx="54">
                  <c:v>0.39473684210526316</c:v>
                </c:pt>
                <c:pt idx="55">
                  <c:v>0.39419087136929465</c:v>
                </c:pt>
                <c:pt idx="56">
                  <c:v>0.3936170212765957</c:v>
                </c:pt>
                <c:pt idx="57">
                  <c:v>0.39348370927318299</c:v>
                </c:pt>
                <c:pt idx="58">
                  <c:v>0.39310344827586208</c:v>
                </c:pt>
                <c:pt idx="59">
                  <c:v>0.39285714285714285</c:v>
                </c:pt>
                <c:pt idx="60">
                  <c:v>0.39253996447602135</c:v>
                </c:pt>
                <c:pt idx="61">
                  <c:v>0.39215686274509803</c:v>
                </c:pt>
                <c:pt idx="62">
                  <c:v>0.39195979899497491</c:v>
                </c:pt>
                <c:pt idx="63">
                  <c:v>0.39130434782608692</c:v>
                </c:pt>
                <c:pt idx="64">
                  <c:v>0.3910891089108911</c:v>
                </c:pt>
                <c:pt idx="65">
                  <c:v>0.39026969857218408</c:v>
                </c:pt>
                <c:pt idx="66">
                  <c:v>0.3902439024390244</c:v>
                </c:pt>
                <c:pt idx="67">
                  <c:v>0.38997821350762524</c:v>
                </c:pt>
                <c:pt idx="68">
                  <c:v>0.38834951456310685</c:v>
                </c:pt>
                <c:pt idx="69">
                  <c:v>0.38831615120274915</c:v>
                </c:pt>
                <c:pt idx="70">
                  <c:v>0.38821954484605087</c:v>
                </c:pt>
                <c:pt idx="71">
                  <c:v>0.38785046728971961</c:v>
                </c:pt>
                <c:pt idx="72">
                  <c:v>0.3878048780487805</c:v>
                </c:pt>
                <c:pt idx="73">
                  <c:v>0.38775510204081631</c:v>
                </c:pt>
                <c:pt idx="74">
                  <c:v>0.3872491145218418</c:v>
                </c:pt>
                <c:pt idx="75">
                  <c:v>0.38718291054739651</c:v>
                </c:pt>
                <c:pt idx="76">
                  <c:v>0.38681493248610005</c:v>
                </c:pt>
                <c:pt idx="77">
                  <c:v>0.38607594936708861</c:v>
                </c:pt>
                <c:pt idx="78">
                  <c:v>0.38602220770738083</c:v>
                </c:pt>
                <c:pt idx="79">
                  <c:v>0.38563327032136108</c:v>
                </c:pt>
                <c:pt idx="80">
                  <c:v>0.38532110091743121</c:v>
                </c:pt>
                <c:pt idx="81">
                  <c:v>0.38532110091743116</c:v>
                </c:pt>
                <c:pt idx="82">
                  <c:v>0.38503937007874017</c:v>
                </c:pt>
                <c:pt idx="83">
                  <c:v>0.38499506416584406</c:v>
                </c:pt>
                <c:pt idx="84">
                  <c:v>0.38446372239747634</c:v>
                </c:pt>
                <c:pt idx="85">
                  <c:v>0.38430851063829791</c:v>
                </c:pt>
                <c:pt idx="86">
                  <c:v>0.38356164383561642</c:v>
                </c:pt>
                <c:pt idx="87">
                  <c:v>0.3833333333333333</c:v>
                </c:pt>
                <c:pt idx="88">
                  <c:v>0.3830570902394107</c:v>
                </c:pt>
                <c:pt idx="89">
                  <c:v>0.38294689603590126</c:v>
                </c:pt>
                <c:pt idx="90">
                  <c:v>0.38247863247863245</c:v>
                </c:pt>
                <c:pt idx="91">
                  <c:v>0.3822894168466523</c:v>
                </c:pt>
                <c:pt idx="92">
                  <c:v>0.38095238095238099</c:v>
                </c:pt>
                <c:pt idx="93">
                  <c:v>0.38095238095238093</c:v>
                </c:pt>
                <c:pt idx="94">
                  <c:v>0.38055555555555554</c:v>
                </c:pt>
                <c:pt idx="95">
                  <c:v>0.3794642857142857</c:v>
                </c:pt>
                <c:pt idx="96">
                  <c:v>0.37939914163090127</c:v>
                </c:pt>
                <c:pt idx="97">
                  <c:v>0.37931034482758619</c:v>
                </c:pt>
                <c:pt idx="98">
                  <c:v>0.37878787878787878</c:v>
                </c:pt>
                <c:pt idx="99">
                  <c:v>0.37869062901155326</c:v>
                </c:pt>
                <c:pt idx="100">
                  <c:v>0.37864077669902912</c:v>
                </c:pt>
                <c:pt idx="101">
                  <c:v>0.37811233352634627</c:v>
                </c:pt>
                <c:pt idx="102">
                  <c:v>0.37808219178082192</c:v>
                </c:pt>
                <c:pt idx="103">
                  <c:v>0.37788018433179726</c:v>
                </c:pt>
                <c:pt idx="104">
                  <c:v>0.37774725274725274</c:v>
                </c:pt>
                <c:pt idx="105">
                  <c:v>0.3775811209439528</c:v>
                </c:pt>
                <c:pt idx="106">
                  <c:v>0.3772455089820359</c:v>
                </c:pt>
                <c:pt idx="107">
                  <c:v>0.3769559032716927</c:v>
                </c:pt>
                <c:pt idx="108">
                  <c:v>0.37552742616033757</c:v>
                </c:pt>
                <c:pt idx="109">
                  <c:v>0.37547892720306514</c:v>
                </c:pt>
                <c:pt idx="110">
                  <c:v>0.375</c:v>
                </c:pt>
                <c:pt idx="111">
                  <c:v>0.375</c:v>
                </c:pt>
                <c:pt idx="112">
                  <c:v>0.37476099426386233</c:v>
                </c:pt>
                <c:pt idx="113">
                  <c:v>0.37396694214876036</c:v>
                </c:pt>
                <c:pt idx="114">
                  <c:v>0.37390213299874531</c:v>
                </c:pt>
                <c:pt idx="115">
                  <c:v>0.37387387387387383</c:v>
                </c:pt>
                <c:pt idx="116">
                  <c:v>0.37338501291989662</c:v>
                </c:pt>
                <c:pt idx="117">
                  <c:v>0.37301587301587302</c:v>
                </c:pt>
                <c:pt idx="118">
                  <c:v>0.37261698440207974</c:v>
                </c:pt>
                <c:pt idx="119">
                  <c:v>0.37259816207184626</c:v>
                </c:pt>
                <c:pt idx="120">
                  <c:v>0.3724489795918367</c:v>
                </c:pt>
                <c:pt idx="121">
                  <c:v>0.37227722772277227</c:v>
                </c:pt>
                <c:pt idx="122">
                  <c:v>0.37169312169312174</c:v>
                </c:pt>
                <c:pt idx="123">
                  <c:v>0.37151702786377711</c:v>
                </c:pt>
                <c:pt idx="124">
                  <c:v>0.37103174603174605</c:v>
                </c:pt>
                <c:pt idx="125">
                  <c:v>0.37013996889580092</c:v>
                </c:pt>
                <c:pt idx="126">
                  <c:v>0.37005649717514122</c:v>
                </c:pt>
                <c:pt idx="127">
                  <c:v>0.36993243243243246</c:v>
                </c:pt>
                <c:pt idx="128">
                  <c:v>0.36909871244635195</c:v>
                </c:pt>
                <c:pt idx="129">
                  <c:v>0.36875664187035073</c:v>
                </c:pt>
                <c:pt idx="130">
                  <c:v>0.36862367661212703</c:v>
                </c:pt>
                <c:pt idx="131">
                  <c:v>0.36845593108018554</c:v>
                </c:pt>
                <c:pt idx="132">
                  <c:v>0.36807817589576541</c:v>
                </c:pt>
                <c:pt idx="133">
                  <c:v>0.36806342015855043</c:v>
                </c:pt>
                <c:pt idx="134">
                  <c:v>0.36792452830188682</c:v>
                </c:pt>
                <c:pt idx="135">
                  <c:v>0.36749482401656314</c:v>
                </c:pt>
                <c:pt idx="136">
                  <c:v>0.36726546906187629</c:v>
                </c:pt>
                <c:pt idx="137">
                  <c:v>0.36702127659574468</c:v>
                </c:pt>
                <c:pt idx="138">
                  <c:v>0.36679536679536678</c:v>
                </c:pt>
                <c:pt idx="139">
                  <c:v>0.36676217765042984</c:v>
                </c:pt>
                <c:pt idx="140">
                  <c:v>0.36627906976744184</c:v>
                </c:pt>
                <c:pt idx="141">
                  <c:v>0.36609686609686609</c:v>
                </c:pt>
                <c:pt idx="142">
                  <c:v>0.36564931178934768</c:v>
                </c:pt>
                <c:pt idx="143">
                  <c:v>0.36535662299854443</c:v>
                </c:pt>
                <c:pt idx="144">
                  <c:v>0.36521739130434783</c:v>
                </c:pt>
                <c:pt idx="145">
                  <c:v>0.3648696893966441</c:v>
                </c:pt>
                <c:pt idx="146">
                  <c:v>0.36363636363636365</c:v>
                </c:pt>
                <c:pt idx="147">
                  <c:v>0.36303191489361702</c:v>
                </c:pt>
                <c:pt idx="148">
                  <c:v>0.3630252100840336</c:v>
                </c:pt>
                <c:pt idx="149">
                  <c:v>0.36257309941520466</c:v>
                </c:pt>
                <c:pt idx="150">
                  <c:v>0.36176470588235293</c:v>
                </c:pt>
                <c:pt idx="151">
                  <c:v>0.36170212765957444</c:v>
                </c:pt>
                <c:pt idx="152">
                  <c:v>0.36145952109464086</c:v>
                </c:pt>
                <c:pt idx="153">
                  <c:v>0.36144578313253012</c:v>
                </c:pt>
                <c:pt idx="154">
                  <c:v>0.36118598382749323</c:v>
                </c:pt>
                <c:pt idx="155">
                  <c:v>0.36085626911314983</c:v>
                </c:pt>
                <c:pt idx="156">
                  <c:v>0.36053593179049942</c:v>
                </c:pt>
                <c:pt idx="157">
                  <c:v>0.36036036036036034</c:v>
                </c:pt>
                <c:pt idx="158">
                  <c:v>0.36031331592689297</c:v>
                </c:pt>
                <c:pt idx="159">
                  <c:v>0.3602015113350126</c:v>
                </c:pt>
                <c:pt idx="160">
                  <c:v>0.36</c:v>
                </c:pt>
                <c:pt idx="161">
                  <c:v>0.35996409335727109</c:v>
                </c:pt>
                <c:pt idx="162">
                  <c:v>0.35971223021582732</c:v>
                </c:pt>
                <c:pt idx="163">
                  <c:v>0.3596866096866097</c:v>
                </c:pt>
                <c:pt idx="164">
                  <c:v>0.35897435897435898</c:v>
                </c:pt>
                <c:pt idx="165">
                  <c:v>0.3588483146067416</c:v>
                </c:pt>
                <c:pt idx="166">
                  <c:v>0.35876840696117807</c:v>
                </c:pt>
                <c:pt idx="167">
                  <c:v>0.35852156057494866</c:v>
                </c:pt>
                <c:pt idx="168">
                  <c:v>0.35849056603773588</c:v>
                </c:pt>
                <c:pt idx="169">
                  <c:v>0.35849056603773588</c:v>
                </c:pt>
                <c:pt idx="170">
                  <c:v>0.35828220858895704</c:v>
                </c:pt>
                <c:pt idx="171">
                  <c:v>0.35820895522388058</c:v>
                </c:pt>
                <c:pt idx="172">
                  <c:v>0.35802469135802473</c:v>
                </c:pt>
                <c:pt idx="173">
                  <c:v>0.35769656699889257</c:v>
                </c:pt>
                <c:pt idx="174">
                  <c:v>0.35706695005313493</c:v>
                </c:pt>
                <c:pt idx="175">
                  <c:v>0.35679845708775315</c:v>
                </c:pt>
                <c:pt idx="176">
                  <c:v>0.35643564356435647</c:v>
                </c:pt>
                <c:pt idx="177">
                  <c:v>0.35625000000000001</c:v>
                </c:pt>
                <c:pt idx="178">
                  <c:v>0.35619109522261944</c:v>
                </c:pt>
                <c:pt idx="179">
                  <c:v>0.35540838852097129</c:v>
                </c:pt>
                <c:pt idx="180">
                  <c:v>0.35540838852097129</c:v>
                </c:pt>
                <c:pt idx="181">
                  <c:v>0.35527950310559009</c:v>
                </c:pt>
                <c:pt idx="182">
                  <c:v>0.35507246376811596</c:v>
                </c:pt>
                <c:pt idx="183">
                  <c:v>0.35483870967741937</c:v>
                </c:pt>
                <c:pt idx="184">
                  <c:v>0.35472972972972971</c:v>
                </c:pt>
                <c:pt idx="185">
                  <c:v>0.35373608903020665</c:v>
                </c:pt>
                <c:pt idx="186">
                  <c:v>0.3536231884057971</c:v>
                </c:pt>
                <c:pt idx="187">
                  <c:v>0.35331010452961675</c:v>
                </c:pt>
                <c:pt idx="188">
                  <c:v>0.3529411764705882</c:v>
                </c:pt>
                <c:pt idx="189">
                  <c:v>0.35272045028142596</c:v>
                </c:pt>
                <c:pt idx="190">
                  <c:v>0.35265700483091789</c:v>
                </c:pt>
                <c:pt idx="191">
                  <c:v>0.35260115606936415</c:v>
                </c:pt>
                <c:pt idx="192">
                  <c:v>0.35246679316888047</c:v>
                </c:pt>
                <c:pt idx="193">
                  <c:v>0.35227272727272729</c:v>
                </c:pt>
                <c:pt idx="194">
                  <c:v>0.35209876543209878</c:v>
                </c:pt>
                <c:pt idx="195">
                  <c:v>0.35152838427947597</c:v>
                </c:pt>
                <c:pt idx="196">
                  <c:v>0.35152838427947597</c:v>
                </c:pt>
                <c:pt idx="197">
                  <c:v>0.35121328224776499</c:v>
                </c:pt>
                <c:pt idx="198">
                  <c:v>0.35096153846153844</c:v>
                </c:pt>
                <c:pt idx="199">
                  <c:v>0.35095137420718814</c:v>
                </c:pt>
                <c:pt idx="200">
                  <c:v>0.35068912710566613</c:v>
                </c:pt>
                <c:pt idx="201">
                  <c:v>0.3501006036217304</c:v>
                </c:pt>
                <c:pt idx="202">
                  <c:v>0.35</c:v>
                </c:pt>
                <c:pt idx="203">
                  <c:v>0.34946236559139787</c:v>
                </c:pt>
                <c:pt idx="204">
                  <c:v>0.34914611005692597</c:v>
                </c:pt>
                <c:pt idx="205">
                  <c:v>0.348314606741573</c:v>
                </c:pt>
                <c:pt idx="206">
                  <c:v>0.34827586206896555</c:v>
                </c:pt>
                <c:pt idx="207">
                  <c:v>0.34794040315512709</c:v>
                </c:pt>
                <c:pt idx="208">
                  <c:v>0.3476968796433878</c:v>
                </c:pt>
                <c:pt idx="209">
                  <c:v>0.34740259740259738</c:v>
                </c:pt>
                <c:pt idx="210">
                  <c:v>0.34671125975473804</c:v>
                </c:pt>
                <c:pt idx="211">
                  <c:v>0.34661354581673304</c:v>
                </c:pt>
                <c:pt idx="212">
                  <c:v>0.34536585365853661</c:v>
                </c:pt>
                <c:pt idx="213">
                  <c:v>0.3450413223140496</c:v>
                </c:pt>
                <c:pt idx="214">
                  <c:v>0.34494773519163768</c:v>
                </c:pt>
                <c:pt idx="215">
                  <c:v>0.34488977955911826</c:v>
                </c:pt>
                <c:pt idx="216">
                  <c:v>0.34485855410866639</c:v>
                </c:pt>
                <c:pt idx="217">
                  <c:v>0.34470377019748655</c:v>
                </c:pt>
                <c:pt idx="218">
                  <c:v>0.34412955465587047</c:v>
                </c:pt>
                <c:pt idx="219">
                  <c:v>0.34259259259259262</c:v>
                </c:pt>
                <c:pt idx="220">
                  <c:v>0.34251968503937008</c:v>
                </c:pt>
                <c:pt idx="221">
                  <c:v>0.34234234234234234</c:v>
                </c:pt>
                <c:pt idx="222">
                  <c:v>0.34226804123711341</c:v>
                </c:pt>
                <c:pt idx="223">
                  <c:v>0.34224598930481281</c:v>
                </c:pt>
                <c:pt idx="224">
                  <c:v>0.34218289085545722</c:v>
                </c:pt>
                <c:pt idx="225">
                  <c:v>0.34213250517598348</c:v>
                </c:pt>
                <c:pt idx="226">
                  <c:v>0.34198011240812798</c:v>
                </c:pt>
                <c:pt idx="227">
                  <c:v>0.34196891191709844</c:v>
                </c:pt>
                <c:pt idx="228">
                  <c:v>0.34169278996865204</c:v>
                </c:pt>
                <c:pt idx="229">
                  <c:v>0.34146341463414637</c:v>
                </c:pt>
                <c:pt idx="230">
                  <c:v>0.34129545943619544</c:v>
                </c:pt>
                <c:pt idx="231">
                  <c:v>0.34069668649107904</c:v>
                </c:pt>
                <c:pt idx="232">
                  <c:v>0.34067357512953367</c:v>
                </c:pt>
                <c:pt idx="233">
                  <c:v>0.34042553191489361</c:v>
                </c:pt>
                <c:pt idx="234">
                  <c:v>0.34042553191489361</c:v>
                </c:pt>
                <c:pt idx="235">
                  <c:v>0.34031413612565442</c:v>
                </c:pt>
                <c:pt idx="236">
                  <c:v>0.34020618556701032</c:v>
                </c:pt>
                <c:pt idx="237">
                  <c:v>0.33971291866028708</c:v>
                </c:pt>
                <c:pt idx="238">
                  <c:v>0.33969465648854957</c:v>
                </c:pt>
                <c:pt idx="239">
                  <c:v>0.33859649122807017</c:v>
                </c:pt>
                <c:pt idx="240">
                  <c:v>0.33822450476889215</c:v>
                </c:pt>
                <c:pt idx="241">
                  <c:v>0.33809166040570998</c:v>
                </c:pt>
                <c:pt idx="242">
                  <c:v>0.33788706739526408</c:v>
                </c:pt>
                <c:pt idx="243">
                  <c:v>0.33759590792838878</c:v>
                </c:pt>
                <c:pt idx="244">
                  <c:v>0.33753846153846156</c:v>
                </c:pt>
                <c:pt idx="245">
                  <c:v>0.3370421882243857</c:v>
                </c:pt>
                <c:pt idx="246">
                  <c:v>0.33676470588235297</c:v>
                </c:pt>
                <c:pt idx="247">
                  <c:v>0.33673469387755101</c:v>
                </c:pt>
                <c:pt idx="248">
                  <c:v>0.33650793650793653</c:v>
                </c:pt>
                <c:pt idx="249">
                  <c:v>0.33641975308641975</c:v>
                </c:pt>
                <c:pt idx="250">
                  <c:v>0.33633093525179852</c:v>
                </c:pt>
                <c:pt idx="251">
                  <c:v>0.33613445378151263</c:v>
                </c:pt>
                <c:pt idx="252">
                  <c:v>0.3359375</c:v>
                </c:pt>
                <c:pt idx="253">
                  <c:v>0.33547351524879621</c:v>
                </c:pt>
                <c:pt idx="254">
                  <c:v>0.33513513513513515</c:v>
                </c:pt>
                <c:pt idx="255">
                  <c:v>0.3348729792147806</c:v>
                </c:pt>
                <c:pt idx="256">
                  <c:v>0.33480176211453749</c:v>
                </c:pt>
                <c:pt idx="257">
                  <c:v>0.33454545454545453</c:v>
                </c:pt>
                <c:pt idx="258">
                  <c:v>0.33451957295373669</c:v>
                </c:pt>
                <c:pt idx="259">
                  <c:v>0.33443708609271522</c:v>
                </c:pt>
                <c:pt idx="260">
                  <c:v>0.33436532507739941</c:v>
                </c:pt>
                <c:pt idx="261">
                  <c:v>0.33417085427135679</c:v>
                </c:pt>
                <c:pt idx="262">
                  <c:v>0.33333333333333337</c:v>
                </c:pt>
                <c:pt idx="263">
                  <c:v>0.33333333333333337</c:v>
                </c:pt>
                <c:pt idx="264">
                  <c:v>0.33333333333333331</c:v>
                </c:pt>
                <c:pt idx="265">
                  <c:v>0.33282442748091601</c:v>
                </c:pt>
                <c:pt idx="266">
                  <c:v>0.33237822349570201</c:v>
                </c:pt>
                <c:pt idx="267">
                  <c:v>0.33185020393029291</c:v>
                </c:pt>
                <c:pt idx="268">
                  <c:v>0.33155080213903743</c:v>
                </c:pt>
                <c:pt idx="269">
                  <c:v>0.32960893854748602</c:v>
                </c:pt>
                <c:pt idx="270">
                  <c:v>0.32946635730858465</c:v>
                </c:pt>
                <c:pt idx="271">
                  <c:v>0.32890855457227142</c:v>
                </c:pt>
                <c:pt idx="272">
                  <c:v>0.32876712328767121</c:v>
                </c:pt>
                <c:pt idx="273">
                  <c:v>0.32786885245901637</c:v>
                </c:pt>
                <c:pt idx="274">
                  <c:v>0.32776934749620634</c:v>
                </c:pt>
                <c:pt idx="275">
                  <c:v>0.3273542600896861</c:v>
                </c:pt>
                <c:pt idx="276">
                  <c:v>0.32727272727272727</c:v>
                </c:pt>
                <c:pt idx="277">
                  <c:v>0.32727272727272727</c:v>
                </c:pt>
                <c:pt idx="278">
                  <c:v>0.3266699171136031</c:v>
                </c:pt>
                <c:pt idx="279">
                  <c:v>0.3262032085561497</c:v>
                </c:pt>
                <c:pt idx="280">
                  <c:v>0.32615384615384613</c:v>
                </c:pt>
                <c:pt idx="281">
                  <c:v>0.32534246575342468</c:v>
                </c:pt>
                <c:pt idx="282">
                  <c:v>0.32530120481927705</c:v>
                </c:pt>
                <c:pt idx="283">
                  <c:v>0.325071496663489</c:v>
                </c:pt>
                <c:pt idx="284">
                  <c:v>0.32484076433121023</c:v>
                </c:pt>
                <c:pt idx="285">
                  <c:v>0.32432432432432434</c:v>
                </c:pt>
                <c:pt idx="286">
                  <c:v>0.32406992380098609</c:v>
                </c:pt>
                <c:pt idx="287">
                  <c:v>0.32387706855791965</c:v>
                </c:pt>
                <c:pt idx="288">
                  <c:v>0.32367972742759799</c:v>
                </c:pt>
                <c:pt idx="289">
                  <c:v>0.3235294117647059</c:v>
                </c:pt>
                <c:pt idx="290">
                  <c:v>0.32352941176470584</c:v>
                </c:pt>
                <c:pt idx="291">
                  <c:v>0.32242990654205606</c:v>
                </c:pt>
                <c:pt idx="292">
                  <c:v>0.3223140495867769</c:v>
                </c:pt>
                <c:pt idx="293">
                  <c:v>0.32220795892169452</c:v>
                </c:pt>
                <c:pt idx="294">
                  <c:v>0.32207792207792207</c:v>
                </c:pt>
                <c:pt idx="295">
                  <c:v>0.32156133828996281</c:v>
                </c:pt>
                <c:pt idx="296">
                  <c:v>0.32051282051282048</c:v>
                </c:pt>
                <c:pt idx="297">
                  <c:v>0.3202247191011236</c:v>
                </c:pt>
                <c:pt idx="298">
                  <c:v>0.31993006993006989</c:v>
                </c:pt>
                <c:pt idx="299">
                  <c:v>0.31966449207828518</c:v>
                </c:pt>
                <c:pt idx="300">
                  <c:v>0.31954887218045114</c:v>
                </c:pt>
                <c:pt idx="301">
                  <c:v>0.31921824104234525</c:v>
                </c:pt>
                <c:pt idx="302">
                  <c:v>0.31896551724137934</c:v>
                </c:pt>
                <c:pt idx="303">
                  <c:v>0.31891891891891894</c:v>
                </c:pt>
                <c:pt idx="304">
                  <c:v>0.31868131868131866</c:v>
                </c:pt>
                <c:pt idx="305">
                  <c:v>0.3185298621745789</c:v>
                </c:pt>
                <c:pt idx="306">
                  <c:v>0.31753554502369663</c:v>
                </c:pt>
                <c:pt idx="307">
                  <c:v>0.31752873563218387</c:v>
                </c:pt>
                <c:pt idx="308">
                  <c:v>0.31751824817518248</c:v>
                </c:pt>
                <c:pt idx="309">
                  <c:v>0.31737849779086891</c:v>
                </c:pt>
                <c:pt idx="310">
                  <c:v>0.31715537580047187</c:v>
                </c:pt>
                <c:pt idx="311">
                  <c:v>0.31683168316831689</c:v>
                </c:pt>
                <c:pt idx="312">
                  <c:v>0.31615120274914088</c:v>
                </c:pt>
                <c:pt idx="313">
                  <c:v>0.31613715004718462</c:v>
                </c:pt>
                <c:pt idx="314">
                  <c:v>0.3161103979460847</c:v>
                </c:pt>
                <c:pt idx="315">
                  <c:v>0.31578947368421056</c:v>
                </c:pt>
                <c:pt idx="316">
                  <c:v>0.31517509727626458</c:v>
                </c:pt>
                <c:pt idx="317">
                  <c:v>0.31513647642679898</c:v>
                </c:pt>
                <c:pt idx="318">
                  <c:v>0.31363636363636366</c:v>
                </c:pt>
                <c:pt idx="319">
                  <c:v>0.31358381502890176</c:v>
                </c:pt>
                <c:pt idx="320">
                  <c:v>0.31328320802005011</c:v>
                </c:pt>
                <c:pt idx="321">
                  <c:v>0.313201496525922</c:v>
                </c:pt>
                <c:pt idx="322">
                  <c:v>0.31296296296296294</c:v>
                </c:pt>
                <c:pt idx="323">
                  <c:v>0.3125</c:v>
                </c:pt>
                <c:pt idx="324">
                  <c:v>0.31246870305458185</c:v>
                </c:pt>
                <c:pt idx="325">
                  <c:v>0.31165311653116534</c:v>
                </c:pt>
                <c:pt idx="326">
                  <c:v>0.31058020477815695</c:v>
                </c:pt>
                <c:pt idx="327">
                  <c:v>0.31009440813362382</c:v>
                </c:pt>
                <c:pt idx="328">
                  <c:v>0.30991895021227323</c:v>
                </c:pt>
                <c:pt idx="329">
                  <c:v>0.30988719309887192</c:v>
                </c:pt>
                <c:pt idx="330">
                  <c:v>0.30977130977130973</c:v>
                </c:pt>
                <c:pt idx="331">
                  <c:v>0.30939226519337015</c:v>
                </c:pt>
                <c:pt idx="332">
                  <c:v>0.30921052631578949</c:v>
                </c:pt>
                <c:pt idx="333">
                  <c:v>0.30920245398773005</c:v>
                </c:pt>
                <c:pt idx="334">
                  <c:v>0.30824372759856633</c:v>
                </c:pt>
                <c:pt idx="335">
                  <c:v>0.30769230769230771</c:v>
                </c:pt>
                <c:pt idx="336">
                  <c:v>0.30744336569579289</c:v>
                </c:pt>
                <c:pt idx="337">
                  <c:v>0.30736842105263157</c:v>
                </c:pt>
                <c:pt idx="338">
                  <c:v>0.30681818181818182</c:v>
                </c:pt>
                <c:pt idx="339">
                  <c:v>0.3066298342541437</c:v>
                </c:pt>
                <c:pt idx="340">
                  <c:v>0.30595813204508859</c:v>
                </c:pt>
                <c:pt idx="341">
                  <c:v>0.30555555555555558</c:v>
                </c:pt>
                <c:pt idx="342">
                  <c:v>0.30541871921182262</c:v>
                </c:pt>
                <c:pt idx="343">
                  <c:v>0.30540540540540539</c:v>
                </c:pt>
                <c:pt idx="344">
                  <c:v>0.30536912751677847</c:v>
                </c:pt>
                <c:pt idx="345">
                  <c:v>0.30523255813953487</c:v>
                </c:pt>
                <c:pt idx="346">
                  <c:v>0.30474040632054178</c:v>
                </c:pt>
                <c:pt idx="347">
                  <c:v>0.30420711974110032</c:v>
                </c:pt>
                <c:pt idx="348">
                  <c:v>0.30399999999999999</c:v>
                </c:pt>
                <c:pt idx="349">
                  <c:v>0.30366492146596857</c:v>
                </c:pt>
                <c:pt idx="350">
                  <c:v>0.30340136054421768</c:v>
                </c:pt>
                <c:pt idx="351">
                  <c:v>0.30266343825665865</c:v>
                </c:pt>
                <c:pt idx="352">
                  <c:v>0.30259365994236309</c:v>
                </c:pt>
                <c:pt idx="353">
                  <c:v>0.30232558139534882</c:v>
                </c:pt>
                <c:pt idx="354">
                  <c:v>0.30185497470489042</c:v>
                </c:pt>
                <c:pt idx="355">
                  <c:v>0.30185185185185187</c:v>
                </c:pt>
                <c:pt idx="356">
                  <c:v>0.30138713745271123</c:v>
                </c:pt>
                <c:pt idx="357">
                  <c:v>0.30136986301369861</c:v>
                </c:pt>
                <c:pt idx="358">
                  <c:v>0.30132450331125826</c:v>
                </c:pt>
                <c:pt idx="359">
                  <c:v>0.30088495575221241</c:v>
                </c:pt>
                <c:pt idx="360">
                  <c:v>0.30040053404539385</c:v>
                </c:pt>
                <c:pt idx="361">
                  <c:v>0.3</c:v>
                </c:pt>
                <c:pt idx="362">
                  <c:v>0.29945553539019965</c:v>
                </c:pt>
                <c:pt idx="363">
                  <c:v>0.29817708333333331</c:v>
                </c:pt>
                <c:pt idx="364">
                  <c:v>0.29778393351800553</c:v>
                </c:pt>
                <c:pt idx="365">
                  <c:v>0.29749103942652333</c:v>
                </c:pt>
                <c:pt idx="366">
                  <c:v>0.29629629629629628</c:v>
                </c:pt>
                <c:pt idx="367">
                  <c:v>0.29599999999999999</c:v>
                </c:pt>
                <c:pt idx="368">
                  <c:v>0.29591836734693877</c:v>
                </c:pt>
                <c:pt idx="369">
                  <c:v>0.29565217391304349</c:v>
                </c:pt>
                <c:pt idx="370">
                  <c:v>0.29553264604810997</c:v>
                </c:pt>
                <c:pt idx="371">
                  <c:v>0.2947976878612717</c:v>
                </c:pt>
                <c:pt idx="372">
                  <c:v>0.29383313180169285</c:v>
                </c:pt>
                <c:pt idx="373">
                  <c:v>0.29349967170059088</c:v>
                </c:pt>
                <c:pt idx="374">
                  <c:v>0.2934537246049661</c:v>
                </c:pt>
                <c:pt idx="375">
                  <c:v>0.2931034482758621</c:v>
                </c:pt>
                <c:pt idx="376">
                  <c:v>0.29176029962546818</c:v>
                </c:pt>
                <c:pt idx="377">
                  <c:v>0.29171817058096416</c:v>
                </c:pt>
                <c:pt idx="378">
                  <c:v>0.29050279329608941</c:v>
                </c:pt>
                <c:pt idx="379">
                  <c:v>0.29049111807732497</c:v>
                </c:pt>
                <c:pt idx="380">
                  <c:v>0.28977272727272729</c:v>
                </c:pt>
                <c:pt idx="381">
                  <c:v>0.28947368421052633</c:v>
                </c:pt>
                <c:pt idx="382">
                  <c:v>0.28930817610062892</c:v>
                </c:pt>
                <c:pt idx="383">
                  <c:v>0.28909090909090907</c:v>
                </c:pt>
                <c:pt idx="384">
                  <c:v>0.28794241151769645</c:v>
                </c:pt>
                <c:pt idx="385">
                  <c:v>0.28776978417266186</c:v>
                </c:pt>
                <c:pt idx="386">
                  <c:v>0.28688524590163933</c:v>
                </c:pt>
                <c:pt idx="387">
                  <c:v>0.28668941979522183</c:v>
                </c:pt>
                <c:pt idx="388">
                  <c:v>0.28650137741046833</c:v>
                </c:pt>
                <c:pt idx="389">
                  <c:v>0.28620988725065044</c:v>
                </c:pt>
                <c:pt idx="390">
                  <c:v>0.28571428571428575</c:v>
                </c:pt>
                <c:pt idx="391">
                  <c:v>0.28397565922920898</c:v>
                </c:pt>
                <c:pt idx="392">
                  <c:v>0.28395061728395066</c:v>
                </c:pt>
                <c:pt idx="393">
                  <c:v>0.28378378378378377</c:v>
                </c:pt>
                <c:pt idx="394">
                  <c:v>0.28358208955223879</c:v>
                </c:pt>
                <c:pt idx="395">
                  <c:v>0.28346456692913385</c:v>
                </c:pt>
                <c:pt idx="396">
                  <c:v>0.28313253012048195</c:v>
                </c:pt>
                <c:pt idx="397">
                  <c:v>0.28282828282828287</c:v>
                </c:pt>
                <c:pt idx="398">
                  <c:v>0.28205128205128205</c:v>
                </c:pt>
                <c:pt idx="399">
                  <c:v>0.28115015974440893</c:v>
                </c:pt>
                <c:pt idx="400">
                  <c:v>0.28030303030303028</c:v>
                </c:pt>
                <c:pt idx="401">
                  <c:v>0.28012048192771083</c:v>
                </c:pt>
                <c:pt idx="402">
                  <c:v>0.28000000000000003</c:v>
                </c:pt>
                <c:pt idx="403">
                  <c:v>0.27997076023391815</c:v>
                </c:pt>
                <c:pt idx="404">
                  <c:v>0.27941176470588236</c:v>
                </c:pt>
                <c:pt idx="405">
                  <c:v>0.27927927927927931</c:v>
                </c:pt>
                <c:pt idx="406">
                  <c:v>0.27868852459016397</c:v>
                </c:pt>
                <c:pt idx="407">
                  <c:v>0.27859778597785978</c:v>
                </c:pt>
                <c:pt idx="408">
                  <c:v>0.27692307692307688</c:v>
                </c:pt>
                <c:pt idx="409">
                  <c:v>0.27371695178849142</c:v>
                </c:pt>
                <c:pt idx="410">
                  <c:v>0.27312348668280872</c:v>
                </c:pt>
                <c:pt idx="411">
                  <c:v>0.27272727272727271</c:v>
                </c:pt>
                <c:pt idx="412">
                  <c:v>0.27256153144940748</c:v>
                </c:pt>
                <c:pt idx="413">
                  <c:v>0.27160493827160492</c:v>
                </c:pt>
                <c:pt idx="414">
                  <c:v>0.26990692864529475</c:v>
                </c:pt>
                <c:pt idx="415">
                  <c:v>0.26899383983572894</c:v>
                </c:pt>
                <c:pt idx="416">
                  <c:v>0.26839826839826841</c:v>
                </c:pt>
                <c:pt idx="417">
                  <c:v>0.26836434867776693</c:v>
                </c:pt>
                <c:pt idx="418">
                  <c:v>0.26745913818722145</c:v>
                </c:pt>
                <c:pt idx="419">
                  <c:v>0.26694915254237289</c:v>
                </c:pt>
                <c:pt idx="420">
                  <c:v>0.26630434782608697</c:v>
                </c:pt>
                <c:pt idx="421">
                  <c:v>0.26620370370370372</c:v>
                </c:pt>
                <c:pt idx="422">
                  <c:v>0.26470588235294118</c:v>
                </c:pt>
                <c:pt idx="423">
                  <c:v>0.2639751552795031</c:v>
                </c:pt>
                <c:pt idx="424">
                  <c:v>0.2638376383763838</c:v>
                </c:pt>
                <c:pt idx="425">
                  <c:v>0.26365054602184085</c:v>
                </c:pt>
                <c:pt idx="426">
                  <c:v>0.26329113924050634</c:v>
                </c:pt>
                <c:pt idx="427">
                  <c:v>0.26278409090909094</c:v>
                </c:pt>
                <c:pt idx="428">
                  <c:v>0.26200873362445415</c:v>
                </c:pt>
                <c:pt idx="429">
                  <c:v>0.26196808510638298</c:v>
                </c:pt>
                <c:pt idx="430">
                  <c:v>0.25854214123006836</c:v>
                </c:pt>
                <c:pt idx="431">
                  <c:v>0.2583333333333333</c:v>
                </c:pt>
                <c:pt idx="432">
                  <c:v>0.25714285714285717</c:v>
                </c:pt>
                <c:pt idx="433">
                  <c:v>0.25641025641025639</c:v>
                </c:pt>
                <c:pt idx="434">
                  <c:v>0.25628140703517588</c:v>
                </c:pt>
                <c:pt idx="435">
                  <c:v>0.25624999999999998</c:v>
                </c:pt>
                <c:pt idx="436">
                  <c:v>0.25624375624375623</c:v>
                </c:pt>
                <c:pt idx="437">
                  <c:v>0.25609756097560976</c:v>
                </c:pt>
                <c:pt idx="438">
                  <c:v>0.25493421052631582</c:v>
                </c:pt>
                <c:pt idx="439">
                  <c:v>0.25444839857651247</c:v>
                </c:pt>
                <c:pt idx="440">
                  <c:v>0.25423728813559321</c:v>
                </c:pt>
                <c:pt idx="441">
                  <c:v>0.25396825396825395</c:v>
                </c:pt>
                <c:pt idx="442">
                  <c:v>0.25384615384615383</c:v>
                </c:pt>
                <c:pt idx="443">
                  <c:v>0.25352112676056338</c:v>
                </c:pt>
                <c:pt idx="444">
                  <c:v>0.25252525252525254</c:v>
                </c:pt>
                <c:pt idx="445">
                  <c:v>0.25214899713467054</c:v>
                </c:pt>
                <c:pt idx="446">
                  <c:v>0.25140712945590998</c:v>
                </c:pt>
                <c:pt idx="447">
                  <c:v>0.25</c:v>
                </c:pt>
                <c:pt idx="448">
                  <c:v>0.24820143884892085</c:v>
                </c:pt>
                <c:pt idx="449">
                  <c:v>0.24752475247524752</c:v>
                </c:pt>
                <c:pt idx="450">
                  <c:v>0.24482758620689654</c:v>
                </c:pt>
                <c:pt idx="451">
                  <c:v>0.24372759856630824</c:v>
                </c:pt>
                <c:pt idx="452">
                  <c:v>0.23599999999999999</c:v>
                </c:pt>
                <c:pt idx="453">
                  <c:v>0.23253150057273769</c:v>
                </c:pt>
                <c:pt idx="454">
                  <c:v>0.22988505747126436</c:v>
                </c:pt>
                <c:pt idx="455">
                  <c:v>0.22741573033707865</c:v>
                </c:pt>
                <c:pt idx="456">
                  <c:v>0.2265625</c:v>
                </c:pt>
                <c:pt idx="457">
                  <c:v>0.22131147540983609</c:v>
                </c:pt>
                <c:pt idx="458">
                  <c:v>0.21568627450980393</c:v>
                </c:pt>
                <c:pt idx="459">
                  <c:v>0.21327967806841047</c:v>
                </c:pt>
                <c:pt idx="460">
                  <c:v>0.203125</c:v>
                </c:pt>
                <c:pt idx="461">
                  <c:v>0.2</c:v>
                </c:pt>
                <c:pt idx="462">
                  <c:v>0.19607843137254904</c:v>
                </c:pt>
                <c:pt idx="463">
                  <c:v>0.18113772455089819</c:v>
                </c:pt>
                <c:pt idx="464">
                  <c:v>0.17499999999999999</c:v>
                </c:pt>
                <c:pt idx="465">
                  <c:v>0.16666666666666669</c:v>
                </c:pt>
                <c:pt idx="466">
                  <c:v>0.16233766233766234</c:v>
                </c:pt>
                <c:pt idx="467">
                  <c:v>0.15646258503401361</c:v>
                </c:pt>
                <c:pt idx="468">
                  <c:v>0.15094339622641509</c:v>
                </c:pt>
                <c:pt idx="469">
                  <c:v>0.125</c:v>
                </c:pt>
              </c:numCache>
            </c:numRef>
          </c:yVal>
          <c:smooth val="0"/>
          <c:extLst>
            <c:ext xmlns:c16="http://schemas.microsoft.com/office/drawing/2014/chart" uri="{C3380CC4-5D6E-409C-BE32-E72D297353CC}">
              <c16:uniqueId val="{00000000-2E78-4D29-AEE7-4CD3FB9E0E91}"/>
            </c:ext>
          </c:extLst>
        </c:ser>
        <c:dLbls>
          <c:showLegendKey val="0"/>
          <c:showVal val="0"/>
          <c:showCatName val="0"/>
          <c:showSerName val="0"/>
          <c:showPercent val="0"/>
          <c:showBubbleSize val="0"/>
        </c:dLbls>
        <c:axId val="1826712880"/>
        <c:axId val="1826730832"/>
      </c:scatterChart>
      <c:valAx>
        <c:axId val="1826712880"/>
        <c:scaling>
          <c:orientation val="minMax"/>
          <c:max val="100"/>
        </c:scaling>
        <c:delete val="0"/>
        <c:axPos val="b"/>
        <c:title>
          <c:tx>
            <c:rich>
              <a:bodyPr rot="0" spcFirstLastPara="1" vertOverflow="ellipsis" vert="horz" wrap="square" anchor="ctr" anchorCtr="1"/>
              <a:lstStyle/>
              <a:p>
                <a:pPr>
                  <a:defRPr lang="en-US" sz="1100" b="0" i="0" u="none" strike="noStrike" kern="1200" baseline="0">
                    <a:solidFill>
                      <a:sysClr val="windowText" lastClr="000000"/>
                    </a:solidFill>
                    <a:latin typeface="+mn-lt"/>
                    <a:ea typeface="+mn-ea"/>
                    <a:cs typeface="+mn-cs"/>
                  </a:defRPr>
                </a:pPr>
                <a:r>
                  <a:rPr lang="en-US" sz="1100">
                    <a:solidFill>
                      <a:sysClr val="windowText" lastClr="000000"/>
                    </a:solidFill>
                  </a:rPr>
                  <a:t>IDS (%)</a:t>
                </a:r>
              </a:p>
            </c:rich>
          </c:tx>
          <c:overlay val="0"/>
          <c:spPr>
            <a:noFill/>
            <a:ln>
              <a:noFill/>
            </a:ln>
            <a:effectLst/>
          </c:spPr>
        </c:title>
        <c:numFmt formatCode="0.0" sourceLinked="1"/>
        <c:majorTickMark val="out"/>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lang="en-US" sz="800" b="0" i="0" u="none" strike="noStrike" kern="1200" spc="0" baseline="0">
                <a:solidFill>
                  <a:sysClr val="windowText" lastClr="000000"/>
                </a:solidFill>
                <a:latin typeface="+mn-lt"/>
                <a:ea typeface="+mn-ea"/>
                <a:cs typeface="+mn-cs"/>
              </a:defRPr>
            </a:pPr>
            <a:endParaRPr lang="es-CR"/>
          </a:p>
        </c:txPr>
        <c:crossAx val="1826730832"/>
        <c:crosses val="autoZero"/>
        <c:crossBetween val="midCat"/>
      </c:valAx>
      <c:valAx>
        <c:axId val="1826730832"/>
        <c:scaling>
          <c:orientation val="minMax"/>
          <c:max val="0.6000000000000002"/>
          <c:min val="0.1"/>
        </c:scaling>
        <c:delete val="0"/>
        <c:axPos val="l"/>
        <c:majorGridlines>
          <c:spPr>
            <a:ln w="9525" cap="flat" cmpd="sng" algn="ctr">
              <a:solidFill>
                <a:schemeClr val="dk1">
                  <a:lumMod val="15000"/>
                  <a:lumOff val="85000"/>
                </a:schemeClr>
              </a:solidFill>
              <a:round/>
            </a:ln>
            <a:effectLst/>
          </c:spPr>
        </c:majorGridlines>
        <c:minorGridlines>
          <c:spPr>
            <a:ln w="9525" cap="flat" cmpd="sng" algn="ctr">
              <a:solidFill>
                <a:schemeClr val="dk1">
                  <a:lumMod val="5000"/>
                  <a:lumOff val="95000"/>
                </a:schemeClr>
              </a:solidFill>
              <a:round/>
            </a:ln>
            <a:effectLst/>
          </c:spPr>
        </c:minorGridlines>
        <c:title>
          <c:tx>
            <c:rich>
              <a:bodyPr rot="-5400000" spcFirstLastPara="1" vertOverflow="ellipsis" vert="horz" wrap="square" anchor="ctr" anchorCtr="1"/>
              <a:lstStyle/>
              <a:p>
                <a:pPr>
                  <a:defRPr lang="en-US" sz="1000" b="0" i="0" u="none" strike="noStrike" kern="1200" baseline="0">
                    <a:solidFill>
                      <a:sysClr val="windowText" lastClr="000000"/>
                    </a:solidFill>
                    <a:latin typeface="+mn-lt"/>
                    <a:ea typeface="+mn-ea"/>
                    <a:cs typeface="+mn-cs"/>
                  </a:defRPr>
                </a:pPr>
                <a:r>
                  <a:rPr lang="en-US" sz="1000" dirty="0" err="1">
                    <a:solidFill>
                      <a:sysClr val="windowText" lastClr="000000"/>
                    </a:solidFill>
                  </a:rPr>
                  <a:t>Prevalencia</a:t>
                </a:r>
                <a:r>
                  <a:rPr lang="en-US" sz="1000" dirty="0">
                    <a:solidFill>
                      <a:sysClr val="windowText" lastClr="000000"/>
                    </a:solidFill>
                  </a:rPr>
                  <a:t> (%)</a:t>
                </a:r>
              </a:p>
            </c:rich>
          </c:tx>
          <c:layout>
            <c:manualLayout>
              <c:xMode val="edge"/>
              <c:yMode val="edge"/>
              <c:x val="1.6395776459174696E-2"/>
              <c:y val="0.33399548048508965"/>
            </c:manualLayout>
          </c:layout>
          <c:overlay val="0"/>
          <c:spPr>
            <a:noFill/>
            <a:ln>
              <a:noFill/>
            </a:ln>
            <a:effectLst/>
          </c:spPr>
        </c:title>
        <c:numFmt formatCode="0.0%" sourceLinked="0"/>
        <c:majorTickMark val="out"/>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lang="en-US" sz="800" b="0" i="0" u="none" strike="noStrike" kern="1200" spc="0" baseline="0">
                <a:solidFill>
                  <a:sysClr val="windowText" lastClr="000000"/>
                </a:solidFill>
                <a:latin typeface="+mn-lt"/>
                <a:ea typeface="+mn-ea"/>
                <a:cs typeface="+mn-cs"/>
              </a:defRPr>
            </a:pPr>
            <a:endParaRPr lang="es-CR"/>
          </a:p>
        </c:txPr>
        <c:crossAx val="1826712880"/>
        <c:crosses val="autoZero"/>
        <c:crossBetween val="midCat"/>
        <c:majorUnit val="0.1"/>
      </c:valAx>
      <c:spPr>
        <a:gradFill>
          <a:gsLst>
            <a:gs pos="100000">
              <a:schemeClr val="lt1">
                <a:lumMod val="95000"/>
              </a:schemeClr>
            </a:gs>
            <a:gs pos="0">
              <a:schemeClr val="lt1">
                <a:alpha val="0"/>
              </a:schemeClr>
            </a:gs>
          </a:gsLst>
          <a:lin ang="5400000" scaled="0"/>
        </a:grad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es-C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rawings/drawing1.xml><?xml version="1.0" encoding="utf-8"?>
<c:userShapes xmlns:c="http://schemas.openxmlformats.org/drawingml/2006/chart">
  <cdr:relSizeAnchor xmlns:cdr="http://schemas.openxmlformats.org/drawingml/2006/chartDrawing">
    <cdr:from>
      <cdr:x>0.01357</cdr:x>
      <cdr:y>0.37139</cdr:y>
    </cdr:from>
    <cdr:to>
      <cdr:x>0.14485</cdr:x>
      <cdr:y>0.54432</cdr:y>
    </cdr:to>
    <cdr:sp macro="" textlink="">
      <cdr:nvSpPr>
        <cdr:cNvPr id="3" name="CuadroTexto 13"/>
        <cdr:cNvSpPr txBox="1"/>
      </cdr:nvSpPr>
      <cdr:spPr>
        <a:xfrm xmlns:a="http://schemas.openxmlformats.org/drawingml/2006/main">
          <a:off x="67059" y="983411"/>
          <a:ext cx="648933" cy="457915"/>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s-PA" sz="900"/>
            <a:t>-4,91%</a:t>
          </a:r>
        </a:p>
      </cdr:txBody>
    </cdr:sp>
  </cdr:relSizeAnchor>
  <cdr:relSizeAnchor xmlns:cdr="http://schemas.openxmlformats.org/drawingml/2006/chartDrawing">
    <cdr:from>
      <cdr:x>0.02529</cdr:x>
      <cdr:y>0.73349</cdr:y>
    </cdr:from>
    <cdr:to>
      <cdr:x>0.16959</cdr:x>
      <cdr:y>0.83774</cdr:y>
    </cdr:to>
    <cdr:sp macro="" textlink="">
      <cdr:nvSpPr>
        <cdr:cNvPr id="4" name="CuadroTexto 13"/>
        <cdr:cNvSpPr txBox="1"/>
      </cdr:nvSpPr>
      <cdr:spPr>
        <a:xfrm xmlns:a="http://schemas.openxmlformats.org/drawingml/2006/main">
          <a:off x="112144" y="1676748"/>
          <a:ext cx="639767" cy="238316"/>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s-PA" sz="900"/>
            <a:t>2,05%</a:t>
          </a:r>
        </a:p>
      </cdr:txBody>
    </cdr:sp>
  </cdr:relSizeAnchor>
  <cdr:relSizeAnchor xmlns:cdr="http://schemas.openxmlformats.org/drawingml/2006/chartDrawing">
    <cdr:from>
      <cdr:x>0.00524</cdr:x>
      <cdr:y>0.41415</cdr:y>
    </cdr:from>
    <cdr:to>
      <cdr:x>0.04014</cdr:x>
      <cdr:y>0.52176</cdr:y>
    </cdr:to>
    <cdr:sp macro="" textlink="">
      <cdr:nvSpPr>
        <cdr:cNvPr id="2" name="Flecha abajo 1"/>
        <cdr:cNvSpPr/>
      </cdr:nvSpPr>
      <cdr:spPr>
        <a:xfrm xmlns:a="http://schemas.openxmlformats.org/drawingml/2006/main">
          <a:off x="25879" y="1096641"/>
          <a:ext cx="172528" cy="284946"/>
        </a:xfrm>
        <a:prstGeom xmlns:a="http://schemas.openxmlformats.org/drawingml/2006/main" prst="downArrow">
          <a:avLst/>
        </a:prstGeom>
        <a:solidFill xmlns:a="http://schemas.openxmlformats.org/drawingml/2006/main">
          <a:schemeClr val="accent2"/>
        </a:solidFill>
        <a:ln xmlns:a="http://schemas.openxmlformats.org/drawingml/2006/main">
          <a:solidFill>
            <a:schemeClr val="accent2"/>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PA"/>
        </a:p>
      </cdr:txBody>
    </cdr:sp>
  </cdr:relSizeAnchor>
</c:userShapes>
</file>

<file path=word/drawings/drawing2.xml><?xml version="1.0" encoding="utf-8"?>
<c:userShapes xmlns:c="http://schemas.openxmlformats.org/drawingml/2006/chart">
  <cdr:relSizeAnchor xmlns:cdr="http://schemas.openxmlformats.org/drawingml/2006/chartDrawing">
    <cdr:from>
      <cdr:x>0.02131</cdr:x>
      <cdr:y>0.91373</cdr:y>
    </cdr:from>
    <cdr:to>
      <cdr:x>0.52511</cdr:x>
      <cdr:y>0.97647</cdr:y>
    </cdr:to>
    <cdr:sp macro="" textlink="">
      <cdr:nvSpPr>
        <cdr:cNvPr id="2" name="CuadroTexto 1">
          <a:extLst xmlns:a="http://schemas.openxmlformats.org/drawingml/2006/main">
            <a:ext uri="{FF2B5EF4-FFF2-40B4-BE49-F238E27FC236}">
              <a16:creationId xmlns:a16="http://schemas.microsoft.com/office/drawing/2014/main" id="{203B7594-0302-4466-A03B-41E1F21BC173}"/>
            </a:ext>
          </a:extLst>
        </cdr:cNvPr>
        <cdr:cNvSpPr txBox="1"/>
      </cdr:nvSpPr>
      <cdr:spPr>
        <a:xfrm xmlns:a="http://schemas.openxmlformats.org/drawingml/2006/main">
          <a:off x="133350" y="3328989"/>
          <a:ext cx="3152775"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CR"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7C5965-7B46-4E1E-8B9D-6179805E7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93</Pages>
  <Words>17904</Words>
  <Characters>98478</Characters>
  <Application>Microsoft Office Word</Application>
  <DocSecurity>0</DocSecurity>
  <Lines>820</Lines>
  <Paragraphs>232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116150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Delgado</dc:creator>
  <cp:keywords/>
  <dc:description/>
  <cp:lastModifiedBy>Ilse</cp:lastModifiedBy>
  <cp:revision>19</cp:revision>
  <dcterms:created xsi:type="dcterms:W3CDTF">2019-04-29T18:07:00Z</dcterms:created>
  <dcterms:modified xsi:type="dcterms:W3CDTF">2019-05-03T22:22:00Z</dcterms:modified>
</cp:coreProperties>
</file>