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Ex1.xml" ContentType="application/vnd.ms-office.chartex+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5859F5" w14:textId="3E29B815" w:rsidR="00635761" w:rsidRPr="00C03EF6" w:rsidRDefault="006B6420" w:rsidP="00C03EF6">
      <w:r>
        <w:rPr>
          <w:noProof/>
        </w:rPr>
        <w:drawing>
          <wp:anchor distT="0" distB="0" distL="114300" distR="114300" simplePos="0" relativeHeight="251670528" behindDoc="1" locked="0" layoutInCell="1" allowOverlap="1" wp14:anchorId="2FEFF340" wp14:editId="7F89879D">
            <wp:simplePos x="0" y="0"/>
            <wp:positionH relativeFrom="page">
              <wp:align>left</wp:align>
            </wp:positionH>
            <wp:positionV relativeFrom="paragraph">
              <wp:posOffset>-1094740</wp:posOffset>
            </wp:positionV>
            <wp:extent cx="7871803" cy="10195036"/>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8">
                      <a:extLst>
                        <a:ext uri="{28A0092B-C50C-407E-A947-70E740481C1C}">
                          <a14:useLocalDpi xmlns:a14="http://schemas.microsoft.com/office/drawing/2010/main" val="0"/>
                        </a:ext>
                      </a:extLst>
                    </a:blip>
                    <a:srcRect t="1602" b="-1602"/>
                    <a:stretch/>
                  </pic:blipFill>
                  <pic:spPr>
                    <a:xfrm>
                      <a:off x="0" y="0"/>
                      <a:ext cx="7871803" cy="10195036"/>
                    </a:xfrm>
                    <a:prstGeom prst="rect">
                      <a:avLst/>
                    </a:prstGeom>
                  </pic:spPr>
                </pic:pic>
              </a:graphicData>
            </a:graphic>
            <wp14:sizeRelH relativeFrom="page">
              <wp14:pctWidth>0</wp14:pctWidth>
            </wp14:sizeRelH>
            <wp14:sizeRelV relativeFrom="page">
              <wp14:pctHeight>0</wp14:pctHeight>
            </wp14:sizeRelV>
          </wp:anchor>
        </w:drawing>
      </w:r>
    </w:p>
    <w:p w14:paraId="6A6BF42A" w14:textId="1ACC9442" w:rsidR="00635761" w:rsidRDefault="00A57E1C" w:rsidP="00A57E1C">
      <w:pPr>
        <w:tabs>
          <w:tab w:val="left" w:pos="5700"/>
        </w:tabs>
        <w:rPr>
          <w:rFonts w:asciiTheme="minorBidi" w:hAnsiTheme="minorBidi"/>
          <w:color w:val="2CA2D0"/>
          <w:sz w:val="56"/>
          <w:szCs w:val="56"/>
          <w:lang w:val="es-ES_tradnl"/>
        </w:rPr>
      </w:pPr>
      <w:r>
        <w:rPr>
          <w:rFonts w:asciiTheme="minorBidi" w:hAnsiTheme="minorBidi"/>
          <w:color w:val="2CA2D0"/>
          <w:sz w:val="56"/>
          <w:szCs w:val="56"/>
          <w:lang w:val="es-ES_tradnl"/>
        </w:rPr>
        <w:tab/>
      </w:r>
    </w:p>
    <w:p w14:paraId="1EC18344" w14:textId="2BA73FE0" w:rsidR="00C03EF6" w:rsidRDefault="00C03EF6" w:rsidP="00C03EF6">
      <w:pPr>
        <w:jc w:val="center"/>
        <w:rPr>
          <w:rFonts w:asciiTheme="minorBidi" w:hAnsiTheme="minorBidi"/>
          <w:color w:val="214078"/>
          <w:sz w:val="56"/>
          <w:szCs w:val="56"/>
          <w:lang w:val="es-ES_tradnl"/>
        </w:rPr>
      </w:pPr>
    </w:p>
    <w:p w14:paraId="4A8B21E8" w14:textId="21301839" w:rsidR="00C03EF6" w:rsidRPr="00C03EF6" w:rsidRDefault="00C03EF6" w:rsidP="00B926AD">
      <w:pPr>
        <w:jc w:val="right"/>
        <w:rPr>
          <w:rFonts w:asciiTheme="minorBidi" w:hAnsiTheme="minorBidi"/>
          <w:color w:val="214078"/>
          <w:sz w:val="96"/>
          <w:szCs w:val="96"/>
          <w:lang w:val="es-ES_tradnl"/>
        </w:rPr>
      </w:pPr>
    </w:p>
    <w:p w14:paraId="2B884E74" w14:textId="268ADA84" w:rsidR="00C03EF6" w:rsidRDefault="00B31BB1" w:rsidP="00B31BB1">
      <w:pPr>
        <w:tabs>
          <w:tab w:val="left" w:pos="6450"/>
        </w:tabs>
        <w:rPr>
          <w:rFonts w:asciiTheme="minorBidi" w:hAnsiTheme="minorBidi"/>
          <w:color w:val="214078"/>
          <w:sz w:val="72"/>
          <w:szCs w:val="72"/>
          <w:lang w:val="es-ES_tradnl"/>
        </w:rPr>
      </w:pPr>
      <w:r>
        <w:rPr>
          <w:rFonts w:asciiTheme="minorBidi" w:hAnsiTheme="minorBidi"/>
          <w:color w:val="214078"/>
          <w:sz w:val="72"/>
          <w:szCs w:val="72"/>
          <w:lang w:val="es-ES_tradnl"/>
        </w:rPr>
        <w:tab/>
      </w:r>
    </w:p>
    <w:p w14:paraId="1D101EAE" w14:textId="440FAE71" w:rsidR="00434124" w:rsidRPr="008D3F8D" w:rsidRDefault="008D3F8D" w:rsidP="00434124">
      <w:pPr>
        <w:pStyle w:val="Ttulo2"/>
        <w:jc w:val="center"/>
        <w:rPr>
          <w:sz w:val="24"/>
          <w:szCs w:val="24"/>
        </w:rPr>
      </w:pPr>
      <w:bookmarkStart w:id="0" w:name="_Toc223014941"/>
      <w:r w:rsidRPr="008D3F8D">
        <w:rPr>
          <w:rFonts w:asciiTheme="minorBidi" w:hAnsiTheme="minorBidi"/>
          <w:color w:val="182951"/>
          <w:sz w:val="56"/>
          <w:szCs w:val="56"/>
          <w:lang w:val="es-ES_tradnl"/>
        </w:rPr>
        <w:t>Informe técnico</w:t>
      </w:r>
      <w:r>
        <w:rPr>
          <w:rFonts w:asciiTheme="minorBidi" w:hAnsiTheme="minorBidi"/>
          <w:color w:val="182951"/>
          <w:sz w:val="56"/>
          <w:szCs w:val="56"/>
          <w:lang w:val="es-ES_tradnl"/>
        </w:rPr>
        <w:t>:</w:t>
      </w:r>
      <w:r w:rsidR="00434124" w:rsidRPr="008D3F8D">
        <w:rPr>
          <w:rFonts w:asciiTheme="minorBidi" w:hAnsiTheme="minorBidi"/>
          <w:color w:val="182951"/>
          <w:sz w:val="56"/>
          <w:szCs w:val="56"/>
          <w:lang w:val="es-ES_tradnl"/>
        </w:rPr>
        <w:t xml:space="preserve"> </w:t>
      </w:r>
      <w:r>
        <w:rPr>
          <w:rFonts w:asciiTheme="minorBidi" w:hAnsiTheme="minorBidi"/>
          <w:color w:val="182951"/>
          <w:sz w:val="56"/>
          <w:szCs w:val="56"/>
          <w:lang w:val="es-ES_tradnl"/>
        </w:rPr>
        <w:t>A</w:t>
      </w:r>
      <w:r w:rsidRPr="008D3F8D">
        <w:rPr>
          <w:rFonts w:asciiTheme="minorBidi" w:hAnsiTheme="minorBidi"/>
          <w:color w:val="182951"/>
          <w:sz w:val="56"/>
          <w:szCs w:val="56"/>
          <w:lang w:val="es-ES_tradnl"/>
        </w:rPr>
        <w:t>nálisis epidemiológico de brotes de enfermedades transmitidas por alimentos y diarreas</w:t>
      </w:r>
      <w:r w:rsidR="00434124" w:rsidRPr="008D3F8D">
        <w:rPr>
          <w:rFonts w:asciiTheme="minorBidi" w:hAnsiTheme="minorBidi"/>
          <w:color w:val="182951"/>
          <w:sz w:val="56"/>
          <w:szCs w:val="56"/>
          <w:lang w:val="es-ES_tradnl"/>
        </w:rPr>
        <w:t xml:space="preserve"> </w:t>
      </w:r>
      <w:r w:rsidRPr="008D3F8D">
        <w:rPr>
          <w:rFonts w:asciiTheme="minorBidi" w:hAnsiTheme="minorBidi"/>
          <w:color w:val="182951"/>
          <w:sz w:val="56"/>
          <w:szCs w:val="56"/>
          <w:lang w:val="es-ES_tradnl"/>
        </w:rPr>
        <w:t>del 202</w:t>
      </w:r>
      <w:bookmarkEnd w:id="0"/>
      <w:r w:rsidR="00E57551">
        <w:rPr>
          <w:rFonts w:asciiTheme="minorBidi" w:hAnsiTheme="minorBidi"/>
          <w:color w:val="182951"/>
          <w:sz w:val="56"/>
          <w:szCs w:val="56"/>
          <w:lang w:val="es-ES_tradnl"/>
        </w:rPr>
        <w:t>5</w:t>
      </w:r>
    </w:p>
    <w:p w14:paraId="1F2E9B8F" w14:textId="0E75A9B1" w:rsidR="00096C99" w:rsidRPr="00434124" w:rsidRDefault="00096C99" w:rsidP="00006C14">
      <w:pPr>
        <w:jc w:val="center"/>
        <w:rPr>
          <w:rFonts w:asciiTheme="minorBidi" w:hAnsiTheme="minorBidi"/>
          <w:color w:val="182951"/>
          <w:sz w:val="72"/>
          <w:szCs w:val="72"/>
        </w:rPr>
      </w:pPr>
    </w:p>
    <w:p w14:paraId="32584184" w14:textId="192A187D" w:rsidR="00AA4BEF" w:rsidRDefault="00AA4BEF" w:rsidP="00AA4BEF">
      <w:pPr>
        <w:jc w:val="center"/>
        <w:rPr>
          <w:rFonts w:asciiTheme="minorBidi" w:hAnsiTheme="minorBidi"/>
          <w:color w:val="182951"/>
          <w:sz w:val="72"/>
          <w:szCs w:val="72"/>
          <w:lang w:val="es-ES_tradnl"/>
        </w:rPr>
      </w:pPr>
      <w:r w:rsidRPr="002942D4">
        <w:rPr>
          <w:rFonts w:asciiTheme="minorBidi" w:hAnsiTheme="minorBidi"/>
          <w:color w:val="182951"/>
          <w:sz w:val="72"/>
          <w:szCs w:val="72"/>
          <w:lang w:val="es-ES_tradnl"/>
        </w:rPr>
        <w:t>IT-DVS-UE-ICR-00</w:t>
      </w:r>
      <w:r w:rsidR="0058700E">
        <w:rPr>
          <w:rFonts w:asciiTheme="minorBidi" w:hAnsiTheme="minorBidi"/>
          <w:color w:val="182951"/>
          <w:sz w:val="72"/>
          <w:szCs w:val="72"/>
          <w:lang w:val="es-ES_tradnl"/>
        </w:rPr>
        <w:t>2</w:t>
      </w:r>
      <w:r w:rsidRPr="002942D4">
        <w:rPr>
          <w:rFonts w:asciiTheme="minorBidi" w:hAnsiTheme="minorBidi"/>
          <w:color w:val="182951"/>
          <w:sz w:val="72"/>
          <w:szCs w:val="72"/>
          <w:lang w:val="es-ES_tradnl"/>
        </w:rPr>
        <w:t>-2026</w:t>
      </w:r>
    </w:p>
    <w:p w14:paraId="53569375" w14:textId="4735E898" w:rsidR="00006C14" w:rsidRPr="00006C14" w:rsidRDefault="00006C14" w:rsidP="00006C14">
      <w:pPr>
        <w:jc w:val="center"/>
        <w:rPr>
          <w:rFonts w:asciiTheme="minorBidi" w:hAnsiTheme="minorBidi"/>
          <w:b/>
          <w:bCs/>
          <w:color w:val="182951"/>
          <w:sz w:val="72"/>
          <w:szCs w:val="72"/>
          <w:lang w:val="es-ES_tradnl"/>
        </w:rPr>
      </w:pPr>
    </w:p>
    <w:p w14:paraId="18380E7E" w14:textId="0AB13CF3" w:rsidR="00C03EF6" w:rsidRPr="00006C14" w:rsidRDefault="00C03EF6" w:rsidP="00B036CF">
      <w:pPr>
        <w:rPr>
          <w:rFonts w:asciiTheme="minorBidi" w:hAnsiTheme="minorBidi"/>
          <w:color w:val="182951"/>
          <w:sz w:val="36"/>
          <w:szCs w:val="36"/>
          <w:lang w:val="es-ES_tradnl"/>
        </w:rPr>
      </w:pPr>
    </w:p>
    <w:p w14:paraId="4038F840" w14:textId="02259D09" w:rsidR="00CB130C" w:rsidRPr="003A448E" w:rsidRDefault="00C03EF6" w:rsidP="009B2A0C">
      <w:pPr>
        <w:tabs>
          <w:tab w:val="left" w:pos="1320"/>
          <w:tab w:val="center" w:pos="5010"/>
        </w:tabs>
        <w:rPr>
          <w:rFonts w:asciiTheme="minorBidi" w:hAnsiTheme="minorBidi"/>
          <w:b/>
          <w:bCs/>
          <w:color w:val="182951"/>
          <w:sz w:val="36"/>
          <w:szCs w:val="36"/>
          <w:lang w:val="es-ES_tradnl"/>
        </w:rPr>
      </w:pPr>
      <w:r w:rsidRPr="00006C14">
        <w:rPr>
          <w:rFonts w:asciiTheme="minorBidi" w:hAnsiTheme="minorBidi"/>
          <w:b/>
          <w:bCs/>
          <w:color w:val="182951"/>
          <w:sz w:val="72"/>
          <w:szCs w:val="72"/>
          <w:lang w:val="es-ES_tradnl"/>
        </w:rPr>
        <w:t xml:space="preserve">  </w:t>
      </w:r>
      <w:r w:rsidR="00D3766F">
        <w:rPr>
          <w:rFonts w:asciiTheme="minorBidi" w:hAnsiTheme="minorBidi"/>
          <w:b/>
          <w:bCs/>
          <w:color w:val="182951"/>
          <w:sz w:val="72"/>
          <w:szCs w:val="72"/>
          <w:lang w:val="es-ES_tradnl"/>
        </w:rPr>
        <w:tab/>
      </w:r>
      <w:r w:rsidR="009B2A0C">
        <w:rPr>
          <w:rFonts w:asciiTheme="minorBidi" w:hAnsiTheme="minorBidi"/>
          <w:b/>
          <w:bCs/>
          <w:color w:val="182951"/>
          <w:sz w:val="72"/>
          <w:szCs w:val="72"/>
          <w:lang w:val="es-ES_tradnl"/>
        </w:rPr>
        <w:tab/>
      </w:r>
      <w:r w:rsidR="003A448E" w:rsidRPr="003A448E">
        <w:rPr>
          <w:rFonts w:asciiTheme="minorBidi" w:hAnsiTheme="minorBidi"/>
          <w:b/>
          <w:bCs/>
          <w:color w:val="182951"/>
          <w:sz w:val="36"/>
          <w:szCs w:val="36"/>
          <w:lang w:val="es-ES_tradnl"/>
        </w:rPr>
        <w:t>Elaborado por:</w:t>
      </w:r>
    </w:p>
    <w:p w14:paraId="443D0793" w14:textId="77777777" w:rsidR="008D3F8D" w:rsidRDefault="008D3F8D" w:rsidP="008D3F8D">
      <w:pPr>
        <w:jc w:val="center"/>
        <w:rPr>
          <w:rFonts w:asciiTheme="minorBidi" w:hAnsiTheme="minorBidi"/>
          <w:color w:val="182951"/>
          <w:sz w:val="36"/>
          <w:szCs w:val="36"/>
          <w:lang w:val="es-ES_tradnl"/>
        </w:rPr>
      </w:pPr>
      <w:r>
        <w:rPr>
          <w:rFonts w:asciiTheme="minorBidi" w:hAnsiTheme="minorBidi"/>
          <w:color w:val="182951"/>
          <w:sz w:val="36"/>
          <w:szCs w:val="36"/>
          <w:lang w:val="es-ES_tradnl"/>
        </w:rPr>
        <w:t>Ivannia Caravaca Rodríguez</w:t>
      </w:r>
    </w:p>
    <w:p w14:paraId="745863C6" w14:textId="77777777" w:rsidR="008D3F8D" w:rsidRDefault="008D3F8D" w:rsidP="008D3F8D">
      <w:pPr>
        <w:jc w:val="center"/>
        <w:rPr>
          <w:rFonts w:asciiTheme="minorBidi" w:hAnsiTheme="minorBidi"/>
          <w:color w:val="182951"/>
          <w:sz w:val="36"/>
          <w:szCs w:val="36"/>
          <w:lang w:val="es-ES_tradnl"/>
        </w:rPr>
      </w:pPr>
      <w:r>
        <w:rPr>
          <w:rFonts w:asciiTheme="minorBidi" w:hAnsiTheme="minorBidi"/>
          <w:color w:val="182951"/>
          <w:sz w:val="36"/>
          <w:szCs w:val="36"/>
          <w:lang w:val="es-ES_tradnl"/>
        </w:rPr>
        <w:t>Unidad de Epidemiología</w:t>
      </w:r>
    </w:p>
    <w:p w14:paraId="7DF886CE" w14:textId="77777777" w:rsidR="008D3F8D" w:rsidRDefault="008D3F8D" w:rsidP="008D3F8D">
      <w:pPr>
        <w:jc w:val="center"/>
        <w:rPr>
          <w:rFonts w:asciiTheme="minorBidi" w:hAnsiTheme="minorBidi"/>
          <w:color w:val="182951"/>
          <w:sz w:val="36"/>
          <w:szCs w:val="36"/>
          <w:lang w:val="es-ES_tradnl"/>
        </w:rPr>
      </w:pPr>
      <w:r>
        <w:rPr>
          <w:rFonts w:asciiTheme="minorBidi" w:hAnsiTheme="minorBidi"/>
          <w:color w:val="182951"/>
          <w:sz w:val="36"/>
          <w:szCs w:val="36"/>
          <w:lang w:val="es-ES_tradnl"/>
        </w:rPr>
        <w:t>Dirección de Vigilancia de la Salud</w:t>
      </w:r>
    </w:p>
    <w:p w14:paraId="130E598E" w14:textId="77777777" w:rsidR="00A46054" w:rsidRDefault="00A46054" w:rsidP="00B036CF">
      <w:pPr>
        <w:jc w:val="center"/>
        <w:rPr>
          <w:rFonts w:asciiTheme="minorBidi" w:hAnsiTheme="minorBidi"/>
          <w:color w:val="182951"/>
          <w:sz w:val="36"/>
          <w:szCs w:val="36"/>
          <w:lang w:val="es-ES_tradnl"/>
        </w:rPr>
      </w:pPr>
    </w:p>
    <w:p w14:paraId="2B295C8F" w14:textId="77777777" w:rsidR="00ED720C" w:rsidRDefault="00ED720C" w:rsidP="00B036CF">
      <w:pPr>
        <w:jc w:val="center"/>
        <w:rPr>
          <w:rFonts w:asciiTheme="minorBidi" w:hAnsiTheme="minorBidi"/>
          <w:color w:val="182951"/>
          <w:sz w:val="36"/>
          <w:szCs w:val="36"/>
          <w:lang w:val="es-ES_tradnl"/>
        </w:rPr>
      </w:pPr>
    </w:p>
    <w:p w14:paraId="0EE213A6" w14:textId="48CAC248" w:rsidR="00195DB4" w:rsidRDefault="00ED5EE1" w:rsidP="00B036CF">
      <w:pPr>
        <w:jc w:val="center"/>
        <w:rPr>
          <w:rFonts w:asciiTheme="minorBidi" w:hAnsiTheme="minorBidi"/>
          <w:color w:val="182951"/>
          <w:sz w:val="36"/>
          <w:szCs w:val="36"/>
          <w:lang w:val="es-ES_tradnl"/>
        </w:rPr>
        <w:sectPr w:rsidR="00195DB4" w:rsidSect="00092787">
          <w:headerReference w:type="default" r:id="rId9"/>
          <w:footerReference w:type="default" r:id="rId10"/>
          <w:pgSz w:w="12240" w:h="15840"/>
          <w:pgMar w:top="1720" w:right="1240" w:bottom="280" w:left="980" w:header="602" w:footer="0" w:gutter="0"/>
          <w:pgNumType w:start="1"/>
          <w:cols w:space="720"/>
          <w:titlePg/>
          <w:docGrid w:linePitch="326"/>
        </w:sectPr>
      </w:pPr>
      <w:r>
        <w:rPr>
          <w:rFonts w:asciiTheme="minorBidi" w:hAnsiTheme="minorBidi"/>
          <w:color w:val="182951"/>
          <w:sz w:val="36"/>
          <w:szCs w:val="36"/>
          <w:lang w:val="es-ES_tradnl"/>
        </w:rPr>
        <w:t>Fecha de elaboración (</w:t>
      </w:r>
      <w:r w:rsidR="00DC7936">
        <w:rPr>
          <w:rFonts w:asciiTheme="minorBidi" w:hAnsiTheme="minorBidi"/>
          <w:color w:val="182951"/>
          <w:sz w:val="36"/>
          <w:szCs w:val="36"/>
          <w:lang w:val="es-ES_tradnl"/>
        </w:rPr>
        <w:t>26/02/2025</w:t>
      </w:r>
      <w:r w:rsidR="005E7EDC">
        <w:rPr>
          <w:rFonts w:asciiTheme="minorBidi" w:hAnsiTheme="minorBidi"/>
          <w:color w:val="182951"/>
          <w:sz w:val="36"/>
          <w:szCs w:val="36"/>
          <w:lang w:val="es-ES_tradnl"/>
        </w:rPr>
        <w:t>)</w:t>
      </w:r>
    </w:p>
    <w:sdt>
      <w:sdtPr>
        <w:rPr>
          <w:rFonts w:asciiTheme="minorHAnsi" w:eastAsiaTheme="minorHAnsi" w:hAnsiTheme="minorHAnsi" w:cstheme="minorBidi"/>
          <w:color w:val="auto"/>
          <w:sz w:val="24"/>
          <w:szCs w:val="24"/>
          <w:lang w:val="es-ES" w:eastAsia="en-US"/>
        </w:rPr>
        <w:id w:val="-2127608634"/>
        <w:docPartObj>
          <w:docPartGallery w:val="Table of Contents"/>
          <w:docPartUnique/>
        </w:docPartObj>
      </w:sdtPr>
      <w:sdtEndPr>
        <w:rPr>
          <w:b/>
          <w:bCs/>
        </w:rPr>
      </w:sdtEndPr>
      <w:sdtContent>
        <w:p w14:paraId="242F74E8" w14:textId="01854F6B" w:rsidR="00BC77AB" w:rsidRPr="00166BF3" w:rsidRDefault="004015E4">
          <w:pPr>
            <w:pStyle w:val="TtuloTDC"/>
            <w:rPr>
              <w:rFonts w:ascii="Arial" w:hAnsi="Arial" w:cs="Arial"/>
            </w:rPr>
          </w:pPr>
          <w:r>
            <w:rPr>
              <w:rFonts w:ascii="Arial" w:hAnsi="Arial" w:cs="Arial"/>
              <w:lang w:val="es-ES"/>
            </w:rPr>
            <w:t>Tabla de c</w:t>
          </w:r>
          <w:r w:rsidR="00BC77AB" w:rsidRPr="00166BF3">
            <w:rPr>
              <w:rFonts w:ascii="Arial" w:hAnsi="Arial" w:cs="Arial"/>
              <w:lang w:val="es-ES"/>
            </w:rPr>
            <w:t>ontenido</w:t>
          </w:r>
        </w:p>
        <w:p w14:paraId="7F30E606" w14:textId="30C7D2E9" w:rsidR="001435BB" w:rsidRDefault="00BC77AB">
          <w:pPr>
            <w:pStyle w:val="TDC2"/>
            <w:tabs>
              <w:tab w:val="right" w:leader="dot" w:pos="9350"/>
            </w:tabs>
            <w:rPr>
              <w:rFonts w:eastAsiaTheme="minorEastAsia"/>
              <w:noProof/>
              <w:kern w:val="2"/>
              <w:lang w:eastAsia="es-CR"/>
              <w14:ligatures w14:val="standardContextual"/>
            </w:rPr>
          </w:pPr>
          <w:r w:rsidRPr="00166BF3">
            <w:rPr>
              <w:rFonts w:ascii="Arial" w:hAnsi="Arial" w:cs="Arial"/>
            </w:rPr>
            <w:fldChar w:fldCharType="begin"/>
          </w:r>
          <w:r w:rsidRPr="00166BF3">
            <w:rPr>
              <w:rFonts w:ascii="Arial" w:hAnsi="Arial" w:cs="Arial"/>
            </w:rPr>
            <w:instrText xml:space="preserve"> TOC \o "1-3" \h \z \u </w:instrText>
          </w:r>
          <w:r w:rsidRPr="00166BF3">
            <w:rPr>
              <w:rFonts w:ascii="Arial" w:hAnsi="Arial" w:cs="Arial"/>
            </w:rPr>
            <w:fldChar w:fldCharType="separate"/>
          </w:r>
          <w:hyperlink w:anchor="_Toc223014941" w:history="1">
            <w:r w:rsidR="001435BB" w:rsidRPr="00205512">
              <w:rPr>
                <w:rStyle w:val="Hipervnculo"/>
                <w:rFonts w:asciiTheme="minorBidi" w:hAnsiTheme="minorBidi"/>
                <w:noProof/>
                <w:lang w:val="es-ES_tradnl"/>
              </w:rPr>
              <w:t>Informe técnico: Análisis epidemiológico de brotes de enfermedades transmitidas por alimentos y diarreas del 2024</w:t>
            </w:r>
            <w:r w:rsidR="001435BB">
              <w:rPr>
                <w:noProof/>
                <w:webHidden/>
              </w:rPr>
              <w:tab/>
            </w:r>
            <w:r w:rsidR="001435BB">
              <w:rPr>
                <w:noProof/>
                <w:webHidden/>
              </w:rPr>
              <w:fldChar w:fldCharType="begin"/>
            </w:r>
            <w:r w:rsidR="001435BB">
              <w:rPr>
                <w:noProof/>
                <w:webHidden/>
              </w:rPr>
              <w:instrText xml:space="preserve"> PAGEREF _Toc223014941 \h </w:instrText>
            </w:r>
            <w:r w:rsidR="001435BB">
              <w:rPr>
                <w:noProof/>
                <w:webHidden/>
              </w:rPr>
            </w:r>
            <w:r w:rsidR="001435BB">
              <w:rPr>
                <w:noProof/>
                <w:webHidden/>
              </w:rPr>
              <w:fldChar w:fldCharType="separate"/>
            </w:r>
            <w:r w:rsidR="001435BB">
              <w:rPr>
                <w:noProof/>
                <w:webHidden/>
              </w:rPr>
              <w:t>1</w:t>
            </w:r>
            <w:r w:rsidR="001435BB">
              <w:rPr>
                <w:noProof/>
                <w:webHidden/>
              </w:rPr>
              <w:fldChar w:fldCharType="end"/>
            </w:r>
          </w:hyperlink>
        </w:p>
        <w:p w14:paraId="11F5737C" w14:textId="122C4BFB" w:rsidR="001435BB" w:rsidRDefault="001435BB">
          <w:pPr>
            <w:pStyle w:val="TDC2"/>
            <w:tabs>
              <w:tab w:val="right" w:leader="dot" w:pos="9350"/>
            </w:tabs>
            <w:rPr>
              <w:rFonts w:eastAsiaTheme="minorEastAsia"/>
              <w:noProof/>
              <w:kern w:val="2"/>
              <w:lang w:eastAsia="es-CR"/>
              <w14:ligatures w14:val="standardContextual"/>
            </w:rPr>
          </w:pPr>
          <w:hyperlink w:anchor="_Toc223014942" w:history="1">
            <w:r w:rsidRPr="00205512">
              <w:rPr>
                <w:rStyle w:val="Hipervnculo"/>
                <w:noProof/>
                <w:lang w:val="es-ES_tradnl"/>
              </w:rPr>
              <w:t>INTRODUCCIÓN</w:t>
            </w:r>
            <w:r>
              <w:rPr>
                <w:noProof/>
                <w:webHidden/>
              </w:rPr>
              <w:tab/>
            </w:r>
            <w:r>
              <w:rPr>
                <w:noProof/>
                <w:webHidden/>
              </w:rPr>
              <w:fldChar w:fldCharType="begin"/>
            </w:r>
            <w:r>
              <w:rPr>
                <w:noProof/>
                <w:webHidden/>
              </w:rPr>
              <w:instrText xml:space="preserve"> PAGEREF _Toc223014942 \h </w:instrText>
            </w:r>
            <w:r>
              <w:rPr>
                <w:noProof/>
                <w:webHidden/>
              </w:rPr>
            </w:r>
            <w:r>
              <w:rPr>
                <w:noProof/>
                <w:webHidden/>
              </w:rPr>
              <w:fldChar w:fldCharType="separate"/>
            </w:r>
            <w:r>
              <w:rPr>
                <w:noProof/>
                <w:webHidden/>
              </w:rPr>
              <w:t>1</w:t>
            </w:r>
            <w:r>
              <w:rPr>
                <w:noProof/>
                <w:webHidden/>
              </w:rPr>
              <w:fldChar w:fldCharType="end"/>
            </w:r>
          </w:hyperlink>
        </w:p>
        <w:p w14:paraId="105C26E7" w14:textId="65446C18" w:rsidR="001435BB" w:rsidRDefault="001435BB">
          <w:pPr>
            <w:pStyle w:val="TDC2"/>
            <w:tabs>
              <w:tab w:val="right" w:leader="dot" w:pos="9350"/>
            </w:tabs>
            <w:rPr>
              <w:rFonts w:eastAsiaTheme="minorEastAsia"/>
              <w:noProof/>
              <w:kern w:val="2"/>
              <w:lang w:eastAsia="es-CR"/>
              <w14:ligatures w14:val="standardContextual"/>
            </w:rPr>
          </w:pPr>
          <w:hyperlink w:anchor="_Toc223014943" w:history="1">
            <w:r w:rsidRPr="00205512">
              <w:rPr>
                <w:rStyle w:val="Hipervnculo"/>
                <w:noProof/>
                <w:lang w:val="es-ES_tradnl"/>
              </w:rPr>
              <w:t>DESARROLLO</w:t>
            </w:r>
            <w:r>
              <w:rPr>
                <w:noProof/>
                <w:webHidden/>
              </w:rPr>
              <w:tab/>
            </w:r>
            <w:r>
              <w:rPr>
                <w:noProof/>
                <w:webHidden/>
              </w:rPr>
              <w:fldChar w:fldCharType="begin"/>
            </w:r>
            <w:r>
              <w:rPr>
                <w:noProof/>
                <w:webHidden/>
              </w:rPr>
              <w:instrText xml:space="preserve"> PAGEREF _Toc223014943 \h </w:instrText>
            </w:r>
            <w:r>
              <w:rPr>
                <w:noProof/>
                <w:webHidden/>
              </w:rPr>
            </w:r>
            <w:r>
              <w:rPr>
                <w:noProof/>
                <w:webHidden/>
              </w:rPr>
              <w:fldChar w:fldCharType="separate"/>
            </w:r>
            <w:r>
              <w:rPr>
                <w:noProof/>
                <w:webHidden/>
              </w:rPr>
              <w:t>1</w:t>
            </w:r>
            <w:r>
              <w:rPr>
                <w:noProof/>
                <w:webHidden/>
              </w:rPr>
              <w:fldChar w:fldCharType="end"/>
            </w:r>
          </w:hyperlink>
        </w:p>
        <w:p w14:paraId="3A4D3101" w14:textId="7E2896D7"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4" w:history="1">
            <w:r w:rsidRPr="00205512">
              <w:rPr>
                <w:rStyle w:val="Hipervnculo"/>
                <w:rFonts w:ascii="Arial" w:hAnsi="Arial"/>
                <w:noProof/>
              </w:rPr>
              <w:t>1.</w:t>
            </w:r>
            <w:r>
              <w:rPr>
                <w:rFonts w:eastAsiaTheme="minorEastAsia"/>
                <w:noProof/>
                <w:kern w:val="2"/>
                <w:lang w:eastAsia="es-CR"/>
                <w14:ligatures w14:val="standardContextual"/>
              </w:rPr>
              <w:tab/>
            </w:r>
            <w:r w:rsidRPr="00205512">
              <w:rPr>
                <w:rStyle w:val="Hipervnculo"/>
                <w:rFonts w:ascii="Arial" w:hAnsi="Arial"/>
                <w:noProof/>
              </w:rPr>
              <w:t>Descripción general de los brotes</w:t>
            </w:r>
            <w:r>
              <w:rPr>
                <w:noProof/>
                <w:webHidden/>
              </w:rPr>
              <w:tab/>
            </w:r>
            <w:r>
              <w:rPr>
                <w:noProof/>
                <w:webHidden/>
              </w:rPr>
              <w:fldChar w:fldCharType="begin"/>
            </w:r>
            <w:r>
              <w:rPr>
                <w:noProof/>
                <w:webHidden/>
              </w:rPr>
              <w:instrText xml:space="preserve"> PAGEREF _Toc223014944 \h </w:instrText>
            </w:r>
            <w:r>
              <w:rPr>
                <w:noProof/>
                <w:webHidden/>
              </w:rPr>
            </w:r>
            <w:r>
              <w:rPr>
                <w:noProof/>
                <w:webHidden/>
              </w:rPr>
              <w:fldChar w:fldCharType="separate"/>
            </w:r>
            <w:r>
              <w:rPr>
                <w:noProof/>
                <w:webHidden/>
              </w:rPr>
              <w:t>1</w:t>
            </w:r>
            <w:r>
              <w:rPr>
                <w:noProof/>
                <w:webHidden/>
              </w:rPr>
              <w:fldChar w:fldCharType="end"/>
            </w:r>
          </w:hyperlink>
        </w:p>
        <w:p w14:paraId="3E5DB8F9" w14:textId="1C1EECBB"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5" w:history="1">
            <w:r w:rsidRPr="00205512">
              <w:rPr>
                <w:rStyle w:val="Hipervnculo"/>
                <w:rFonts w:ascii="Arial" w:hAnsi="Arial"/>
                <w:noProof/>
              </w:rPr>
              <w:t>2.</w:t>
            </w:r>
            <w:r>
              <w:rPr>
                <w:rFonts w:eastAsiaTheme="minorEastAsia"/>
                <w:noProof/>
                <w:kern w:val="2"/>
                <w:lang w:eastAsia="es-CR"/>
                <w14:ligatures w14:val="standardContextual"/>
              </w:rPr>
              <w:tab/>
            </w:r>
            <w:r w:rsidRPr="00205512">
              <w:rPr>
                <w:rStyle w:val="Hipervnculo"/>
                <w:rFonts w:ascii="Arial" w:hAnsi="Arial"/>
                <w:noProof/>
              </w:rPr>
              <w:t>Distribución geográfica</w:t>
            </w:r>
            <w:r>
              <w:rPr>
                <w:noProof/>
                <w:webHidden/>
              </w:rPr>
              <w:tab/>
            </w:r>
            <w:r>
              <w:rPr>
                <w:noProof/>
                <w:webHidden/>
              </w:rPr>
              <w:fldChar w:fldCharType="begin"/>
            </w:r>
            <w:r>
              <w:rPr>
                <w:noProof/>
                <w:webHidden/>
              </w:rPr>
              <w:instrText xml:space="preserve"> PAGEREF _Toc223014945 \h </w:instrText>
            </w:r>
            <w:r>
              <w:rPr>
                <w:noProof/>
                <w:webHidden/>
              </w:rPr>
            </w:r>
            <w:r>
              <w:rPr>
                <w:noProof/>
                <w:webHidden/>
              </w:rPr>
              <w:fldChar w:fldCharType="separate"/>
            </w:r>
            <w:r>
              <w:rPr>
                <w:noProof/>
                <w:webHidden/>
              </w:rPr>
              <w:t>2</w:t>
            </w:r>
            <w:r>
              <w:rPr>
                <w:noProof/>
                <w:webHidden/>
              </w:rPr>
              <w:fldChar w:fldCharType="end"/>
            </w:r>
          </w:hyperlink>
        </w:p>
        <w:p w14:paraId="2C8DF87B" w14:textId="00B310E4"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6" w:history="1">
            <w:r w:rsidRPr="00205512">
              <w:rPr>
                <w:rStyle w:val="Hipervnculo"/>
                <w:rFonts w:ascii="Arial" w:hAnsi="Arial"/>
                <w:noProof/>
              </w:rPr>
              <w:t>3.</w:t>
            </w:r>
            <w:r>
              <w:rPr>
                <w:rFonts w:eastAsiaTheme="minorEastAsia"/>
                <w:noProof/>
                <w:kern w:val="2"/>
                <w:lang w:eastAsia="es-CR"/>
                <w14:ligatures w14:val="standardContextual"/>
              </w:rPr>
              <w:tab/>
            </w:r>
            <w:r w:rsidRPr="00205512">
              <w:rPr>
                <w:rStyle w:val="Hipervnculo"/>
                <w:rFonts w:ascii="Arial" w:hAnsi="Arial"/>
                <w:noProof/>
              </w:rPr>
              <w:t>Tipo de brote</w:t>
            </w:r>
            <w:r>
              <w:rPr>
                <w:noProof/>
                <w:webHidden/>
              </w:rPr>
              <w:tab/>
            </w:r>
            <w:r>
              <w:rPr>
                <w:noProof/>
                <w:webHidden/>
              </w:rPr>
              <w:fldChar w:fldCharType="begin"/>
            </w:r>
            <w:r>
              <w:rPr>
                <w:noProof/>
                <w:webHidden/>
              </w:rPr>
              <w:instrText xml:space="preserve"> PAGEREF _Toc223014946 \h </w:instrText>
            </w:r>
            <w:r>
              <w:rPr>
                <w:noProof/>
                <w:webHidden/>
              </w:rPr>
            </w:r>
            <w:r>
              <w:rPr>
                <w:noProof/>
                <w:webHidden/>
              </w:rPr>
              <w:fldChar w:fldCharType="separate"/>
            </w:r>
            <w:r>
              <w:rPr>
                <w:noProof/>
                <w:webHidden/>
              </w:rPr>
              <w:t>3</w:t>
            </w:r>
            <w:r>
              <w:rPr>
                <w:noProof/>
                <w:webHidden/>
              </w:rPr>
              <w:fldChar w:fldCharType="end"/>
            </w:r>
          </w:hyperlink>
        </w:p>
        <w:p w14:paraId="5D826039" w14:textId="1DCB8B69"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7" w:history="1">
            <w:r w:rsidRPr="00205512">
              <w:rPr>
                <w:rStyle w:val="Hipervnculo"/>
                <w:rFonts w:ascii="Arial" w:hAnsi="Arial"/>
                <w:noProof/>
              </w:rPr>
              <w:t>4.</w:t>
            </w:r>
            <w:r>
              <w:rPr>
                <w:rFonts w:eastAsiaTheme="minorEastAsia"/>
                <w:noProof/>
                <w:kern w:val="2"/>
                <w:lang w:eastAsia="es-CR"/>
                <w14:ligatures w14:val="standardContextual"/>
              </w:rPr>
              <w:tab/>
            </w:r>
            <w:r w:rsidRPr="00205512">
              <w:rPr>
                <w:rStyle w:val="Hipervnculo"/>
                <w:rFonts w:ascii="Arial" w:hAnsi="Arial"/>
                <w:noProof/>
              </w:rPr>
              <w:t>Distribución por lugar de ocurrencia</w:t>
            </w:r>
            <w:r>
              <w:rPr>
                <w:noProof/>
                <w:webHidden/>
              </w:rPr>
              <w:tab/>
            </w:r>
            <w:r>
              <w:rPr>
                <w:noProof/>
                <w:webHidden/>
              </w:rPr>
              <w:fldChar w:fldCharType="begin"/>
            </w:r>
            <w:r>
              <w:rPr>
                <w:noProof/>
                <w:webHidden/>
              </w:rPr>
              <w:instrText xml:space="preserve"> PAGEREF _Toc223014947 \h </w:instrText>
            </w:r>
            <w:r>
              <w:rPr>
                <w:noProof/>
                <w:webHidden/>
              </w:rPr>
            </w:r>
            <w:r>
              <w:rPr>
                <w:noProof/>
                <w:webHidden/>
              </w:rPr>
              <w:fldChar w:fldCharType="separate"/>
            </w:r>
            <w:r>
              <w:rPr>
                <w:noProof/>
                <w:webHidden/>
              </w:rPr>
              <w:t>4</w:t>
            </w:r>
            <w:r>
              <w:rPr>
                <w:noProof/>
                <w:webHidden/>
              </w:rPr>
              <w:fldChar w:fldCharType="end"/>
            </w:r>
          </w:hyperlink>
        </w:p>
        <w:p w14:paraId="6DB246DE" w14:textId="0EB240CC"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8" w:history="1">
            <w:r w:rsidRPr="00205512">
              <w:rPr>
                <w:rStyle w:val="Hipervnculo"/>
                <w:rFonts w:ascii="Arial" w:hAnsi="Arial"/>
                <w:noProof/>
              </w:rPr>
              <w:t>5.</w:t>
            </w:r>
            <w:r>
              <w:rPr>
                <w:rFonts w:eastAsiaTheme="minorEastAsia"/>
                <w:noProof/>
                <w:kern w:val="2"/>
                <w:lang w:eastAsia="es-CR"/>
                <w14:ligatures w14:val="standardContextual"/>
              </w:rPr>
              <w:tab/>
            </w:r>
            <w:r w:rsidRPr="00205512">
              <w:rPr>
                <w:rStyle w:val="Hipervnculo"/>
                <w:rFonts w:ascii="Arial" w:hAnsi="Arial"/>
                <w:noProof/>
              </w:rPr>
              <w:t>Población afectada</w:t>
            </w:r>
            <w:r>
              <w:rPr>
                <w:noProof/>
                <w:webHidden/>
              </w:rPr>
              <w:tab/>
            </w:r>
            <w:r>
              <w:rPr>
                <w:noProof/>
                <w:webHidden/>
              </w:rPr>
              <w:fldChar w:fldCharType="begin"/>
            </w:r>
            <w:r>
              <w:rPr>
                <w:noProof/>
                <w:webHidden/>
              </w:rPr>
              <w:instrText xml:space="preserve"> PAGEREF _Toc223014948 \h </w:instrText>
            </w:r>
            <w:r>
              <w:rPr>
                <w:noProof/>
                <w:webHidden/>
              </w:rPr>
            </w:r>
            <w:r>
              <w:rPr>
                <w:noProof/>
                <w:webHidden/>
              </w:rPr>
              <w:fldChar w:fldCharType="separate"/>
            </w:r>
            <w:r>
              <w:rPr>
                <w:noProof/>
                <w:webHidden/>
              </w:rPr>
              <w:t>5</w:t>
            </w:r>
            <w:r>
              <w:rPr>
                <w:noProof/>
                <w:webHidden/>
              </w:rPr>
              <w:fldChar w:fldCharType="end"/>
            </w:r>
          </w:hyperlink>
        </w:p>
        <w:p w14:paraId="6B559C85" w14:textId="487EA67A"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49" w:history="1">
            <w:r w:rsidRPr="00205512">
              <w:rPr>
                <w:rStyle w:val="Hipervnculo"/>
                <w:rFonts w:ascii="Arial" w:hAnsi="Arial"/>
                <w:noProof/>
              </w:rPr>
              <w:t>6.</w:t>
            </w:r>
            <w:r>
              <w:rPr>
                <w:rFonts w:eastAsiaTheme="minorEastAsia"/>
                <w:noProof/>
                <w:kern w:val="2"/>
                <w:lang w:eastAsia="es-CR"/>
                <w14:ligatures w14:val="standardContextual"/>
              </w:rPr>
              <w:tab/>
            </w:r>
            <w:r w:rsidRPr="00205512">
              <w:rPr>
                <w:rStyle w:val="Hipervnculo"/>
                <w:rFonts w:ascii="Arial" w:hAnsi="Arial"/>
                <w:noProof/>
              </w:rPr>
              <w:t>Agente etiológico y alimento implicado</w:t>
            </w:r>
            <w:r>
              <w:rPr>
                <w:noProof/>
                <w:webHidden/>
              </w:rPr>
              <w:tab/>
            </w:r>
            <w:r>
              <w:rPr>
                <w:noProof/>
                <w:webHidden/>
              </w:rPr>
              <w:fldChar w:fldCharType="begin"/>
            </w:r>
            <w:r>
              <w:rPr>
                <w:noProof/>
                <w:webHidden/>
              </w:rPr>
              <w:instrText xml:space="preserve"> PAGEREF _Toc223014949 \h </w:instrText>
            </w:r>
            <w:r>
              <w:rPr>
                <w:noProof/>
                <w:webHidden/>
              </w:rPr>
            </w:r>
            <w:r>
              <w:rPr>
                <w:noProof/>
                <w:webHidden/>
              </w:rPr>
              <w:fldChar w:fldCharType="separate"/>
            </w:r>
            <w:r>
              <w:rPr>
                <w:noProof/>
                <w:webHidden/>
              </w:rPr>
              <w:t>5</w:t>
            </w:r>
            <w:r>
              <w:rPr>
                <w:noProof/>
                <w:webHidden/>
              </w:rPr>
              <w:fldChar w:fldCharType="end"/>
            </w:r>
          </w:hyperlink>
        </w:p>
        <w:p w14:paraId="4E628D7B" w14:textId="58D478EE" w:rsidR="001435BB" w:rsidRDefault="001435BB">
          <w:pPr>
            <w:pStyle w:val="TDC3"/>
            <w:tabs>
              <w:tab w:val="right" w:leader="dot" w:pos="9350"/>
            </w:tabs>
            <w:rPr>
              <w:rFonts w:eastAsiaTheme="minorEastAsia"/>
              <w:noProof/>
              <w:kern w:val="2"/>
              <w:lang w:eastAsia="es-CR"/>
              <w14:ligatures w14:val="standardContextual"/>
            </w:rPr>
          </w:pPr>
          <w:hyperlink w:anchor="_Toc223014950" w:history="1">
            <w:r w:rsidRPr="00205512">
              <w:rPr>
                <w:rStyle w:val="Hipervnculo"/>
                <w:noProof/>
              </w:rPr>
              <w:t>Alimento implicado</w:t>
            </w:r>
            <w:r>
              <w:rPr>
                <w:noProof/>
                <w:webHidden/>
              </w:rPr>
              <w:tab/>
            </w:r>
            <w:r>
              <w:rPr>
                <w:noProof/>
                <w:webHidden/>
              </w:rPr>
              <w:fldChar w:fldCharType="begin"/>
            </w:r>
            <w:r>
              <w:rPr>
                <w:noProof/>
                <w:webHidden/>
              </w:rPr>
              <w:instrText xml:space="preserve"> PAGEREF _Toc223014950 \h </w:instrText>
            </w:r>
            <w:r>
              <w:rPr>
                <w:noProof/>
                <w:webHidden/>
              </w:rPr>
            </w:r>
            <w:r>
              <w:rPr>
                <w:noProof/>
                <w:webHidden/>
              </w:rPr>
              <w:fldChar w:fldCharType="separate"/>
            </w:r>
            <w:r>
              <w:rPr>
                <w:noProof/>
                <w:webHidden/>
              </w:rPr>
              <w:t>6</w:t>
            </w:r>
            <w:r>
              <w:rPr>
                <w:noProof/>
                <w:webHidden/>
              </w:rPr>
              <w:fldChar w:fldCharType="end"/>
            </w:r>
          </w:hyperlink>
        </w:p>
        <w:p w14:paraId="35DA8891" w14:textId="541EF79B"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51" w:history="1">
            <w:r w:rsidRPr="00205512">
              <w:rPr>
                <w:rStyle w:val="Hipervnculo"/>
                <w:rFonts w:ascii="Arial" w:hAnsi="Arial"/>
                <w:noProof/>
              </w:rPr>
              <w:t>7.</w:t>
            </w:r>
            <w:r>
              <w:rPr>
                <w:rFonts w:eastAsiaTheme="minorEastAsia"/>
                <w:noProof/>
                <w:kern w:val="2"/>
                <w:lang w:eastAsia="es-CR"/>
                <w14:ligatures w14:val="standardContextual"/>
              </w:rPr>
              <w:tab/>
            </w:r>
            <w:r w:rsidRPr="00205512">
              <w:rPr>
                <w:rStyle w:val="Hipervnculo"/>
                <w:rFonts w:ascii="Arial" w:hAnsi="Arial"/>
                <w:noProof/>
              </w:rPr>
              <w:t>Síntomas</w:t>
            </w:r>
            <w:r>
              <w:rPr>
                <w:noProof/>
                <w:webHidden/>
              </w:rPr>
              <w:tab/>
            </w:r>
            <w:r>
              <w:rPr>
                <w:noProof/>
                <w:webHidden/>
              </w:rPr>
              <w:fldChar w:fldCharType="begin"/>
            </w:r>
            <w:r>
              <w:rPr>
                <w:noProof/>
                <w:webHidden/>
              </w:rPr>
              <w:instrText xml:space="preserve"> PAGEREF _Toc223014951 \h </w:instrText>
            </w:r>
            <w:r>
              <w:rPr>
                <w:noProof/>
                <w:webHidden/>
              </w:rPr>
            </w:r>
            <w:r>
              <w:rPr>
                <w:noProof/>
                <w:webHidden/>
              </w:rPr>
              <w:fldChar w:fldCharType="separate"/>
            </w:r>
            <w:r>
              <w:rPr>
                <w:noProof/>
                <w:webHidden/>
              </w:rPr>
              <w:t>7</w:t>
            </w:r>
            <w:r>
              <w:rPr>
                <w:noProof/>
                <w:webHidden/>
              </w:rPr>
              <w:fldChar w:fldCharType="end"/>
            </w:r>
          </w:hyperlink>
        </w:p>
        <w:p w14:paraId="1BB5F733" w14:textId="07A7CA40" w:rsidR="001435BB" w:rsidRDefault="001435BB">
          <w:pPr>
            <w:pStyle w:val="TDC3"/>
            <w:tabs>
              <w:tab w:val="left" w:pos="960"/>
              <w:tab w:val="right" w:leader="dot" w:pos="9350"/>
            </w:tabs>
            <w:rPr>
              <w:rFonts w:eastAsiaTheme="minorEastAsia"/>
              <w:noProof/>
              <w:kern w:val="2"/>
              <w:lang w:eastAsia="es-CR"/>
              <w14:ligatures w14:val="standardContextual"/>
            </w:rPr>
          </w:pPr>
          <w:hyperlink w:anchor="_Toc223014952" w:history="1">
            <w:r w:rsidRPr="00205512">
              <w:rPr>
                <w:rStyle w:val="Hipervnculo"/>
                <w:rFonts w:ascii="Arial" w:hAnsi="Arial"/>
                <w:noProof/>
              </w:rPr>
              <w:t>8.</w:t>
            </w:r>
            <w:r>
              <w:rPr>
                <w:rFonts w:eastAsiaTheme="minorEastAsia"/>
                <w:noProof/>
                <w:kern w:val="2"/>
                <w:lang w:eastAsia="es-CR"/>
                <w14:ligatures w14:val="standardContextual"/>
              </w:rPr>
              <w:tab/>
            </w:r>
            <w:r w:rsidRPr="00205512">
              <w:rPr>
                <w:rStyle w:val="Hipervnculo"/>
                <w:rFonts w:ascii="Arial" w:hAnsi="Arial"/>
                <w:noProof/>
              </w:rPr>
              <w:t>Consideraciones epidemiológicas</w:t>
            </w:r>
            <w:r>
              <w:rPr>
                <w:noProof/>
                <w:webHidden/>
              </w:rPr>
              <w:tab/>
            </w:r>
            <w:r>
              <w:rPr>
                <w:noProof/>
                <w:webHidden/>
              </w:rPr>
              <w:fldChar w:fldCharType="begin"/>
            </w:r>
            <w:r>
              <w:rPr>
                <w:noProof/>
                <w:webHidden/>
              </w:rPr>
              <w:instrText xml:space="preserve"> PAGEREF _Toc223014952 \h </w:instrText>
            </w:r>
            <w:r>
              <w:rPr>
                <w:noProof/>
                <w:webHidden/>
              </w:rPr>
            </w:r>
            <w:r>
              <w:rPr>
                <w:noProof/>
                <w:webHidden/>
              </w:rPr>
              <w:fldChar w:fldCharType="separate"/>
            </w:r>
            <w:r>
              <w:rPr>
                <w:noProof/>
                <w:webHidden/>
              </w:rPr>
              <w:t>8</w:t>
            </w:r>
            <w:r>
              <w:rPr>
                <w:noProof/>
                <w:webHidden/>
              </w:rPr>
              <w:fldChar w:fldCharType="end"/>
            </w:r>
          </w:hyperlink>
        </w:p>
        <w:p w14:paraId="2ED90ECF" w14:textId="5B8D1CB0" w:rsidR="001435BB" w:rsidRDefault="001435BB">
          <w:pPr>
            <w:pStyle w:val="TDC3"/>
            <w:tabs>
              <w:tab w:val="right" w:leader="dot" w:pos="9350"/>
            </w:tabs>
            <w:rPr>
              <w:rFonts w:eastAsiaTheme="minorEastAsia"/>
              <w:noProof/>
              <w:kern w:val="2"/>
              <w:lang w:eastAsia="es-CR"/>
              <w14:ligatures w14:val="standardContextual"/>
            </w:rPr>
          </w:pPr>
          <w:hyperlink w:anchor="_Toc223014953" w:history="1">
            <w:r w:rsidRPr="00205512">
              <w:rPr>
                <w:rStyle w:val="Hipervnculo"/>
                <w:rFonts w:ascii="Arial" w:hAnsi="Arial"/>
                <w:noProof/>
                <w:lang w:val="es-ES_tradnl"/>
              </w:rPr>
              <w:t>CONCLUSIONES</w:t>
            </w:r>
            <w:r>
              <w:rPr>
                <w:noProof/>
                <w:webHidden/>
              </w:rPr>
              <w:tab/>
            </w:r>
            <w:r>
              <w:rPr>
                <w:noProof/>
                <w:webHidden/>
              </w:rPr>
              <w:fldChar w:fldCharType="begin"/>
            </w:r>
            <w:r>
              <w:rPr>
                <w:noProof/>
                <w:webHidden/>
              </w:rPr>
              <w:instrText xml:space="preserve"> PAGEREF _Toc223014953 \h </w:instrText>
            </w:r>
            <w:r>
              <w:rPr>
                <w:noProof/>
                <w:webHidden/>
              </w:rPr>
            </w:r>
            <w:r>
              <w:rPr>
                <w:noProof/>
                <w:webHidden/>
              </w:rPr>
              <w:fldChar w:fldCharType="separate"/>
            </w:r>
            <w:r>
              <w:rPr>
                <w:noProof/>
                <w:webHidden/>
              </w:rPr>
              <w:t>8</w:t>
            </w:r>
            <w:r>
              <w:rPr>
                <w:noProof/>
                <w:webHidden/>
              </w:rPr>
              <w:fldChar w:fldCharType="end"/>
            </w:r>
          </w:hyperlink>
        </w:p>
        <w:p w14:paraId="5819E647" w14:textId="3FB60530" w:rsidR="001435BB" w:rsidRDefault="001435BB">
          <w:pPr>
            <w:pStyle w:val="TDC3"/>
            <w:tabs>
              <w:tab w:val="right" w:leader="dot" w:pos="9350"/>
            </w:tabs>
            <w:rPr>
              <w:rFonts w:eastAsiaTheme="minorEastAsia"/>
              <w:noProof/>
              <w:kern w:val="2"/>
              <w:lang w:eastAsia="es-CR"/>
              <w14:ligatures w14:val="standardContextual"/>
            </w:rPr>
          </w:pPr>
          <w:hyperlink w:anchor="_Toc223014954" w:history="1">
            <w:r w:rsidRPr="00205512">
              <w:rPr>
                <w:rStyle w:val="Hipervnculo"/>
                <w:rFonts w:ascii="Arial" w:hAnsi="Arial"/>
                <w:noProof/>
                <w:lang w:val="es-ES_tradnl"/>
              </w:rPr>
              <w:t>RECOMENDACIONES</w:t>
            </w:r>
            <w:r>
              <w:rPr>
                <w:noProof/>
                <w:webHidden/>
              </w:rPr>
              <w:tab/>
            </w:r>
            <w:r>
              <w:rPr>
                <w:noProof/>
                <w:webHidden/>
              </w:rPr>
              <w:fldChar w:fldCharType="begin"/>
            </w:r>
            <w:r>
              <w:rPr>
                <w:noProof/>
                <w:webHidden/>
              </w:rPr>
              <w:instrText xml:space="preserve"> PAGEREF _Toc223014954 \h </w:instrText>
            </w:r>
            <w:r>
              <w:rPr>
                <w:noProof/>
                <w:webHidden/>
              </w:rPr>
            </w:r>
            <w:r>
              <w:rPr>
                <w:noProof/>
                <w:webHidden/>
              </w:rPr>
              <w:fldChar w:fldCharType="separate"/>
            </w:r>
            <w:r>
              <w:rPr>
                <w:noProof/>
                <w:webHidden/>
              </w:rPr>
              <w:t>9</w:t>
            </w:r>
            <w:r>
              <w:rPr>
                <w:noProof/>
                <w:webHidden/>
              </w:rPr>
              <w:fldChar w:fldCharType="end"/>
            </w:r>
          </w:hyperlink>
        </w:p>
        <w:p w14:paraId="247C7DDF" w14:textId="74A40BC7" w:rsidR="00CB7F5C" w:rsidRDefault="00BC77AB">
          <w:pPr>
            <w:rPr>
              <w:b/>
              <w:bCs/>
              <w:lang w:val="es-ES"/>
            </w:rPr>
          </w:pPr>
          <w:r w:rsidRPr="00166BF3">
            <w:rPr>
              <w:rFonts w:ascii="Arial" w:hAnsi="Arial" w:cs="Arial"/>
              <w:b/>
              <w:bCs/>
              <w:lang w:val="es-ES"/>
            </w:rPr>
            <w:fldChar w:fldCharType="end"/>
          </w:r>
        </w:p>
      </w:sdtContent>
    </w:sdt>
    <w:p w14:paraId="295D9E68" w14:textId="77777777" w:rsidR="00CB7F5C" w:rsidRPr="00CB7F5C" w:rsidRDefault="00CB7F5C" w:rsidP="00CB7F5C"/>
    <w:p w14:paraId="3E7B0AEB" w14:textId="77777777" w:rsidR="00CB7F5C" w:rsidRDefault="00CB7F5C" w:rsidP="00CB7F5C">
      <w:pPr>
        <w:rPr>
          <w:b/>
          <w:bCs/>
          <w:lang w:val="es-ES"/>
        </w:rPr>
      </w:pPr>
    </w:p>
    <w:p w14:paraId="44242139" w14:textId="59B03076" w:rsidR="00CB7F5C" w:rsidRDefault="00CB7F5C" w:rsidP="00CB7F5C">
      <w:pPr>
        <w:tabs>
          <w:tab w:val="left" w:pos="2820"/>
        </w:tabs>
        <w:rPr>
          <w:b/>
          <w:bCs/>
          <w:lang w:val="es-ES"/>
        </w:rPr>
      </w:pPr>
      <w:r>
        <w:rPr>
          <w:b/>
          <w:bCs/>
          <w:lang w:val="es-ES"/>
        </w:rPr>
        <w:tab/>
      </w:r>
    </w:p>
    <w:p w14:paraId="22DEA507" w14:textId="77777777" w:rsidR="009A30F3" w:rsidRDefault="009A30F3" w:rsidP="00CB7F5C">
      <w:pPr>
        <w:tabs>
          <w:tab w:val="left" w:pos="2820"/>
        </w:tabs>
        <w:rPr>
          <w:b/>
          <w:bCs/>
          <w:lang w:val="es-ES"/>
        </w:rPr>
      </w:pPr>
    </w:p>
    <w:p w14:paraId="56D92B38" w14:textId="77777777" w:rsidR="009A30F3" w:rsidRDefault="009A30F3" w:rsidP="00CB7F5C">
      <w:pPr>
        <w:tabs>
          <w:tab w:val="left" w:pos="2820"/>
        </w:tabs>
        <w:rPr>
          <w:b/>
          <w:bCs/>
          <w:lang w:val="es-ES"/>
        </w:rPr>
      </w:pPr>
    </w:p>
    <w:p w14:paraId="332746E9" w14:textId="77777777" w:rsidR="009A30F3" w:rsidRDefault="009A30F3" w:rsidP="00CB7F5C">
      <w:pPr>
        <w:tabs>
          <w:tab w:val="left" w:pos="2820"/>
        </w:tabs>
        <w:rPr>
          <w:b/>
          <w:bCs/>
          <w:lang w:val="es-ES"/>
        </w:rPr>
      </w:pPr>
    </w:p>
    <w:p w14:paraId="74D373B1" w14:textId="77777777" w:rsidR="009A30F3" w:rsidRDefault="009A30F3" w:rsidP="00CB7F5C">
      <w:pPr>
        <w:tabs>
          <w:tab w:val="left" w:pos="2820"/>
        </w:tabs>
        <w:rPr>
          <w:b/>
          <w:bCs/>
          <w:lang w:val="es-ES"/>
        </w:rPr>
      </w:pPr>
    </w:p>
    <w:p w14:paraId="762FE381" w14:textId="77777777" w:rsidR="009A30F3" w:rsidRDefault="009A30F3" w:rsidP="00CB7F5C">
      <w:pPr>
        <w:tabs>
          <w:tab w:val="left" w:pos="2820"/>
        </w:tabs>
        <w:rPr>
          <w:b/>
          <w:bCs/>
          <w:lang w:val="es-ES"/>
        </w:rPr>
      </w:pPr>
    </w:p>
    <w:p w14:paraId="463D72AE" w14:textId="77777777" w:rsidR="009A30F3" w:rsidRDefault="009A30F3" w:rsidP="00CB7F5C">
      <w:pPr>
        <w:tabs>
          <w:tab w:val="left" w:pos="2820"/>
        </w:tabs>
        <w:rPr>
          <w:b/>
          <w:bCs/>
          <w:lang w:val="es-ES"/>
        </w:rPr>
      </w:pPr>
    </w:p>
    <w:p w14:paraId="51AC752D" w14:textId="77777777" w:rsidR="009A30F3" w:rsidRDefault="009A30F3" w:rsidP="00CB7F5C">
      <w:pPr>
        <w:tabs>
          <w:tab w:val="left" w:pos="2820"/>
        </w:tabs>
        <w:rPr>
          <w:b/>
          <w:bCs/>
          <w:lang w:val="es-ES"/>
        </w:rPr>
      </w:pPr>
    </w:p>
    <w:p w14:paraId="1A6DD6E0" w14:textId="77777777" w:rsidR="009A30F3" w:rsidRDefault="009A30F3" w:rsidP="00CB7F5C">
      <w:pPr>
        <w:tabs>
          <w:tab w:val="left" w:pos="2820"/>
        </w:tabs>
        <w:rPr>
          <w:b/>
          <w:bCs/>
          <w:lang w:val="es-ES"/>
        </w:rPr>
      </w:pPr>
    </w:p>
    <w:p w14:paraId="5C7FBDA6" w14:textId="77777777" w:rsidR="009A30F3" w:rsidRDefault="009A30F3" w:rsidP="00CB7F5C">
      <w:pPr>
        <w:tabs>
          <w:tab w:val="left" w:pos="2820"/>
        </w:tabs>
        <w:rPr>
          <w:b/>
          <w:bCs/>
          <w:lang w:val="es-ES"/>
        </w:rPr>
      </w:pPr>
    </w:p>
    <w:p w14:paraId="0373C868" w14:textId="77777777" w:rsidR="009A30F3" w:rsidRDefault="009A30F3" w:rsidP="00CB7F5C">
      <w:pPr>
        <w:tabs>
          <w:tab w:val="left" w:pos="2820"/>
        </w:tabs>
        <w:rPr>
          <w:b/>
          <w:bCs/>
          <w:lang w:val="es-ES"/>
        </w:rPr>
      </w:pPr>
    </w:p>
    <w:p w14:paraId="0CDDA405" w14:textId="77777777" w:rsidR="009A30F3" w:rsidRDefault="009A30F3" w:rsidP="00CB7F5C">
      <w:pPr>
        <w:tabs>
          <w:tab w:val="left" w:pos="2820"/>
        </w:tabs>
        <w:rPr>
          <w:b/>
          <w:bCs/>
          <w:lang w:val="es-ES"/>
        </w:rPr>
      </w:pPr>
    </w:p>
    <w:p w14:paraId="0471AD94" w14:textId="77777777" w:rsidR="009A30F3" w:rsidRDefault="009A30F3" w:rsidP="00CB7F5C">
      <w:pPr>
        <w:tabs>
          <w:tab w:val="left" w:pos="2820"/>
        </w:tabs>
        <w:rPr>
          <w:b/>
          <w:bCs/>
          <w:lang w:val="es-ES"/>
        </w:rPr>
      </w:pPr>
    </w:p>
    <w:p w14:paraId="22F3593F" w14:textId="77777777" w:rsidR="009A30F3" w:rsidRDefault="009A30F3" w:rsidP="00CB7F5C">
      <w:pPr>
        <w:tabs>
          <w:tab w:val="left" w:pos="2820"/>
        </w:tabs>
        <w:rPr>
          <w:b/>
          <w:bCs/>
          <w:lang w:val="es-ES"/>
        </w:rPr>
      </w:pPr>
    </w:p>
    <w:p w14:paraId="3FA20FA9" w14:textId="77777777" w:rsidR="009A30F3" w:rsidRDefault="009A30F3" w:rsidP="00CB7F5C">
      <w:pPr>
        <w:tabs>
          <w:tab w:val="left" w:pos="2820"/>
        </w:tabs>
        <w:rPr>
          <w:b/>
          <w:bCs/>
          <w:lang w:val="es-ES"/>
        </w:rPr>
      </w:pPr>
    </w:p>
    <w:p w14:paraId="6D99FEFC" w14:textId="77777777" w:rsidR="009A30F3" w:rsidRDefault="009A30F3" w:rsidP="00CB7F5C">
      <w:pPr>
        <w:tabs>
          <w:tab w:val="left" w:pos="2820"/>
        </w:tabs>
        <w:rPr>
          <w:b/>
          <w:bCs/>
          <w:lang w:val="es-ES"/>
        </w:rPr>
      </w:pPr>
    </w:p>
    <w:p w14:paraId="4548A484" w14:textId="77777777" w:rsidR="009A30F3" w:rsidRDefault="009A30F3" w:rsidP="00CB7F5C">
      <w:pPr>
        <w:tabs>
          <w:tab w:val="left" w:pos="2820"/>
        </w:tabs>
        <w:rPr>
          <w:b/>
          <w:bCs/>
          <w:lang w:val="es-ES"/>
        </w:rPr>
      </w:pPr>
    </w:p>
    <w:p w14:paraId="300E69AC" w14:textId="77777777" w:rsidR="009A30F3" w:rsidRDefault="009A30F3" w:rsidP="00CB7F5C">
      <w:pPr>
        <w:tabs>
          <w:tab w:val="left" w:pos="2820"/>
        </w:tabs>
        <w:rPr>
          <w:b/>
          <w:bCs/>
          <w:lang w:val="es-ES"/>
        </w:rPr>
      </w:pPr>
    </w:p>
    <w:p w14:paraId="65E29EEC" w14:textId="77777777" w:rsidR="009A30F3" w:rsidRDefault="009A30F3" w:rsidP="00CB7F5C">
      <w:pPr>
        <w:tabs>
          <w:tab w:val="left" w:pos="2820"/>
        </w:tabs>
        <w:rPr>
          <w:b/>
          <w:bCs/>
          <w:lang w:val="es-ES"/>
        </w:rPr>
      </w:pPr>
    </w:p>
    <w:p w14:paraId="6D72EBA1" w14:textId="17FC73BE" w:rsidR="009A30F3" w:rsidRPr="00732B14" w:rsidRDefault="009A30F3" w:rsidP="009A30F3">
      <w:pPr>
        <w:pStyle w:val="Ttulo2"/>
        <w:rPr>
          <w:rStyle w:val="nfasisintenso"/>
          <w:i w:val="0"/>
          <w:iCs w:val="0"/>
        </w:rPr>
      </w:pPr>
      <w:bookmarkStart w:id="1" w:name="_Toc221010666"/>
      <w:r w:rsidRPr="00732B14">
        <w:rPr>
          <w:rStyle w:val="nfasisintenso"/>
        </w:rPr>
        <w:t>Equipo técnico:</w:t>
      </w:r>
      <w:bookmarkEnd w:id="1"/>
    </w:p>
    <w:p w14:paraId="6CC677BF" w14:textId="77777777" w:rsidR="009A30F3" w:rsidRPr="009F3BDF" w:rsidRDefault="009A30F3" w:rsidP="009A30F3">
      <w:pPr>
        <w:pStyle w:val="Ttulo4"/>
        <w:rPr>
          <w:rStyle w:val="nfasissutil"/>
          <w:rFonts w:ascii="Arial" w:hAnsi="Arial" w:cs="Arial"/>
        </w:rPr>
      </w:pPr>
    </w:p>
    <w:p w14:paraId="14ECC8C2" w14:textId="77777777" w:rsidR="009A30F3" w:rsidRDefault="009A30F3" w:rsidP="009A30F3">
      <w:pPr>
        <w:pStyle w:val="Ttulo4"/>
        <w:jc w:val="both"/>
        <w:rPr>
          <w:rStyle w:val="nfasissutil"/>
          <w:rFonts w:ascii="Arial" w:hAnsi="Arial" w:cs="Arial"/>
        </w:rPr>
      </w:pPr>
      <w:r w:rsidRPr="009F3BDF">
        <w:rPr>
          <w:rStyle w:val="nfasissutil"/>
          <w:rFonts w:ascii="Arial" w:hAnsi="Arial" w:cs="Arial"/>
        </w:rPr>
        <w:t>Ministerio de Salud</w:t>
      </w:r>
    </w:p>
    <w:p w14:paraId="5ADE8361" w14:textId="77777777" w:rsidR="009A30F3" w:rsidRPr="000C3E62" w:rsidRDefault="009A30F3" w:rsidP="009A30F3"/>
    <w:p w14:paraId="655C522E" w14:textId="77777777" w:rsidR="009A30F3" w:rsidRPr="009F3BDF" w:rsidRDefault="009A30F3" w:rsidP="009A30F3">
      <w:pPr>
        <w:pStyle w:val="Prrafodelista"/>
        <w:jc w:val="both"/>
        <w:rPr>
          <w:rFonts w:ascii="Arial" w:hAnsi="Arial" w:cs="Arial"/>
          <w:shd w:val="clear" w:color="auto" w:fill="FFFFFF"/>
        </w:rPr>
      </w:pPr>
      <w:r w:rsidRPr="009F3BDF">
        <w:rPr>
          <w:rFonts w:ascii="Arial" w:hAnsi="Arial" w:cs="Arial"/>
          <w:shd w:val="clear" w:color="auto" w:fill="FFFFFF"/>
        </w:rPr>
        <w:t>Ivannia Caravaca Rodríguez. Dirección de Vigilancia de la Salud</w:t>
      </w:r>
      <w:r>
        <w:rPr>
          <w:rFonts w:ascii="Arial" w:hAnsi="Arial" w:cs="Arial"/>
          <w:shd w:val="clear" w:color="auto" w:fill="FFFFFF"/>
        </w:rPr>
        <w:t>. Unidad de Epidemiología.</w:t>
      </w:r>
    </w:p>
    <w:p w14:paraId="21C99B5C" w14:textId="77777777" w:rsidR="009A30F3" w:rsidRDefault="009A30F3" w:rsidP="009A30F3">
      <w:pPr>
        <w:pStyle w:val="Prrafodelista"/>
        <w:jc w:val="both"/>
        <w:rPr>
          <w:rFonts w:ascii="Arial" w:hAnsi="Arial" w:cs="Arial"/>
          <w:shd w:val="clear" w:color="auto" w:fill="FFFFFF"/>
        </w:rPr>
      </w:pPr>
      <w:r>
        <w:rPr>
          <w:rFonts w:ascii="Arial" w:hAnsi="Arial" w:cs="Arial"/>
          <w:shd w:val="clear" w:color="auto" w:fill="FFFFFF"/>
        </w:rPr>
        <w:t>Jennyffer González Luna</w:t>
      </w:r>
      <w:r w:rsidRPr="009F3BDF">
        <w:rPr>
          <w:rFonts w:ascii="Arial" w:hAnsi="Arial" w:cs="Arial"/>
          <w:shd w:val="clear" w:color="auto" w:fill="FFFFFF"/>
        </w:rPr>
        <w:t xml:space="preserve">. </w:t>
      </w:r>
      <w:bookmarkStart w:id="2" w:name="_Hlk119587987"/>
      <w:r w:rsidRPr="009F3BDF">
        <w:rPr>
          <w:rFonts w:ascii="Arial" w:hAnsi="Arial" w:cs="Arial"/>
          <w:shd w:val="clear" w:color="auto" w:fill="FFFFFF"/>
        </w:rPr>
        <w:t>Dirección de Vigilancia de la Salud</w:t>
      </w:r>
      <w:bookmarkEnd w:id="2"/>
      <w:r>
        <w:rPr>
          <w:rFonts w:ascii="Arial" w:hAnsi="Arial" w:cs="Arial"/>
          <w:shd w:val="clear" w:color="auto" w:fill="FFFFFF"/>
        </w:rPr>
        <w:t>. Unidad de Epidemiología.</w:t>
      </w:r>
    </w:p>
    <w:p w14:paraId="4E59DA6F" w14:textId="77777777" w:rsidR="009A30F3" w:rsidRPr="009F3BDF" w:rsidRDefault="009A30F3" w:rsidP="009A30F3">
      <w:pPr>
        <w:pStyle w:val="Prrafodelista"/>
        <w:jc w:val="both"/>
        <w:rPr>
          <w:rFonts w:ascii="Arial" w:hAnsi="Arial" w:cs="Arial"/>
          <w:shd w:val="clear" w:color="auto" w:fill="FFFFFF"/>
        </w:rPr>
      </w:pPr>
      <w:r w:rsidRPr="009F3BDF">
        <w:rPr>
          <w:rFonts w:ascii="Arial" w:hAnsi="Arial" w:cs="Arial"/>
          <w:shd w:val="clear" w:color="auto" w:fill="FFFFFF"/>
        </w:rPr>
        <w:t xml:space="preserve">Alejandra Chaverri Esquivel. Dirección de Regulación de Productos de interés </w:t>
      </w:r>
      <w:r>
        <w:rPr>
          <w:rFonts w:ascii="Arial" w:hAnsi="Arial" w:cs="Arial"/>
          <w:shd w:val="clear" w:color="auto" w:fill="FFFFFF"/>
        </w:rPr>
        <w:t xml:space="preserve">y riesgo </w:t>
      </w:r>
      <w:r w:rsidRPr="009F3BDF">
        <w:rPr>
          <w:rFonts w:ascii="Arial" w:hAnsi="Arial" w:cs="Arial"/>
          <w:shd w:val="clear" w:color="auto" w:fill="FFFFFF"/>
        </w:rPr>
        <w:t>sanitario</w:t>
      </w:r>
    </w:p>
    <w:p w14:paraId="3E50850F" w14:textId="77777777" w:rsidR="009A30F3" w:rsidRPr="00CD75B1" w:rsidRDefault="009A30F3" w:rsidP="009A30F3">
      <w:pPr>
        <w:pStyle w:val="Prrafodelista"/>
        <w:jc w:val="both"/>
        <w:rPr>
          <w:rFonts w:ascii="Arial" w:hAnsi="Arial" w:cs="Arial"/>
        </w:rPr>
      </w:pPr>
    </w:p>
    <w:p w14:paraId="320D54C9" w14:textId="77777777" w:rsidR="009A30F3" w:rsidRDefault="009A30F3" w:rsidP="009A30F3">
      <w:pPr>
        <w:pStyle w:val="Ttulo4"/>
        <w:jc w:val="both"/>
        <w:rPr>
          <w:rStyle w:val="nfasissutil"/>
          <w:rFonts w:ascii="Arial" w:hAnsi="Arial" w:cs="Arial"/>
        </w:rPr>
      </w:pPr>
      <w:r w:rsidRPr="009F3BDF">
        <w:rPr>
          <w:rStyle w:val="nfasissutil"/>
          <w:rFonts w:ascii="Arial" w:hAnsi="Arial" w:cs="Arial"/>
        </w:rPr>
        <w:t>Caja Costarricense del Seguro Social</w:t>
      </w:r>
    </w:p>
    <w:p w14:paraId="447A6FAC" w14:textId="77777777" w:rsidR="009A30F3" w:rsidRPr="000C3E62" w:rsidRDefault="009A30F3" w:rsidP="009A30F3"/>
    <w:p w14:paraId="2BEA34DA" w14:textId="77777777" w:rsidR="009A30F3" w:rsidRPr="009F3BDF" w:rsidRDefault="009A30F3" w:rsidP="009A30F3">
      <w:pPr>
        <w:pStyle w:val="Prrafodelista"/>
        <w:jc w:val="both"/>
        <w:rPr>
          <w:rStyle w:val="nfasissutil"/>
          <w:rFonts w:ascii="Arial" w:hAnsi="Arial" w:cs="Arial"/>
          <w:i w:val="0"/>
          <w:iCs w:val="0"/>
          <w:shd w:val="clear" w:color="auto" w:fill="FFFFFF"/>
        </w:rPr>
      </w:pPr>
      <w:r w:rsidRPr="009F3BDF">
        <w:rPr>
          <w:rFonts w:ascii="Arial" w:hAnsi="Arial" w:cs="Arial"/>
          <w:shd w:val="clear" w:color="auto" w:fill="FFFFFF"/>
        </w:rPr>
        <w:t>Randall Smith Cabezas. Subárea de Vigilancia Epidemiológica</w:t>
      </w:r>
    </w:p>
    <w:p w14:paraId="36F52A5F" w14:textId="77777777" w:rsidR="004A4005" w:rsidRDefault="004A4005" w:rsidP="009A30F3">
      <w:pPr>
        <w:pStyle w:val="Ttulo4"/>
        <w:jc w:val="both"/>
        <w:rPr>
          <w:rStyle w:val="nfasissutil"/>
          <w:rFonts w:ascii="Arial" w:hAnsi="Arial" w:cs="Arial"/>
        </w:rPr>
      </w:pPr>
    </w:p>
    <w:p w14:paraId="29AD1D25" w14:textId="55479A3E" w:rsidR="009A30F3" w:rsidRDefault="009A30F3" w:rsidP="009A30F3">
      <w:pPr>
        <w:pStyle w:val="Ttulo4"/>
        <w:jc w:val="both"/>
        <w:rPr>
          <w:rStyle w:val="nfasissutil"/>
          <w:rFonts w:ascii="Arial" w:hAnsi="Arial" w:cs="Arial"/>
        </w:rPr>
      </w:pPr>
      <w:r w:rsidRPr="009F3BDF">
        <w:rPr>
          <w:rStyle w:val="nfasissutil"/>
          <w:rFonts w:ascii="Arial" w:hAnsi="Arial" w:cs="Arial"/>
        </w:rPr>
        <w:t>Instituto Costarricense de Investigación y enseñanza en Nutrición y Salud (Inciensa)</w:t>
      </w:r>
    </w:p>
    <w:p w14:paraId="7143DEB1" w14:textId="77777777" w:rsidR="009A30F3" w:rsidRPr="000C3E62" w:rsidRDefault="009A30F3" w:rsidP="009A30F3"/>
    <w:p w14:paraId="53C32CBA" w14:textId="77777777" w:rsidR="009A30F3" w:rsidRPr="008B3D8A" w:rsidRDefault="009A30F3" w:rsidP="009A30F3">
      <w:pPr>
        <w:pStyle w:val="Prrafodelista"/>
        <w:jc w:val="both"/>
        <w:rPr>
          <w:rFonts w:ascii="Arial" w:hAnsi="Arial" w:cs="Arial"/>
          <w:shd w:val="clear" w:color="auto" w:fill="FFFFFF"/>
        </w:rPr>
      </w:pPr>
      <w:r w:rsidRPr="008B3D8A">
        <w:rPr>
          <w:rFonts w:ascii="Arial" w:hAnsi="Arial" w:cs="Arial"/>
          <w:shd w:val="clear" w:color="auto" w:fill="FFFFFF"/>
        </w:rPr>
        <w:t>Grettel Chanto Chacón. Centro Nacional de Referencia de Bacteriología</w:t>
      </w:r>
    </w:p>
    <w:p w14:paraId="0197C24D" w14:textId="77777777" w:rsidR="009A30F3" w:rsidRPr="008B3D8A" w:rsidRDefault="009A30F3" w:rsidP="009A30F3">
      <w:pPr>
        <w:pStyle w:val="Prrafodelista"/>
        <w:jc w:val="both"/>
        <w:rPr>
          <w:rFonts w:ascii="Arial" w:hAnsi="Arial" w:cs="Arial"/>
          <w:shd w:val="clear" w:color="auto" w:fill="FFFFFF"/>
        </w:rPr>
      </w:pPr>
      <w:proofErr w:type="spellStart"/>
      <w:r w:rsidRPr="008B3D8A">
        <w:rPr>
          <w:rFonts w:ascii="Arial" w:hAnsi="Arial" w:cs="Arial"/>
          <w:shd w:val="clear" w:color="auto" w:fill="FFFFFF"/>
        </w:rPr>
        <w:t>Gletty</w:t>
      </w:r>
      <w:proofErr w:type="spellEnd"/>
      <w:r w:rsidRPr="008B3D8A">
        <w:rPr>
          <w:rFonts w:ascii="Arial" w:hAnsi="Arial" w:cs="Arial"/>
          <w:shd w:val="clear" w:color="auto" w:fill="FFFFFF"/>
        </w:rPr>
        <w:t xml:space="preserve"> Oropeza Barrios. Centro Nacional de Referencia de Bacteriología</w:t>
      </w:r>
    </w:p>
    <w:p w14:paraId="0CAEBCFF" w14:textId="77777777" w:rsidR="009A30F3" w:rsidRPr="008B3D8A" w:rsidRDefault="009A30F3" w:rsidP="009A30F3">
      <w:pPr>
        <w:pStyle w:val="Prrafodelista"/>
        <w:jc w:val="both"/>
        <w:rPr>
          <w:rFonts w:ascii="Arial" w:hAnsi="Arial" w:cs="Arial"/>
          <w:shd w:val="clear" w:color="auto" w:fill="FFFFFF"/>
        </w:rPr>
      </w:pPr>
      <w:r w:rsidRPr="008B3D8A">
        <w:rPr>
          <w:rFonts w:ascii="Arial" w:hAnsi="Arial" w:cs="Arial"/>
          <w:shd w:val="clear" w:color="auto" w:fill="FFFFFF"/>
        </w:rPr>
        <w:t xml:space="preserve">Francisco Duarte Martínez. Centro Nacional de Referencia en Inocuidad Microbiológica de Alimentos </w:t>
      </w:r>
    </w:p>
    <w:p w14:paraId="56F41914" w14:textId="77777777" w:rsidR="009A30F3" w:rsidRPr="009A30F3" w:rsidRDefault="009A30F3" w:rsidP="00CB7F5C">
      <w:pPr>
        <w:tabs>
          <w:tab w:val="left" w:pos="2820"/>
        </w:tabs>
        <w:rPr>
          <w:b/>
          <w:bCs/>
        </w:rPr>
      </w:pPr>
    </w:p>
    <w:p w14:paraId="471E1DB3" w14:textId="77777777" w:rsidR="00CB7F5C" w:rsidRDefault="00CB7F5C" w:rsidP="00CB7F5C">
      <w:pPr>
        <w:rPr>
          <w:rFonts w:ascii="Arial" w:hAnsi="Arial" w:cs="Arial"/>
          <w:color w:val="214078"/>
          <w:sz w:val="36"/>
          <w:szCs w:val="36"/>
        </w:rPr>
        <w:sectPr w:rsidR="00CB7F5C" w:rsidSect="00217160">
          <w:headerReference w:type="default" r:id="rId11"/>
          <w:footerReference w:type="even" r:id="rId12"/>
          <w:footerReference w:type="default" r:id="rId13"/>
          <w:pgSz w:w="12240" w:h="15840"/>
          <w:pgMar w:top="1440" w:right="1440" w:bottom="1440" w:left="1440" w:header="708" w:footer="708" w:gutter="0"/>
          <w:pgNumType w:start="1"/>
          <w:cols w:space="708"/>
          <w:docGrid w:linePitch="360"/>
        </w:sectPr>
      </w:pPr>
    </w:p>
    <w:p w14:paraId="388958FE" w14:textId="6589D317" w:rsidR="001435BB" w:rsidRPr="001435BB" w:rsidRDefault="001435BB" w:rsidP="001435BB">
      <w:pPr>
        <w:pStyle w:val="Ttulo2"/>
        <w:jc w:val="center"/>
        <w:rPr>
          <w:rFonts w:asciiTheme="minorBidi" w:hAnsiTheme="minorBidi"/>
          <w:color w:val="182951"/>
          <w:sz w:val="36"/>
          <w:szCs w:val="36"/>
          <w:lang w:val="es-ES_tradnl"/>
        </w:rPr>
      </w:pPr>
      <w:bookmarkStart w:id="3" w:name="_Toc223014902"/>
      <w:bookmarkStart w:id="4" w:name="_Toc223014942"/>
      <w:r w:rsidRPr="00F55E18">
        <w:rPr>
          <w:rFonts w:asciiTheme="minorBidi" w:hAnsiTheme="minorBidi"/>
          <w:color w:val="182951"/>
          <w:sz w:val="36"/>
          <w:szCs w:val="36"/>
          <w:lang w:val="es-ES_tradnl"/>
        </w:rPr>
        <w:lastRenderedPageBreak/>
        <w:t>Informe técnico: Análisis epidemiológico de brotes de enfermedades transmitidas por alimentos y diarreas del 2024</w:t>
      </w:r>
      <w:bookmarkEnd w:id="3"/>
    </w:p>
    <w:p w14:paraId="5F537C84" w14:textId="35C097B9" w:rsidR="007E3BC6" w:rsidRPr="00760762" w:rsidRDefault="00184A81" w:rsidP="000D53AF">
      <w:pPr>
        <w:pStyle w:val="Ttulo2"/>
        <w:spacing w:line="360" w:lineRule="auto"/>
        <w:rPr>
          <w:lang w:val="es-ES_tradnl"/>
        </w:rPr>
      </w:pPr>
      <w:r w:rsidRPr="00760762">
        <w:rPr>
          <w:lang w:val="es-ES_tradnl"/>
        </w:rPr>
        <w:t>INTRODUCCIÓN</w:t>
      </w:r>
      <w:bookmarkEnd w:id="4"/>
    </w:p>
    <w:p w14:paraId="06173FF5" w14:textId="77777777" w:rsidR="00CE2CFF" w:rsidRPr="00CE2CFF" w:rsidRDefault="00CE2CFF" w:rsidP="00CE2CFF">
      <w:pPr>
        <w:spacing w:line="360" w:lineRule="auto"/>
        <w:jc w:val="both"/>
        <w:rPr>
          <w:rFonts w:asciiTheme="minorBidi" w:hAnsiTheme="minorBidi"/>
          <w:color w:val="000000" w:themeColor="text1"/>
          <w:sz w:val="22"/>
          <w:szCs w:val="22"/>
        </w:rPr>
      </w:pPr>
      <w:r w:rsidRPr="00CE2CFF">
        <w:rPr>
          <w:rFonts w:asciiTheme="minorBidi" w:hAnsiTheme="minorBidi"/>
          <w:color w:val="000000" w:themeColor="text1"/>
          <w:sz w:val="22"/>
          <w:szCs w:val="22"/>
        </w:rPr>
        <w:t xml:space="preserve">Las enfermedades transmitidas por alimentos (ETA) y las enfermedades diarreicas agudas (EDA) representan un problema prioritario de salud pública por su capacidad de generar brotes de aparición súbita, afectar a poblaciones vulnerables y ocasionar demanda importante de servicios de salud. Su ocurrencia está influida por factores asociados a la inocuidad alimentaria, el acceso a agua segura, las condiciones de preparación y expendio de alimentos, y la oportunidad en la detección y notificación de eventos. En este contexto, la vigilancia epidemiológica y la investigación oportuna de brotes constituyen herramientas esenciales para orientar acciones de prevención, control e intervención sanitaria. </w:t>
      </w:r>
    </w:p>
    <w:p w14:paraId="42284C28" w14:textId="04A73E4C" w:rsidR="00CE2CFF" w:rsidRPr="00CE2CFF" w:rsidRDefault="00CE2CFF" w:rsidP="00CE2CFF">
      <w:pPr>
        <w:spacing w:line="360" w:lineRule="auto"/>
        <w:jc w:val="both"/>
        <w:rPr>
          <w:rFonts w:asciiTheme="minorBidi" w:hAnsiTheme="minorBidi"/>
          <w:color w:val="000000" w:themeColor="text1"/>
          <w:sz w:val="22"/>
          <w:szCs w:val="22"/>
        </w:rPr>
      </w:pPr>
      <w:r w:rsidRPr="00CE2CFF">
        <w:rPr>
          <w:rFonts w:asciiTheme="minorBidi" w:hAnsiTheme="minorBidi"/>
          <w:color w:val="000000" w:themeColor="text1"/>
          <w:sz w:val="22"/>
          <w:szCs w:val="22"/>
        </w:rPr>
        <w:t xml:space="preserve">El presente documento reúne el análisis epidemiológico de las alertas e investigaciones de brotes notificadas </w:t>
      </w:r>
      <w:r w:rsidR="00551837">
        <w:rPr>
          <w:rFonts w:asciiTheme="minorBidi" w:hAnsiTheme="minorBidi"/>
          <w:color w:val="000000" w:themeColor="text1"/>
          <w:sz w:val="22"/>
          <w:szCs w:val="22"/>
        </w:rPr>
        <w:t>a el nivel central de</w:t>
      </w:r>
      <w:r w:rsidRPr="00CE2CFF">
        <w:rPr>
          <w:rFonts w:asciiTheme="minorBidi" w:hAnsiTheme="minorBidi"/>
          <w:color w:val="000000" w:themeColor="text1"/>
          <w:sz w:val="22"/>
          <w:szCs w:val="22"/>
        </w:rPr>
        <w:t xml:space="preserve"> la Dirección de Vigilancia de la Salud durante el período enero–diciembre 2025, con énfasis en los brotes de ETA y EDA consolidados en la base nacional de vigilancia. Se describen los principales hallazgos según distribución geográfica, tipo de brote, lugar de ocurrencia, población afectada, manifestaciones clínicas, así como la identificación del agente etiológico y del alimento implicado cuando se contó con confirmación de laboratorio. Además, se señalan limitaciones relevantes relacionadas con la notificación oportuna y la disponibilidad/calidad de muestras clínicas y de alimentos, elementos que condicionan la confirmación etiológica y el cierre adecuado de los eventos. </w:t>
      </w:r>
    </w:p>
    <w:p w14:paraId="309AB923" w14:textId="5631B434" w:rsidR="000173D6" w:rsidRPr="00F55E18" w:rsidRDefault="00CE2CFF" w:rsidP="00F55E18">
      <w:pPr>
        <w:spacing w:line="360" w:lineRule="auto"/>
        <w:jc w:val="both"/>
        <w:rPr>
          <w:rFonts w:asciiTheme="minorBidi" w:hAnsiTheme="minorBidi"/>
          <w:color w:val="000000" w:themeColor="text1"/>
          <w:sz w:val="22"/>
          <w:szCs w:val="22"/>
        </w:rPr>
      </w:pPr>
      <w:r w:rsidRPr="00CE2CFF">
        <w:rPr>
          <w:rFonts w:asciiTheme="minorBidi" w:hAnsiTheme="minorBidi"/>
          <w:color w:val="000000" w:themeColor="text1"/>
          <w:sz w:val="22"/>
          <w:szCs w:val="22"/>
        </w:rPr>
        <w:t xml:space="preserve">Finalmente, con base en los patrones observados, se proponen consideraciones y recomendaciones orientadas a fortalecer la vigilancia, optimizar la investigación epidemiológica integral y focalizar acciones de prevención y control en escenarios de mayor riesgo, particularmente en establecimientos institucionales y sitios de preparación y expendio de alimentos. La información presentada busca apoyar la toma de decisiones y la priorización de intervenciones para reducir la ocurrencia y el impacto de brotes asociados a ETA y EDA en el país. </w:t>
      </w:r>
    </w:p>
    <w:p w14:paraId="4BD524F4" w14:textId="0E61AA95" w:rsidR="00580EE2" w:rsidRPr="00760762" w:rsidRDefault="00620FD1" w:rsidP="000D53AF">
      <w:pPr>
        <w:pStyle w:val="Ttulo2"/>
        <w:spacing w:line="360" w:lineRule="auto"/>
        <w:rPr>
          <w:lang w:val="es-ES_tradnl"/>
        </w:rPr>
      </w:pPr>
      <w:bookmarkStart w:id="5" w:name="_Toc223014943"/>
      <w:r>
        <w:rPr>
          <w:lang w:val="es-ES_tradnl"/>
        </w:rPr>
        <w:lastRenderedPageBreak/>
        <w:t>DESARROLLO</w:t>
      </w:r>
      <w:bookmarkEnd w:id="5"/>
    </w:p>
    <w:p w14:paraId="02C9FE83" w14:textId="77777777" w:rsidR="00580EE2" w:rsidRDefault="00580EE2" w:rsidP="000D53AF">
      <w:pPr>
        <w:pStyle w:val="Textoindependiente"/>
        <w:spacing w:line="360" w:lineRule="auto"/>
        <w:jc w:val="both"/>
        <w:rPr>
          <w:rFonts w:asciiTheme="minorBidi" w:eastAsiaTheme="minorHAnsi" w:hAnsiTheme="minorBidi" w:cstheme="minorBidi"/>
          <w:color w:val="000000" w:themeColor="text1"/>
          <w:lang w:val="es-ES_tradnl"/>
        </w:rPr>
      </w:pPr>
    </w:p>
    <w:p w14:paraId="381A6026" w14:textId="58F10985" w:rsidR="00B3738B" w:rsidRPr="001435BB" w:rsidRDefault="00B3738B" w:rsidP="001435BB">
      <w:pPr>
        <w:pStyle w:val="Ttulo3"/>
        <w:numPr>
          <w:ilvl w:val="0"/>
          <w:numId w:val="10"/>
        </w:numPr>
        <w:rPr>
          <w:rFonts w:ascii="Arial" w:hAnsi="Arial"/>
          <w:color w:val="2F5496" w:themeColor="accent1" w:themeShade="BF"/>
          <w:sz w:val="28"/>
          <w:szCs w:val="26"/>
        </w:rPr>
      </w:pPr>
      <w:bookmarkStart w:id="6" w:name="_Toc223014944"/>
      <w:r w:rsidRPr="001435BB">
        <w:rPr>
          <w:rFonts w:ascii="Arial" w:hAnsi="Arial"/>
          <w:color w:val="2F5496" w:themeColor="accent1" w:themeShade="BF"/>
          <w:sz w:val="28"/>
          <w:szCs w:val="26"/>
        </w:rPr>
        <w:t>Descripción general de los brotes</w:t>
      </w:r>
      <w:bookmarkEnd w:id="6"/>
    </w:p>
    <w:p w14:paraId="2C01B7B3" w14:textId="77777777" w:rsidR="00B3738B" w:rsidRPr="00B3738B" w:rsidRDefault="00B3738B" w:rsidP="00B3738B"/>
    <w:p w14:paraId="66E76A38" w14:textId="77777777" w:rsidR="00B3738B" w:rsidRPr="00B3738B" w:rsidRDefault="00B3738B" w:rsidP="00B3738B">
      <w:pPr>
        <w:spacing w:line="360" w:lineRule="auto"/>
        <w:jc w:val="both"/>
        <w:rPr>
          <w:rFonts w:ascii="Arial" w:hAnsi="Arial" w:cs="Arial"/>
          <w:sz w:val="22"/>
          <w:szCs w:val="22"/>
        </w:rPr>
      </w:pPr>
      <w:r w:rsidRPr="00B3738B">
        <w:rPr>
          <w:rFonts w:ascii="Arial" w:hAnsi="Arial" w:cs="Arial"/>
          <w:sz w:val="22"/>
          <w:szCs w:val="22"/>
        </w:rPr>
        <w:t>Durante el período analizado (enero 2025 a diciembre 2025), se investigaron 25 alertas de brotes notificadas a la Dirección de Vigilancia de la Salud del Ministerio de Salud. De estas, tres correspondieron a alertas por contaminación química del agua, una a un evento por influenza, y una fue descartada al determinarse que no cumplía con la definición de brote.</w:t>
      </w:r>
    </w:p>
    <w:p w14:paraId="56E2DAB5" w14:textId="77777777" w:rsidR="00B3738B" w:rsidRDefault="00B3738B" w:rsidP="00B3738B">
      <w:pPr>
        <w:spacing w:line="360" w:lineRule="auto"/>
        <w:jc w:val="both"/>
        <w:rPr>
          <w:rFonts w:ascii="Arial" w:hAnsi="Arial" w:cs="Arial"/>
          <w:sz w:val="22"/>
          <w:szCs w:val="22"/>
        </w:rPr>
      </w:pPr>
      <w:r w:rsidRPr="00B3738B">
        <w:rPr>
          <w:rFonts w:ascii="Arial" w:hAnsi="Arial" w:cs="Arial"/>
          <w:sz w:val="22"/>
          <w:szCs w:val="22"/>
        </w:rPr>
        <w:t>Se registraron 20 brotes de enfermedades transmitidas por alimentos (ETA) y enfermedades diarreicas agudas (EDA) fueron notificados por las Áreas Rectoras de Salud, consolidados en la base nacional de vigilancia. Los brotes corresponden tanto a eventos de origen alimentario como a cuadros diarreicos de probable etiología infecciosa, ocurridos en diferentes regiones del país.</w:t>
      </w:r>
    </w:p>
    <w:p w14:paraId="4BC33D95" w14:textId="77777777" w:rsidR="00F55E18" w:rsidRPr="00B3738B" w:rsidRDefault="00F55E18" w:rsidP="00B3738B">
      <w:pPr>
        <w:spacing w:line="360" w:lineRule="auto"/>
        <w:jc w:val="both"/>
        <w:rPr>
          <w:rFonts w:ascii="Arial" w:hAnsi="Arial" w:cs="Arial"/>
          <w:sz w:val="22"/>
          <w:szCs w:val="22"/>
        </w:rPr>
      </w:pPr>
    </w:p>
    <w:p w14:paraId="57ED2EF7" w14:textId="3740D681" w:rsidR="00B3738B" w:rsidRDefault="00B3738B" w:rsidP="00B3738B">
      <w:pPr>
        <w:pStyle w:val="Ttulo3"/>
        <w:numPr>
          <w:ilvl w:val="0"/>
          <w:numId w:val="10"/>
        </w:numPr>
        <w:rPr>
          <w:rFonts w:ascii="Arial" w:hAnsi="Arial"/>
          <w:color w:val="2F5496" w:themeColor="accent1" w:themeShade="BF"/>
          <w:sz w:val="28"/>
          <w:szCs w:val="26"/>
        </w:rPr>
      </w:pPr>
      <w:bookmarkStart w:id="7" w:name="_Toc223014945"/>
      <w:r w:rsidRPr="00B3738B">
        <w:rPr>
          <w:rFonts w:ascii="Arial" w:hAnsi="Arial"/>
          <w:color w:val="2F5496" w:themeColor="accent1" w:themeShade="BF"/>
          <w:sz w:val="28"/>
          <w:szCs w:val="26"/>
        </w:rPr>
        <w:t>Distribución geográfica</w:t>
      </w:r>
      <w:bookmarkEnd w:id="7"/>
    </w:p>
    <w:p w14:paraId="1C926531" w14:textId="77777777" w:rsidR="00B3738B" w:rsidRPr="00B3738B" w:rsidRDefault="00B3738B" w:rsidP="00B3738B">
      <w:pPr>
        <w:pStyle w:val="Prrafodelista"/>
      </w:pPr>
    </w:p>
    <w:p w14:paraId="412F9212" w14:textId="77777777" w:rsidR="00B3738B" w:rsidRPr="00B3738B" w:rsidRDefault="00B3738B" w:rsidP="00B3738B">
      <w:pPr>
        <w:spacing w:line="360" w:lineRule="auto"/>
        <w:rPr>
          <w:rFonts w:ascii="Arial" w:hAnsi="Arial" w:cs="Arial"/>
          <w:sz w:val="22"/>
          <w:szCs w:val="22"/>
        </w:rPr>
      </w:pPr>
      <w:r w:rsidRPr="00B3738B">
        <w:rPr>
          <w:rFonts w:ascii="Arial" w:hAnsi="Arial" w:cs="Arial"/>
          <w:sz w:val="22"/>
          <w:szCs w:val="22"/>
        </w:rPr>
        <w:t xml:space="preserve">Los brotes se distribuyeron en diversas regiones rectoras, destacándose la ocurrencia en las regiones: Central Norte y Sur; Huetar Caribe y Pacifico Central.  </w:t>
      </w:r>
    </w:p>
    <w:p w14:paraId="59039C4C" w14:textId="77777777" w:rsidR="00B3738B" w:rsidRPr="00B3738B" w:rsidRDefault="00B3738B" w:rsidP="00B3738B">
      <w:pPr>
        <w:spacing w:line="360" w:lineRule="auto"/>
        <w:rPr>
          <w:rFonts w:ascii="Arial" w:hAnsi="Arial" w:cs="Arial"/>
          <w:sz w:val="22"/>
          <w:szCs w:val="22"/>
        </w:rPr>
      </w:pPr>
      <w:r w:rsidRPr="00B3738B">
        <w:rPr>
          <w:rFonts w:ascii="Arial" w:hAnsi="Arial" w:cs="Arial"/>
          <w:sz w:val="22"/>
          <w:szCs w:val="22"/>
        </w:rPr>
        <w:t>Gráfico 1.</w:t>
      </w:r>
    </w:p>
    <w:p w14:paraId="6448732B" w14:textId="77777777" w:rsidR="00F55E18" w:rsidRPr="00F55E18" w:rsidRDefault="00B3738B" w:rsidP="00B3738B">
      <w:pPr>
        <w:jc w:val="center"/>
        <w:rPr>
          <w:rFonts w:ascii="Arial" w:hAnsi="Arial" w:cs="Arial"/>
          <w:b/>
          <w:bCs/>
          <w:sz w:val="22"/>
          <w:szCs w:val="22"/>
        </w:rPr>
      </w:pPr>
      <w:r w:rsidRPr="00F55E18">
        <w:rPr>
          <w:rFonts w:ascii="Arial" w:hAnsi="Arial" w:cs="Arial"/>
          <w:b/>
          <w:bCs/>
          <w:sz w:val="22"/>
          <w:szCs w:val="22"/>
        </w:rPr>
        <w:t xml:space="preserve">Costa Rica. Alertas de brotes de ETA-EDA, según </w:t>
      </w:r>
    </w:p>
    <w:p w14:paraId="7A8FEEB1" w14:textId="72BA08C4" w:rsidR="00B3738B" w:rsidRPr="00F55E18" w:rsidRDefault="00B3738B" w:rsidP="00B3738B">
      <w:pPr>
        <w:jc w:val="center"/>
        <w:rPr>
          <w:rFonts w:ascii="Arial" w:hAnsi="Arial" w:cs="Arial"/>
          <w:b/>
          <w:bCs/>
          <w:sz w:val="22"/>
          <w:szCs w:val="22"/>
        </w:rPr>
      </w:pPr>
      <w:r w:rsidRPr="00F55E18">
        <w:rPr>
          <w:rFonts w:ascii="Arial" w:hAnsi="Arial" w:cs="Arial"/>
          <w:b/>
          <w:bCs/>
          <w:sz w:val="22"/>
          <w:szCs w:val="22"/>
        </w:rPr>
        <w:t>Regional Rector</w:t>
      </w:r>
      <w:r w:rsidR="00F55E18" w:rsidRPr="00F55E18">
        <w:rPr>
          <w:rFonts w:ascii="Arial" w:hAnsi="Arial" w:cs="Arial"/>
          <w:b/>
          <w:bCs/>
          <w:sz w:val="22"/>
          <w:szCs w:val="22"/>
        </w:rPr>
        <w:t>a</w:t>
      </w:r>
      <w:r w:rsidRPr="00F55E18">
        <w:rPr>
          <w:rFonts w:ascii="Arial" w:hAnsi="Arial" w:cs="Arial"/>
          <w:b/>
          <w:bCs/>
          <w:sz w:val="22"/>
          <w:szCs w:val="22"/>
        </w:rPr>
        <w:t xml:space="preserve"> de la Salud, 2025</w:t>
      </w:r>
    </w:p>
    <w:p w14:paraId="7EC4E965" w14:textId="77777777" w:rsidR="00B3738B" w:rsidRPr="00DE43AE" w:rsidRDefault="00B3738B" w:rsidP="00B3738B">
      <w:pPr>
        <w:jc w:val="center"/>
      </w:pPr>
      <w:r>
        <w:rPr>
          <w:noProof/>
        </w:rPr>
        <w:drawing>
          <wp:inline distT="0" distB="0" distL="0" distR="0" wp14:anchorId="4DAA9D40" wp14:editId="5246804B">
            <wp:extent cx="4248150" cy="2419350"/>
            <wp:effectExtent l="0" t="0" r="0" b="0"/>
            <wp:docPr id="1446868835" name="Gráfico 1">
              <a:extLst xmlns:a="http://schemas.openxmlformats.org/drawingml/2006/main">
                <a:ext uri="{FF2B5EF4-FFF2-40B4-BE49-F238E27FC236}">
                  <a16:creationId xmlns:a16="http://schemas.microsoft.com/office/drawing/2014/main" id="{4D4E5255-25F9-354E-EACD-4964808B3C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t xml:space="preserve">                               </w:t>
      </w:r>
    </w:p>
    <w:p w14:paraId="633AB383" w14:textId="77777777" w:rsidR="00B3738B" w:rsidRDefault="00B3738B" w:rsidP="00B3738B">
      <w:pPr>
        <w:ind w:left="1416" w:firstLine="708"/>
        <w:rPr>
          <w:rFonts w:ascii="Arial" w:hAnsi="Arial" w:cs="Arial"/>
          <w:sz w:val="20"/>
          <w:szCs w:val="20"/>
        </w:rPr>
      </w:pPr>
      <w:r w:rsidRPr="00F55E18">
        <w:rPr>
          <w:rFonts w:ascii="Arial" w:hAnsi="Arial" w:cs="Arial"/>
          <w:sz w:val="20"/>
          <w:szCs w:val="20"/>
        </w:rPr>
        <w:t>Fuente: Dirección de Vigilancia de la Salud</w:t>
      </w:r>
    </w:p>
    <w:p w14:paraId="003EF0E4" w14:textId="77777777" w:rsidR="00F55E18" w:rsidRPr="00F55E18" w:rsidRDefault="00F55E18" w:rsidP="00B3738B">
      <w:pPr>
        <w:ind w:left="1416" w:firstLine="708"/>
        <w:rPr>
          <w:rFonts w:ascii="Arial" w:hAnsi="Arial" w:cs="Arial"/>
        </w:rPr>
      </w:pPr>
    </w:p>
    <w:p w14:paraId="5E05911D" w14:textId="77777777" w:rsidR="00B3738B" w:rsidRPr="00F55E18" w:rsidRDefault="00B3738B" w:rsidP="00F55E18">
      <w:pPr>
        <w:spacing w:line="360" w:lineRule="auto"/>
        <w:rPr>
          <w:rFonts w:ascii="Arial" w:hAnsi="Arial" w:cs="Arial"/>
          <w:sz w:val="22"/>
          <w:szCs w:val="22"/>
        </w:rPr>
      </w:pPr>
      <w:r w:rsidRPr="00F55E18">
        <w:rPr>
          <w:rFonts w:ascii="Arial" w:hAnsi="Arial" w:cs="Arial"/>
          <w:sz w:val="22"/>
          <w:szCs w:val="22"/>
        </w:rPr>
        <w:t>A nivel provincial y cantonal, los brotes se concentraron principalmente en cantones urbanos y semiurbanos, y estuvieron asociados a:</w:t>
      </w:r>
    </w:p>
    <w:p w14:paraId="169CEE4A" w14:textId="77777777" w:rsidR="00B3738B" w:rsidRPr="00F55E18" w:rsidRDefault="00B3738B" w:rsidP="00F55E18">
      <w:pPr>
        <w:numPr>
          <w:ilvl w:val="0"/>
          <w:numId w:val="2"/>
        </w:numPr>
        <w:suppressAutoHyphens/>
        <w:autoSpaceDN w:val="0"/>
        <w:spacing w:after="160" w:line="360" w:lineRule="auto"/>
        <w:rPr>
          <w:rFonts w:ascii="Arial" w:hAnsi="Arial" w:cs="Arial"/>
          <w:sz w:val="22"/>
          <w:szCs w:val="22"/>
        </w:rPr>
      </w:pPr>
      <w:r w:rsidRPr="00F55E18">
        <w:rPr>
          <w:rFonts w:ascii="Arial" w:hAnsi="Arial" w:cs="Arial"/>
          <w:sz w:val="22"/>
          <w:szCs w:val="22"/>
        </w:rPr>
        <w:t>Centros hospitalarios</w:t>
      </w:r>
    </w:p>
    <w:p w14:paraId="1D6E3DD0" w14:textId="77777777" w:rsidR="00B3738B" w:rsidRPr="00F55E18" w:rsidRDefault="00B3738B" w:rsidP="00F55E18">
      <w:pPr>
        <w:numPr>
          <w:ilvl w:val="0"/>
          <w:numId w:val="2"/>
        </w:numPr>
        <w:suppressAutoHyphens/>
        <w:autoSpaceDN w:val="0"/>
        <w:spacing w:after="160" w:line="360" w:lineRule="auto"/>
        <w:rPr>
          <w:rFonts w:ascii="Arial" w:hAnsi="Arial" w:cs="Arial"/>
          <w:sz w:val="22"/>
          <w:szCs w:val="22"/>
        </w:rPr>
      </w:pPr>
      <w:r w:rsidRPr="00F55E18">
        <w:rPr>
          <w:rFonts w:ascii="Arial" w:hAnsi="Arial" w:cs="Arial"/>
          <w:sz w:val="22"/>
          <w:szCs w:val="22"/>
        </w:rPr>
        <w:t>Establecimientos de preparación y expendio de alimentos</w:t>
      </w:r>
    </w:p>
    <w:p w14:paraId="29461F7E" w14:textId="77777777" w:rsidR="00B3738B" w:rsidRPr="00F55E18" w:rsidRDefault="00B3738B" w:rsidP="00F55E18">
      <w:pPr>
        <w:numPr>
          <w:ilvl w:val="0"/>
          <w:numId w:val="2"/>
        </w:numPr>
        <w:suppressAutoHyphens/>
        <w:autoSpaceDN w:val="0"/>
        <w:spacing w:after="160" w:line="360" w:lineRule="auto"/>
        <w:rPr>
          <w:rFonts w:ascii="Arial" w:hAnsi="Arial" w:cs="Arial"/>
          <w:sz w:val="22"/>
          <w:szCs w:val="22"/>
        </w:rPr>
      </w:pPr>
      <w:r w:rsidRPr="00F55E18">
        <w:rPr>
          <w:rFonts w:ascii="Arial" w:hAnsi="Arial" w:cs="Arial"/>
          <w:sz w:val="22"/>
          <w:szCs w:val="22"/>
        </w:rPr>
        <w:t>Hogares y eventos comunitarios</w:t>
      </w:r>
    </w:p>
    <w:p w14:paraId="0232F0D4" w14:textId="77777777" w:rsidR="00B3738B" w:rsidRPr="00F55E18" w:rsidRDefault="00B3738B" w:rsidP="00F55E18">
      <w:pPr>
        <w:spacing w:line="360" w:lineRule="auto"/>
        <w:rPr>
          <w:rFonts w:ascii="Arial" w:hAnsi="Arial" w:cs="Arial"/>
          <w:sz w:val="22"/>
          <w:szCs w:val="22"/>
        </w:rPr>
      </w:pPr>
      <w:r w:rsidRPr="00F55E18">
        <w:rPr>
          <w:rFonts w:ascii="Arial" w:hAnsi="Arial" w:cs="Arial"/>
          <w:sz w:val="22"/>
          <w:szCs w:val="22"/>
        </w:rPr>
        <w:t>Esta distribución sugiere una mayor probabilidad de detección de brotes en zonas con mayor acceso a servicios de salud y con una vigilancia epidemiológica activa.</w:t>
      </w:r>
    </w:p>
    <w:p w14:paraId="774DB680" w14:textId="77777777" w:rsidR="00B3738B" w:rsidRPr="00F55E18" w:rsidRDefault="00B3738B" w:rsidP="00F55E18">
      <w:pPr>
        <w:spacing w:line="360" w:lineRule="auto"/>
        <w:rPr>
          <w:rFonts w:ascii="Arial" w:hAnsi="Arial" w:cs="Arial"/>
          <w:sz w:val="22"/>
          <w:szCs w:val="22"/>
        </w:rPr>
      </w:pPr>
      <w:r w:rsidRPr="00F55E18">
        <w:rPr>
          <w:rFonts w:ascii="Arial" w:hAnsi="Arial" w:cs="Arial"/>
          <w:sz w:val="22"/>
          <w:szCs w:val="22"/>
        </w:rPr>
        <w:t>Gráfico 2.</w:t>
      </w:r>
    </w:p>
    <w:p w14:paraId="7B5F4343" w14:textId="77777777" w:rsidR="00B3738B" w:rsidRPr="00F55E18" w:rsidRDefault="00B3738B" w:rsidP="00B3738B">
      <w:pPr>
        <w:jc w:val="center"/>
        <w:rPr>
          <w:rFonts w:ascii="Arial" w:hAnsi="Arial" w:cs="Arial"/>
          <w:b/>
          <w:bCs/>
          <w:sz w:val="22"/>
          <w:szCs w:val="22"/>
        </w:rPr>
      </w:pPr>
      <w:r w:rsidRPr="00F55E18">
        <w:rPr>
          <w:rFonts w:ascii="Arial" w:hAnsi="Arial" w:cs="Arial"/>
          <w:b/>
          <w:bCs/>
          <w:sz w:val="22"/>
          <w:szCs w:val="22"/>
        </w:rPr>
        <w:t>Costa Rica. Distribución de brotes de ETA-EDA por provincia, 2025.</w:t>
      </w:r>
    </w:p>
    <w:p w14:paraId="10A44E5D" w14:textId="77777777" w:rsidR="00B3738B" w:rsidRDefault="00B3738B" w:rsidP="00B3738B">
      <w:r>
        <w:rPr>
          <w:noProof/>
        </w:rPr>
        <w:drawing>
          <wp:anchor distT="0" distB="0" distL="114300" distR="114300" simplePos="0" relativeHeight="251672576" behindDoc="1" locked="0" layoutInCell="1" allowOverlap="1" wp14:anchorId="5B8AEE23" wp14:editId="7BDE9F42">
            <wp:simplePos x="0" y="0"/>
            <wp:positionH relativeFrom="column">
              <wp:posOffset>520065</wp:posOffset>
            </wp:positionH>
            <wp:positionV relativeFrom="paragraph">
              <wp:posOffset>22229</wp:posOffset>
            </wp:positionV>
            <wp:extent cx="4718688" cy="3096899"/>
            <wp:effectExtent l="0" t="0" r="5712" b="8251"/>
            <wp:wrapNone/>
            <wp:docPr id="1676207228"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4718688" cy="3096899"/>
                    </a:xfrm>
                    <a:prstGeom prst="rect">
                      <a:avLst/>
                    </a:prstGeom>
                    <a:noFill/>
                    <a:ln>
                      <a:noFill/>
                      <a:prstDash/>
                    </a:ln>
                  </pic:spPr>
                </pic:pic>
              </a:graphicData>
            </a:graphic>
          </wp:anchor>
        </w:drawing>
      </w:r>
    </w:p>
    <w:p w14:paraId="0A5F045B" w14:textId="77777777" w:rsidR="00B3738B" w:rsidRDefault="00B3738B" w:rsidP="00B3738B"/>
    <w:p w14:paraId="7A36BDDE" w14:textId="77777777" w:rsidR="00B3738B" w:rsidRDefault="00B3738B" w:rsidP="00B3738B"/>
    <w:p w14:paraId="211EF14D" w14:textId="77777777" w:rsidR="00B3738B" w:rsidRDefault="00B3738B" w:rsidP="00B3738B"/>
    <w:p w14:paraId="3B1BCFFE" w14:textId="77777777" w:rsidR="00B3738B" w:rsidRDefault="00B3738B" w:rsidP="00B3738B"/>
    <w:p w14:paraId="350725E1" w14:textId="77777777" w:rsidR="00B3738B" w:rsidRDefault="00B3738B" w:rsidP="00B3738B"/>
    <w:p w14:paraId="6E450413" w14:textId="77777777" w:rsidR="00B3738B" w:rsidRDefault="00B3738B" w:rsidP="00B3738B"/>
    <w:p w14:paraId="68BA36D9" w14:textId="77777777" w:rsidR="00B3738B" w:rsidRDefault="00B3738B" w:rsidP="00B3738B"/>
    <w:p w14:paraId="4AD71D0A" w14:textId="77777777" w:rsidR="00B3738B" w:rsidRDefault="00B3738B" w:rsidP="00B3738B"/>
    <w:p w14:paraId="3981EC4A" w14:textId="77777777" w:rsidR="00B3738B" w:rsidRDefault="00B3738B" w:rsidP="00B3738B"/>
    <w:p w14:paraId="212C94B2" w14:textId="77777777" w:rsidR="00F55E18" w:rsidRDefault="00F55E18" w:rsidP="00B3738B">
      <w:pPr>
        <w:jc w:val="center"/>
        <w:rPr>
          <w:rFonts w:ascii="Arial" w:hAnsi="Arial" w:cs="Arial"/>
          <w:sz w:val="20"/>
          <w:szCs w:val="20"/>
        </w:rPr>
      </w:pPr>
    </w:p>
    <w:p w14:paraId="356DC203" w14:textId="77777777" w:rsidR="00F55E18" w:rsidRDefault="00F55E18" w:rsidP="00B3738B">
      <w:pPr>
        <w:jc w:val="center"/>
        <w:rPr>
          <w:rFonts w:ascii="Arial" w:hAnsi="Arial" w:cs="Arial"/>
          <w:sz w:val="20"/>
          <w:szCs w:val="20"/>
        </w:rPr>
      </w:pPr>
    </w:p>
    <w:p w14:paraId="2291C02D" w14:textId="77777777" w:rsidR="00F55E18" w:rsidRDefault="00F55E18" w:rsidP="00B3738B">
      <w:pPr>
        <w:jc w:val="center"/>
        <w:rPr>
          <w:rFonts w:ascii="Arial" w:hAnsi="Arial" w:cs="Arial"/>
          <w:sz w:val="20"/>
          <w:szCs w:val="20"/>
        </w:rPr>
      </w:pPr>
    </w:p>
    <w:p w14:paraId="57512DDC" w14:textId="77777777" w:rsidR="00F55E18" w:rsidRDefault="00F55E18" w:rsidP="00B3738B">
      <w:pPr>
        <w:jc w:val="center"/>
        <w:rPr>
          <w:rFonts w:ascii="Arial" w:hAnsi="Arial" w:cs="Arial"/>
          <w:sz w:val="20"/>
          <w:szCs w:val="20"/>
        </w:rPr>
      </w:pPr>
    </w:p>
    <w:p w14:paraId="5B090723" w14:textId="77777777" w:rsidR="00F55E18" w:rsidRDefault="00F55E18" w:rsidP="00B3738B">
      <w:pPr>
        <w:jc w:val="center"/>
        <w:rPr>
          <w:rFonts w:ascii="Arial" w:hAnsi="Arial" w:cs="Arial"/>
          <w:sz w:val="20"/>
          <w:szCs w:val="20"/>
        </w:rPr>
      </w:pPr>
    </w:p>
    <w:p w14:paraId="7D32F401" w14:textId="77777777" w:rsidR="00F55E18" w:rsidRDefault="00F55E18" w:rsidP="00B3738B">
      <w:pPr>
        <w:jc w:val="center"/>
        <w:rPr>
          <w:rFonts w:ascii="Arial" w:hAnsi="Arial" w:cs="Arial"/>
          <w:sz w:val="20"/>
          <w:szCs w:val="20"/>
        </w:rPr>
      </w:pPr>
    </w:p>
    <w:p w14:paraId="5A4B477E" w14:textId="77777777" w:rsidR="00F55E18" w:rsidRDefault="00F55E18" w:rsidP="00B3738B">
      <w:pPr>
        <w:jc w:val="center"/>
        <w:rPr>
          <w:rFonts w:ascii="Arial" w:hAnsi="Arial" w:cs="Arial"/>
          <w:sz w:val="20"/>
          <w:szCs w:val="20"/>
        </w:rPr>
      </w:pPr>
    </w:p>
    <w:p w14:paraId="1EA5132E" w14:textId="77777777" w:rsidR="00F55E18" w:rsidRDefault="00F55E18" w:rsidP="00B3738B">
      <w:pPr>
        <w:jc w:val="center"/>
        <w:rPr>
          <w:rFonts w:ascii="Arial" w:hAnsi="Arial" w:cs="Arial"/>
          <w:sz w:val="20"/>
          <w:szCs w:val="20"/>
        </w:rPr>
      </w:pPr>
    </w:p>
    <w:p w14:paraId="79CED348" w14:textId="77777777" w:rsidR="00F55E18" w:rsidRDefault="00F55E18" w:rsidP="00B3738B">
      <w:pPr>
        <w:jc w:val="center"/>
        <w:rPr>
          <w:rFonts w:ascii="Arial" w:hAnsi="Arial" w:cs="Arial"/>
          <w:sz w:val="20"/>
          <w:szCs w:val="20"/>
        </w:rPr>
      </w:pPr>
    </w:p>
    <w:p w14:paraId="48529CB0" w14:textId="3DDD9CA2" w:rsidR="00B3738B" w:rsidRPr="00F55E18" w:rsidRDefault="00B3738B" w:rsidP="00B3738B">
      <w:pPr>
        <w:jc w:val="center"/>
        <w:rPr>
          <w:rFonts w:ascii="Arial" w:hAnsi="Arial" w:cs="Arial"/>
        </w:rPr>
      </w:pPr>
      <w:r w:rsidRPr="00F55E18">
        <w:rPr>
          <w:rFonts w:ascii="Arial" w:hAnsi="Arial" w:cs="Arial"/>
          <w:sz w:val="20"/>
          <w:szCs w:val="20"/>
        </w:rPr>
        <w:t>Fuente: Dirección de Vigilancia de la Salud</w:t>
      </w:r>
    </w:p>
    <w:p w14:paraId="2451E28E" w14:textId="77777777" w:rsidR="00B3738B" w:rsidRDefault="00B3738B" w:rsidP="00B3738B"/>
    <w:p w14:paraId="4CD014DC" w14:textId="77777777" w:rsidR="00F55E18" w:rsidRDefault="00F55E18" w:rsidP="00B3738B"/>
    <w:p w14:paraId="746D3A86" w14:textId="6EF0E4C1" w:rsidR="00B3738B" w:rsidRDefault="00B3738B" w:rsidP="00616421">
      <w:pPr>
        <w:pStyle w:val="Ttulo3"/>
        <w:numPr>
          <w:ilvl w:val="0"/>
          <w:numId w:val="10"/>
        </w:numPr>
        <w:rPr>
          <w:rFonts w:ascii="Arial" w:hAnsi="Arial"/>
          <w:color w:val="2F5496" w:themeColor="accent1" w:themeShade="BF"/>
          <w:sz w:val="28"/>
          <w:szCs w:val="26"/>
        </w:rPr>
      </w:pPr>
      <w:bookmarkStart w:id="8" w:name="_Toc223014946"/>
      <w:r w:rsidRPr="00F55E18">
        <w:rPr>
          <w:rFonts w:ascii="Arial" w:hAnsi="Arial"/>
          <w:color w:val="2F5496" w:themeColor="accent1" w:themeShade="BF"/>
          <w:sz w:val="28"/>
          <w:szCs w:val="26"/>
        </w:rPr>
        <w:t>Tipo de brote</w:t>
      </w:r>
      <w:bookmarkEnd w:id="8"/>
    </w:p>
    <w:p w14:paraId="37E53361" w14:textId="77777777" w:rsidR="00616421" w:rsidRPr="00616421" w:rsidRDefault="00616421" w:rsidP="00616421">
      <w:pPr>
        <w:pStyle w:val="Prrafodelista"/>
      </w:pPr>
    </w:p>
    <w:p w14:paraId="1D6B17D3" w14:textId="77777777" w:rsidR="00B3738B" w:rsidRPr="00F55E18" w:rsidRDefault="00B3738B" w:rsidP="00F55E18">
      <w:pPr>
        <w:spacing w:line="360" w:lineRule="auto"/>
        <w:rPr>
          <w:rFonts w:ascii="Arial" w:hAnsi="Arial" w:cs="Arial"/>
          <w:sz w:val="22"/>
          <w:szCs w:val="22"/>
        </w:rPr>
      </w:pPr>
      <w:r w:rsidRPr="00F55E18">
        <w:rPr>
          <w:rFonts w:ascii="Arial" w:hAnsi="Arial" w:cs="Arial"/>
          <w:sz w:val="22"/>
          <w:szCs w:val="22"/>
        </w:rPr>
        <w:t>Los brotes se categorizaron principalmente como:</w:t>
      </w:r>
    </w:p>
    <w:p w14:paraId="307DB7EB" w14:textId="77777777" w:rsidR="00B3738B" w:rsidRPr="00F55E18" w:rsidRDefault="00B3738B" w:rsidP="00F55E18">
      <w:pPr>
        <w:numPr>
          <w:ilvl w:val="0"/>
          <w:numId w:val="3"/>
        </w:numPr>
        <w:suppressAutoHyphens/>
        <w:autoSpaceDN w:val="0"/>
        <w:spacing w:after="160" w:line="360" w:lineRule="auto"/>
        <w:rPr>
          <w:rFonts w:ascii="Arial" w:hAnsi="Arial" w:cs="Arial"/>
          <w:sz w:val="22"/>
          <w:szCs w:val="22"/>
        </w:rPr>
      </w:pPr>
      <w:r w:rsidRPr="00F55E18">
        <w:rPr>
          <w:rFonts w:ascii="Arial" w:hAnsi="Arial" w:cs="Arial"/>
          <w:sz w:val="22"/>
          <w:szCs w:val="22"/>
        </w:rPr>
        <w:lastRenderedPageBreak/>
        <w:t>EDA: Enfermedad diarreica aguda, en varios casos sin identificación etiológica confirmada.</w:t>
      </w:r>
    </w:p>
    <w:p w14:paraId="62058A09" w14:textId="77777777" w:rsidR="00B3738B" w:rsidRPr="00F55E18" w:rsidRDefault="00B3738B" w:rsidP="00F55E18">
      <w:pPr>
        <w:numPr>
          <w:ilvl w:val="0"/>
          <w:numId w:val="3"/>
        </w:numPr>
        <w:suppressAutoHyphens/>
        <w:autoSpaceDN w:val="0"/>
        <w:spacing w:after="160" w:line="360" w:lineRule="auto"/>
        <w:rPr>
          <w:rFonts w:ascii="Arial" w:hAnsi="Arial" w:cs="Arial"/>
          <w:sz w:val="22"/>
          <w:szCs w:val="22"/>
        </w:rPr>
      </w:pPr>
      <w:r w:rsidRPr="00F55E18">
        <w:rPr>
          <w:rFonts w:ascii="Arial" w:hAnsi="Arial" w:cs="Arial"/>
          <w:sz w:val="22"/>
          <w:szCs w:val="22"/>
        </w:rPr>
        <w:t>ETA: Brotes asociados al consumo de alimentos específicos, con sospecha o confirmación de origen alimentario.</w:t>
      </w:r>
    </w:p>
    <w:p w14:paraId="098D690B" w14:textId="77777777" w:rsidR="00B3738B" w:rsidRPr="00F55E18" w:rsidRDefault="00B3738B" w:rsidP="00F55E18">
      <w:pPr>
        <w:spacing w:line="360" w:lineRule="auto"/>
        <w:rPr>
          <w:rFonts w:ascii="Arial" w:hAnsi="Arial" w:cs="Arial"/>
          <w:sz w:val="22"/>
          <w:szCs w:val="22"/>
        </w:rPr>
      </w:pPr>
      <w:r w:rsidRPr="00F55E18">
        <w:rPr>
          <w:rFonts w:ascii="Arial" w:hAnsi="Arial" w:cs="Arial"/>
          <w:sz w:val="22"/>
          <w:szCs w:val="22"/>
        </w:rPr>
        <w:t>La coexistencia de brotes EDA y ETA refleja la necesidad de fortalecer la confirmación etiológica y la investigación epidemiológica oportuna.</w:t>
      </w:r>
    </w:p>
    <w:p w14:paraId="11038272" w14:textId="53679CE9" w:rsidR="00B3738B" w:rsidRDefault="00B3738B" w:rsidP="00616421">
      <w:pPr>
        <w:pStyle w:val="Ttulo3"/>
        <w:numPr>
          <w:ilvl w:val="0"/>
          <w:numId w:val="10"/>
        </w:numPr>
        <w:rPr>
          <w:rFonts w:ascii="Arial" w:hAnsi="Arial"/>
          <w:color w:val="2F5496" w:themeColor="accent1" w:themeShade="BF"/>
          <w:sz w:val="28"/>
          <w:szCs w:val="26"/>
        </w:rPr>
      </w:pPr>
      <w:bookmarkStart w:id="9" w:name="_Toc223014947"/>
      <w:r w:rsidRPr="00616421">
        <w:rPr>
          <w:rFonts w:ascii="Arial" w:hAnsi="Arial"/>
          <w:color w:val="2F5496" w:themeColor="accent1" w:themeShade="BF"/>
          <w:sz w:val="28"/>
          <w:szCs w:val="26"/>
        </w:rPr>
        <w:t>Distribución por lugar de ocurrencia</w:t>
      </w:r>
      <w:bookmarkEnd w:id="9"/>
    </w:p>
    <w:p w14:paraId="5DD51A87" w14:textId="77777777" w:rsidR="00616421" w:rsidRPr="00616421" w:rsidRDefault="00616421" w:rsidP="00616421">
      <w:pPr>
        <w:pStyle w:val="Prrafodelista"/>
      </w:pPr>
    </w:p>
    <w:p w14:paraId="4EB012C6" w14:textId="77777777" w:rsidR="00B3738B" w:rsidRPr="00616421" w:rsidRDefault="00B3738B" w:rsidP="00616421">
      <w:pPr>
        <w:spacing w:line="360" w:lineRule="auto"/>
        <w:rPr>
          <w:rFonts w:ascii="Arial" w:hAnsi="Arial" w:cs="Arial"/>
          <w:sz w:val="22"/>
          <w:szCs w:val="22"/>
        </w:rPr>
      </w:pPr>
      <w:r w:rsidRPr="00616421">
        <w:rPr>
          <w:rFonts w:ascii="Arial" w:hAnsi="Arial" w:cs="Arial"/>
          <w:sz w:val="22"/>
          <w:szCs w:val="22"/>
        </w:rPr>
        <w:t>Los brotes sucedieron en distintos escenarios, entre ellos:</w:t>
      </w:r>
    </w:p>
    <w:p w14:paraId="53CD1B15" w14:textId="77777777" w:rsidR="00B3738B" w:rsidRPr="00616421" w:rsidRDefault="00B3738B" w:rsidP="00616421">
      <w:pPr>
        <w:numPr>
          <w:ilvl w:val="0"/>
          <w:numId w:val="4"/>
        </w:numPr>
        <w:suppressAutoHyphens/>
        <w:autoSpaceDN w:val="0"/>
        <w:spacing w:after="160" w:line="360" w:lineRule="auto"/>
        <w:rPr>
          <w:rFonts w:ascii="Arial" w:hAnsi="Arial" w:cs="Arial"/>
          <w:sz w:val="22"/>
          <w:szCs w:val="22"/>
        </w:rPr>
      </w:pPr>
      <w:r w:rsidRPr="00616421">
        <w:rPr>
          <w:rFonts w:ascii="Arial" w:hAnsi="Arial" w:cs="Arial"/>
          <w:sz w:val="22"/>
          <w:szCs w:val="22"/>
        </w:rPr>
        <w:t>Establecimientos de salud (hospitales)</w:t>
      </w:r>
    </w:p>
    <w:p w14:paraId="7E94D6B5" w14:textId="77777777" w:rsidR="00B3738B" w:rsidRPr="00616421" w:rsidRDefault="00B3738B" w:rsidP="00616421">
      <w:pPr>
        <w:numPr>
          <w:ilvl w:val="0"/>
          <w:numId w:val="4"/>
        </w:numPr>
        <w:suppressAutoHyphens/>
        <w:autoSpaceDN w:val="0"/>
        <w:spacing w:after="160" w:line="360" w:lineRule="auto"/>
        <w:rPr>
          <w:rFonts w:ascii="Arial" w:hAnsi="Arial" w:cs="Arial"/>
          <w:sz w:val="22"/>
          <w:szCs w:val="22"/>
        </w:rPr>
      </w:pPr>
      <w:r w:rsidRPr="00616421">
        <w:rPr>
          <w:rFonts w:ascii="Arial" w:hAnsi="Arial" w:cs="Arial"/>
          <w:sz w:val="22"/>
          <w:szCs w:val="22"/>
        </w:rPr>
        <w:t>Hogares de larga estancia</w:t>
      </w:r>
    </w:p>
    <w:p w14:paraId="2EFDD50B" w14:textId="77777777" w:rsidR="00B3738B" w:rsidRPr="00616421" w:rsidRDefault="00B3738B" w:rsidP="00616421">
      <w:pPr>
        <w:numPr>
          <w:ilvl w:val="0"/>
          <w:numId w:val="4"/>
        </w:numPr>
        <w:suppressAutoHyphens/>
        <w:autoSpaceDN w:val="0"/>
        <w:spacing w:after="160" w:line="360" w:lineRule="auto"/>
        <w:rPr>
          <w:rFonts w:ascii="Arial" w:hAnsi="Arial" w:cs="Arial"/>
          <w:sz w:val="22"/>
          <w:szCs w:val="22"/>
        </w:rPr>
      </w:pPr>
      <w:r w:rsidRPr="00616421">
        <w:rPr>
          <w:rFonts w:ascii="Arial" w:hAnsi="Arial" w:cs="Arial"/>
          <w:sz w:val="22"/>
          <w:szCs w:val="22"/>
        </w:rPr>
        <w:t>Centros educativos</w:t>
      </w:r>
    </w:p>
    <w:p w14:paraId="5AE2C110" w14:textId="77777777" w:rsidR="00B3738B" w:rsidRPr="00616421" w:rsidRDefault="00B3738B" w:rsidP="00616421">
      <w:pPr>
        <w:numPr>
          <w:ilvl w:val="0"/>
          <w:numId w:val="4"/>
        </w:numPr>
        <w:suppressAutoHyphens/>
        <w:autoSpaceDN w:val="0"/>
        <w:spacing w:after="160" w:line="360" w:lineRule="auto"/>
        <w:rPr>
          <w:rFonts w:ascii="Arial" w:hAnsi="Arial" w:cs="Arial"/>
          <w:sz w:val="22"/>
          <w:szCs w:val="22"/>
        </w:rPr>
      </w:pPr>
      <w:r w:rsidRPr="00616421">
        <w:rPr>
          <w:rFonts w:ascii="Arial" w:hAnsi="Arial" w:cs="Arial"/>
          <w:sz w:val="22"/>
          <w:szCs w:val="22"/>
        </w:rPr>
        <w:t>Establecimientos comerciales (venta o preparación de alimentos)</w:t>
      </w:r>
    </w:p>
    <w:p w14:paraId="48157A3F" w14:textId="77777777" w:rsidR="00B3738B" w:rsidRPr="00616421" w:rsidRDefault="00B3738B" w:rsidP="00616421">
      <w:pPr>
        <w:spacing w:line="360" w:lineRule="auto"/>
        <w:rPr>
          <w:rFonts w:ascii="Arial" w:hAnsi="Arial" w:cs="Arial"/>
          <w:sz w:val="22"/>
          <w:szCs w:val="22"/>
        </w:rPr>
      </w:pPr>
      <w:r w:rsidRPr="00616421">
        <w:rPr>
          <w:rFonts w:ascii="Arial" w:hAnsi="Arial" w:cs="Arial"/>
          <w:sz w:val="22"/>
          <w:szCs w:val="22"/>
        </w:rPr>
        <w:t>Los brotes ocurridos en establecimientos institucionales</w:t>
      </w:r>
      <w:r w:rsidRPr="00616421">
        <w:rPr>
          <w:rFonts w:ascii="Arial" w:hAnsi="Arial" w:cs="Arial"/>
          <w:sz w:val="22"/>
          <w:szCs w:val="22"/>
        </w:rPr>
        <w:footnoteReference w:id="1"/>
      </w:r>
      <w:r w:rsidRPr="00616421">
        <w:rPr>
          <w:rFonts w:ascii="Arial" w:hAnsi="Arial" w:cs="Arial"/>
          <w:sz w:val="22"/>
          <w:szCs w:val="22"/>
        </w:rPr>
        <w:t xml:space="preserve"> requieren especial atención por su potencial de afectar poblaciones vulnerables y generar eventos de mayor magnitud.</w:t>
      </w:r>
    </w:p>
    <w:p w14:paraId="5EEF11E9" w14:textId="77777777" w:rsidR="00190C82" w:rsidRDefault="00190C82" w:rsidP="00616421">
      <w:pPr>
        <w:spacing w:line="360" w:lineRule="auto"/>
        <w:rPr>
          <w:rFonts w:ascii="Arial" w:hAnsi="Arial" w:cs="Arial"/>
          <w:sz w:val="22"/>
          <w:szCs w:val="22"/>
        </w:rPr>
      </w:pPr>
    </w:p>
    <w:p w14:paraId="4D5F765C" w14:textId="77777777" w:rsidR="00190C82" w:rsidRDefault="00190C82" w:rsidP="00616421">
      <w:pPr>
        <w:spacing w:line="360" w:lineRule="auto"/>
        <w:rPr>
          <w:rFonts w:ascii="Arial" w:hAnsi="Arial" w:cs="Arial"/>
          <w:sz w:val="22"/>
          <w:szCs w:val="22"/>
        </w:rPr>
      </w:pPr>
    </w:p>
    <w:p w14:paraId="2F7FF10D" w14:textId="77777777" w:rsidR="00190C82" w:rsidRDefault="00190C82" w:rsidP="00616421">
      <w:pPr>
        <w:spacing w:line="360" w:lineRule="auto"/>
        <w:rPr>
          <w:rFonts w:ascii="Arial" w:hAnsi="Arial" w:cs="Arial"/>
          <w:sz w:val="22"/>
          <w:szCs w:val="22"/>
        </w:rPr>
      </w:pPr>
    </w:p>
    <w:p w14:paraId="2FFDE891" w14:textId="77777777" w:rsidR="00190C82" w:rsidRDefault="00190C82" w:rsidP="00616421">
      <w:pPr>
        <w:spacing w:line="360" w:lineRule="auto"/>
        <w:rPr>
          <w:rFonts w:ascii="Arial" w:hAnsi="Arial" w:cs="Arial"/>
          <w:sz w:val="22"/>
          <w:szCs w:val="22"/>
        </w:rPr>
      </w:pPr>
    </w:p>
    <w:p w14:paraId="4F15961F" w14:textId="77777777" w:rsidR="00190C82" w:rsidRDefault="00190C82" w:rsidP="00616421">
      <w:pPr>
        <w:spacing w:line="360" w:lineRule="auto"/>
        <w:rPr>
          <w:rFonts w:ascii="Arial" w:hAnsi="Arial" w:cs="Arial"/>
          <w:sz w:val="22"/>
          <w:szCs w:val="22"/>
        </w:rPr>
      </w:pPr>
    </w:p>
    <w:p w14:paraId="7C862E23" w14:textId="77777777" w:rsidR="00190C82" w:rsidRDefault="00190C82" w:rsidP="00616421">
      <w:pPr>
        <w:spacing w:line="360" w:lineRule="auto"/>
        <w:rPr>
          <w:rFonts w:ascii="Arial" w:hAnsi="Arial" w:cs="Arial"/>
          <w:sz w:val="22"/>
          <w:szCs w:val="22"/>
        </w:rPr>
      </w:pPr>
    </w:p>
    <w:p w14:paraId="4DA8094B" w14:textId="77777777" w:rsidR="00190C82" w:rsidRDefault="00190C82" w:rsidP="00616421">
      <w:pPr>
        <w:spacing w:line="360" w:lineRule="auto"/>
        <w:rPr>
          <w:rFonts w:ascii="Arial" w:hAnsi="Arial" w:cs="Arial"/>
          <w:sz w:val="22"/>
          <w:szCs w:val="22"/>
        </w:rPr>
      </w:pPr>
    </w:p>
    <w:p w14:paraId="4413B212" w14:textId="77777777" w:rsidR="00190C82" w:rsidRDefault="00190C82" w:rsidP="00616421">
      <w:pPr>
        <w:spacing w:line="360" w:lineRule="auto"/>
        <w:rPr>
          <w:rFonts w:ascii="Arial" w:hAnsi="Arial" w:cs="Arial"/>
          <w:sz w:val="22"/>
          <w:szCs w:val="22"/>
        </w:rPr>
      </w:pPr>
    </w:p>
    <w:p w14:paraId="7AFFB141" w14:textId="42795737" w:rsidR="00B3738B" w:rsidRDefault="00B3738B" w:rsidP="00616421">
      <w:pPr>
        <w:spacing w:line="360" w:lineRule="auto"/>
        <w:rPr>
          <w:rFonts w:ascii="Arial" w:hAnsi="Arial" w:cs="Arial"/>
          <w:sz w:val="22"/>
          <w:szCs w:val="22"/>
        </w:rPr>
      </w:pPr>
      <w:r w:rsidRPr="00616421">
        <w:rPr>
          <w:rFonts w:ascii="Arial" w:hAnsi="Arial" w:cs="Arial"/>
          <w:sz w:val="22"/>
          <w:szCs w:val="22"/>
        </w:rPr>
        <w:lastRenderedPageBreak/>
        <w:t>Gráfico 3.</w:t>
      </w:r>
    </w:p>
    <w:p w14:paraId="0B08B43A" w14:textId="77777777" w:rsidR="00190C82" w:rsidRPr="00616421" w:rsidRDefault="00190C82" w:rsidP="00616421">
      <w:pPr>
        <w:spacing w:line="360" w:lineRule="auto"/>
        <w:rPr>
          <w:rFonts w:ascii="Arial" w:hAnsi="Arial" w:cs="Arial"/>
          <w:sz w:val="22"/>
          <w:szCs w:val="22"/>
        </w:rPr>
      </w:pPr>
    </w:p>
    <w:p w14:paraId="3E3FF9CF" w14:textId="4F6F0B8C" w:rsidR="00B3738B" w:rsidRPr="00616421" w:rsidRDefault="00B3738B" w:rsidP="00B3738B">
      <w:pPr>
        <w:jc w:val="center"/>
        <w:rPr>
          <w:rFonts w:ascii="Arial" w:hAnsi="Arial" w:cs="Arial"/>
          <w:b/>
          <w:bCs/>
          <w:sz w:val="22"/>
          <w:szCs w:val="22"/>
        </w:rPr>
      </w:pPr>
      <w:r w:rsidRPr="00616421">
        <w:rPr>
          <w:rFonts w:ascii="Arial" w:hAnsi="Arial" w:cs="Arial"/>
          <w:b/>
          <w:bCs/>
          <w:sz w:val="22"/>
          <w:szCs w:val="22"/>
        </w:rPr>
        <w:t>Costa Rica. Distribución de brotes ETA–EDA según lugar de ocurrencia, 2025</w:t>
      </w:r>
    </w:p>
    <w:p w14:paraId="375F42F5" w14:textId="1F9F5FBB" w:rsidR="00B3738B" w:rsidRDefault="00190C82" w:rsidP="006E7102">
      <w:pPr>
        <w:jc w:val="center"/>
      </w:pPr>
      <w:r>
        <w:rPr>
          <w:noProof/>
        </w:rPr>
        <mc:AlternateContent>
          <mc:Choice Requires="cx1">
            <w:drawing>
              <wp:anchor distT="0" distB="0" distL="114300" distR="114300" simplePos="0" relativeHeight="251673600" behindDoc="1" locked="0" layoutInCell="1" allowOverlap="1" wp14:anchorId="6F286833" wp14:editId="000E97A2">
                <wp:simplePos x="0" y="0"/>
                <wp:positionH relativeFrom="column">
                  <wp:posOffset>533400</wp:posOffset>
                </wp:positionH>
                <wp:positionV relativeFrom="paragraph">
                  <wp:posOffset>168910</wp:posOffset>
                </wp:positionV>
                <wp:extent cx="4743450" cy="3514726"/>
                <wp:effectExtent l="0" t="0" r="0" b="9525"/>
                <wp:wrapNone/>
                <wp:docPr id="235346304" name="Gráfico 1">
                  <a:extLst xmlns:a="http://schemas.openxmlformats.org/drawingml/2006/main">
                    <a:ext uri="{FF2B5EF4-FFF2-40B4-BE49-F238E27FC236}">
                      <a16:creationId xmlns:a16="http://schemas.microsoft.com/office/drawing/2014/main" id="{B66108C9-3BC2-E7FE-53CB-D0EBC337D1E2}"/>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6"/>
                  </a:graphicData>
                </a:graphic>
              </wp:anchor>
            </w:drawing>
          </mc:Choice>
          <mc:Fallback>
            <w:drawing>
              <wp:anchor distT="0" distB="0" distL="114300" distR="114300" simplePos="0" relativeHeight="251673600" behindDoc="1" locked="0" layoutInCell="1" allowOverlap="1" wp14:anchorId="6F286833" wp14:editId="000E97A2">
                <wp:simplePos x="0" y="0"/>
                <wp:positionH relativeFrom="column">
                  <wp:posOffset>533400</wp:posOffset>
                </wp:positionH>
                <wp:positionV relativeFrom="paragraph">
                  <wp:posOffset>168910</wp:posOffset>
                </wp:positionV>
                <wp:extent cx="4743450" cy="3514726"/>
                <wp:effectExtent l="0" t="0" r="0" b="9525"/>
                <wp:wrapNone/>
                <wp:docPr id="235346304" name="Gráfico 1">
                  <a:extLst xmlns:a="http://schemas.openxmlformats.org/drawingml/2006/main">
                    <a:ext uri="{FF2B5EF4-FFF2-40B4-BE49-F238E27FC236}">
                      <a16:creationId xmlns:a16="http://schemas.microsoft.com/office/drawing/2014/main" id="{B66108C9-3BC2-E7FE-53CB-D0EBC337D1E2}"/>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5346304" name="Gráfico 1">
                          <a:extLst>
                            <a:ext uri="{FF2B5EF4-FFF2-40B4-BE49-F238E27FC236}">
                              <a16:creationId xmlns:a16="http://schemas.microsoft.com/office/drawing/2014/main" id="{B66108C9-3BC2-E7FE-53CB-D0EBC337D1E2}"/>
                            </a:ext>
                          </a:extLst>
                        </pic:cNvPr>
                        <pic:cNvPicPr>
                          <a:picLocks noGrp="1" noRot="1" noChangeAspect="1" noMove="1" noResize="1" noEditPoints="1" noAdjustHandles="1" noChangeArrowheads="1" noChangeShapeType="1"/>
                        </pic:cNvPicPr>
                      </pic:nvPicPr>
                      <pic:blipFill>
                        <a:blip r:embed="rId17"/>
                        <a:stretch>
                          <a:fillRect/>
                        </a:stretch>
                      </pic:blipFill>
                      <pic:spPr>
                        <a:xfrm>
                          <a:off x="0" y="0"/>
                          <a:ext cx="4743450" cy="3514725"/>
                        </a:xfrm>
                        <a:prstGeom prst="rect">
                          <a:avLst/>
                        </a:prstGeom>
                      </pic:spPr>
                    </pic:pic>
                  </a:graphicData>
                </a:graphic>
              </wp:anchor>
            </w:drawing>
          </mc:Fallback>
        </mc:AlternateContent>
      </w:r>
      <w:r w:rsidR="006E7102">
        <w:t>(n=20)</w:t>
      </w:r>
    </w:p>
    <w:p w14:paraId="5C9872CA" w14:textId="1AE87B82" w:rsidR="00B3738B" w:rsidRDefault="00B3738B" w:rsidP="00B3738B"/>
    <w:p w14:paraId="5F789BA7" w14:textId="77777777" w:rsidR="00B3738B" w:rsidRDefault="00B3738B" w:rsidP="00B3738B"/>
    <w:p w14:paraId="30F84191" w14:textId="6F669A55" w:rsidR="00B3738B" w:rsidRDefault="00B3738B" w:rsidP="00B3738B"/>
    <w:p w14:paraId="3EF820BB" w14:textId="77777777" w:rsidR="00B3738B" w:rsidRDefault="00B3738B" w:rsidP="00B3738B"/>
    <w:p w14:paraId="500C8398" w14:textId="77777777" w:rsidR="00B3738B" w:rsidRDefault="00B3738B" w:rsidP="00B3738B"/>
    <w:p w14:paraId="29290EE5" w14:textId="77777777" w:rsidR="00B26B08" w:rsidRDefault="00B26B08" w:rsidP="00B3738B"/>
    <w:p w14:paraId="0E21C1B6" w14:textId="77777777" w:rsidR="00B26B08" w:rsidRDefault="00B26B08" w:rsidP="00B3738B"/>
    <w:p w14:paraId="6B29708D" w14:textId="77777777" w:rsidR="00B26B08" w:rsidRDefault="00B26B08" w:rsidP="00B3738B"/>
    <w:p w14:paraId="510CC6A7" w14:textId="77777777" w:rsidR="00B26B08" w:rsidRDefault="00B26B08" w:rsidP="00B3738B"/>
    <w:p w14:paraId="0B213A02" w14:textId="77777777" w:rsidR="00B3738B" w:rsidRDefault="00B3738B" w:rsidP="00B3738B"/>
    <w:p w14:paraId="14BB25C3" w14:textId="77777777" w:rsidR="00B3738B" w:rsidRDefault="00B3738B" w:rsidP="00B3738B"/>
    <w:p w14:paraId="6AA464CE" w14:textId="77777777" w:rsidR="00B3738B" w:rsidRDefault="00B3738B" w:rsidP="00B3738B"/>
    <w:p w14:paraId="3FBC312A" w14:textId="77777777" w:rsidR="00B3738B" w:rsidRDefault="00B3738B" w:rsidP="00B3738B"/>
    <w:p w14:paraId="53DCAA75" w14:textId="77777777" w:rsidR="00B3738B" w:rsidRDefault="00B3738B" w:rsidP="00B3738B"/>
    <w:p w14:paraId="538435BA" w14:textId="77777777" w:rsidR="00B3738B" w:rsidRDefault="00B3738B" w:rsidP="00B3738B"/>
    <w:p w14:paraId="4FC0BC23" w14:textId="77777777" w:rsidR="00190C82" w:rsidRDefault="00190C82" w:rsidP="00B3738B"/>
    <w:p w14:paraId="273E3CB4" w14:textId="77777777" w:rsidR="00190C82" w:rsidRDefault="00190C82" w:rsidP="00B3738B"/>
    <w:p w14:paraId="65CF45B6" w14:textId="77777777" w:rsidR="00190C82" w:rsidRDefault="00190C82" w:rsidP="00B3738B"/>
    <w:p w14:paraId="1FEB9F50" w14:textId="77777777" w:rsidR="003D707C" w:rsidRDefault="003D707C" w:rsidP="00B3738B">
      <w:pPr>
        <w:jc w:val="center"/>
        <w:rPr>
          <w:rFonts w:ascii="Arial" w:hAnsi="Arial" w:cs="Arial"/>
          <w:sz w:val="20"/>
          <w:szCs w:val="20"/>
        </w:rPr>
      </w:pPr>
    </w:p>
    <w:p w14:paraId="120DF7A4" w14:textId="4B589226" w:rsidR="00B3738B" w:rsidRPr="006E7102" w:rsidRDefault="00B3738B" w:rsidP="00B3738B">
      <w:pPr>
        <w:jc w:val="center"/>
        <w:rPr>
          <w:rFonts w:ascii="Arial" w:hAnsi="Arial" w:cs="Arial"/>
        </w:rPr>
      </w:pPr>
      <w:r w:rsidRPr="006E7102">
        <w:rPr>
          <w:rFonts w:ascii="Arial" w:hAnsi="Arial" w:cs="Arial"/>
          <w:sz w:val="20"/>
          <w:szCs w:val="20"/>
        </w:rPr>
        <w:t>Fuente: Dirección de Vigilancia de la Salud</w:t>
      </w:r>
    </w:p>
    <w:p w14:paraId="0D13C2BE" w14:textId="77777777" w:rsidR="00AA056F" w:rsidRDefault="00AA056F" w:rsidP="00AA056F">
      <w:pPr>
        <w:pStyle w:val="Ttulo3"/>
        <w:ind w:left="720"/>
        <w:rPr>
          <w:rFonts w:ascii="Arial" w:hAnsi="Arial"/>
          <w:color w:val="2F5496" w:themeColor="accent1" w:themeShade="BF"/>
          <w:sz w:val="28"/>
          <w:szCs w:val="26"/>
        </w:rPr>
      </w:pPr>
    </w:p>
    <w:p w14:paraId="3CE2049A" w14:textId="6F5A7CEE" w:rsidR="00B3738B" w:rsidRDefault="00B3738B" w:rsidP="00AA056F">
      <w:pPr>
        <w:pStyle w:val="Ttulo3"/>
        <w:numPr>
          <w:ilvl w:val="0"/>
          <w:numId w:val="10"/>
        </w:numPr>
        <w:rPr>
          <w:rFonts w:ascii="Arial" w:hAnsi="Arial"/>
          <w:color w:val="2F5496" w:themeColor="accent1" w:themeShade="BF"/>
          <w:sz w:val="28"/>
          <w:szCs w:val="26"/>
        </w:rPr>
      </w:pPr>
      <w:bookmarkStart w:id="10" w:name="_Toc223014948"/>
      <w:r w:rsidRPr="00AA056F">
        <w:rPr>
          <w:rFonts w:ascii="Arial" w:hAnsi="Arial"/>
          <w:color w:val="2F5496" w:themeColor="accent1" w:themeShade="BF"/>
          <w:sz w:val="28"/>
          <w:szCs w:val="26"/>
        </w:rPr>
        <w:t>Población afectada</w:t>
      </w:r>
      <w:bookmarkEnd w:id="10"/>
    </w:p>
    <w:p w14:paraId="2CF5DE36" w14:textId="77777777" w:rsidR="00AA056F" w:rsidRPr="00AA056F" w:rsidRDefault="00AA056F" w:rsidP="00AA056F">
      <w:pPr>
        <w:pStyle w:val="Prrafodelista"/>
      </w:pPr>
    </w:p>
    <w:p w14:paraId="45D7605C" w14:textId="77777777" w:rsidR="00B3738B" w:rsidRPr="001435BB" w:rsidRDefault="00B3738B" w:rsidP="001435BB">
      <w:pPr>
        <w:spacing w:line="360" w:lineRule="auto"/>
        <w:rPr>
          <w:rFonts w:ascii="Arial" w:hAnsi="Arial" w:cs="Arial"/>
          <w:sz w:val="22"/>
          <w:szCs w:val="22"/>
        </w:rPr>
      </w:pPr>
      <w:r w:rsidRPr="001435BB">
        <w:rPr>
          <w:rFonts w:ascii="Arial" w:hAnsi="Arial" w:cs="Arial"/>
          <w:sz w:val="22"/>
          <w:szCs w:val="22"/>
        </w:rPr>
        <w:t xml:space="preserve">La información disponible indica que, durante el año 2025, se registraron 13 hospitalizaciones asociadas a brotes relacionados con enfermedad diarreica aguda (EDA) y enfermedades transmitidas por alimentos (ETA) en la población general, incluyendo niños y adultos. No se reportaron fallecimientos relacionados con estos eventos. </w:t>
      </w:r>
    </w:p>
    <w:p w14:paraId="72989025" w14:textId="77777777" w:rsidR="00B3738B" w:rsidRPr="001435BB" w:rsidRDefault="00B3738B" w:rsidP="001435BB">
      <w:pPr>
        <w:spacing w:line="360" w:lineRule="auto"/>
        <w:rPr>
          <w:rFonts w:ascii="Arial" w:hAnsi="Arial" w:cs="Arial"/>
          <w:sz w:val="22"/>
          <w:szCs w:val="22"/>
        </w:rPr>
      </w:pPr>
      <w:r w:rsidRPr="001435BB">
        <w:rPr>
          <w:rFonts w:ascii="Arial" w:hAnsi="Arial" w:cs="Arial"/>
          <w:sz w:val="22"/>
          <w:szCs w:val="22"/>
        </w:rPr>
        <w:t>El total de personas afectadas por brotes asociados a esta causa fue de 392 personas.</w:t>
      </w:r>
    </w:p>
    <w:p w14:paraId="61DEDCC4" w14:textId="468D2042" w:rsidR="00B3738B" w:rsidRDefault="00B3738B" w:rsidP="00AA056F">
      <w:pPr>
        <w:pStyle w:val="Ttulo3"/>
        <w:numPr>
          <w:ilvl w:val="0"/>
          <w:numId w:val="10"/>
        </w:numPr>
        <w:rPr>
          <w:rFonts w:ascii="Arial" w:hAnsi="Arial"/>
          <w:color w:val="2F5496" w:themeColor="accent1" w:themeShade="BF"/>
          <w:sz w:val="28"/>
          <w:szCs w:val="26"/>
        </w:rPr>
      </w:pPr>
      <w:bookmarkStart w:id="11" w:name="_Toc223014949"/>
      <w:r w:rsidRPr="00AA056F">
        <w:rPr>
          <w:rFonts w:ascii="Arial" w:hAnsi="Arial"/>
          <w:color w:val="2F5496" w:themeColor="accent1" w:themeShade="BF"/>
          <w:sz w:val="28"/>
          <w:szCs w:val="26"/>
        </w:rPr>
        <w:t>Agente etiológico y alimento implicado</w:t>
      </w:r>
      <w:bookmarkEnd w:id="11"/>
    </w:p>
    <w:p w14:paraId="49A598AE" w14:textId="77777777" w:rsidR="00AA056F" w:rsidRPr="00AA056F" w:rsidRDefault="00AA056F" w:rsidP="00AA056F"/>
    <w:p w14:paraId="3DC838D3"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 xml:space="preserve">En seis de los veinte brotes no se identificó agente etiológico, o bien se mantuvo como sospecha. </w:t>
      </w:r>
    </w:p>
    <w:p w14:paraId="4538C687"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lastRenderedPageBreak/>
        <w:t>La ausencia de confirmación etiológica en varios brotes evidencia limitaciones relacionadas con:</w:t>
      </w:r>
    </w:p>
    <w:p w14:paraId="2E24F4A6" w14:textId="77777777" w:rsidR="00B3738B" w:rsidRPr="00AA056F" w:rsidRDefault="00B3738B" w:rsidP="003D707C">
      <w:pPr>
        <w:numPr>
          <w:ilvl w:val="0"/>
          <w:numId w:val="5"/>
        </w:numPr>
        <w:suppressAutoHyphens/>
        <w:autoSpaceDN w:val="0"/>
        <w:spacing w:after="160" w:line="360" w:lineRule="auto"/>
        <w:rPr>
          <w:rFonts w:ascii="Arial" w:hAnsi="Arial" w:cs="Arial"/>
          <w:sz w:val="22"/>
          <w:szCs w:val="22"/>
        </w:rPr>
      </w:pPr>
      <w:r w:rsidRPr="00AA056F">
        <w:rPr>
          <w:rFonts w:ascii="Arial" w:hAnsi="Arial" w:cs="Arial"/>
          <w:sz w:val="22"/>
          <w:szCs w:val="22"/>
        </w:rPr>
        <w:t>Tiempos de notificación</w:t>
      </w:r>
    </w:p>
    <w:p w14:paraId="5ACA4258" w14:textId="77777777" w:rsidR="00B3738B" w:rsidRPr="00AA056F" w:rsidRDefault="00B3738B" w:rsidP="003D707C">
      <w:pPr>
        <w:numPr>
          <w:ilvl w:val="0"/>
          <w:numId w:val="5"/>
        </w:numPr>
        <w:suppressAutoHyphens/>
        <w:autoSpaceDN w:val="0"/>
        <w:spacing w:after="160" w:line="360" w:lineRule="auto"/>
        <w:rPr>
          <w:rFonts w:ascii="Arial" w:hAnsi="Arial" w:cs="Arial"/>
          <w:sz w:val="22"/>
          <w:szCs w:val="22"/>
        </w:rPr>
      </w:pPr>
      <w:r w:rsidRPr="00AA056F">
        <w:rPr>
          <w:rFonts w:ascii="Arial" w:hAnsi="Arial" w:cs="Arial"/>
          <w:sz w:val="22"/>
          <w:szCs w:val="22"/>
        </w:rPr>
        <w:t>Recolección tardía de muestras</w:t>
      </w:r>
    </w:p>
    <w:p w14:paraId="1C601318" w14:textId="77777777" w:rsidR="00B3738B" w:rsidRPr="00AA056F" w:rsidRDefault="00B3738B" w:rsidP="003D707C">
      <w:pPr>
        <w:numPr>
          <w:ilvl w:val="0"/>
          <w:numId w:val="5"/>
        </w:numPr>
        <w:suppressAutoHyphens/>
        <w:autoSpaceDN w:val="0"/>
        <w:spacing w:after="160" w:line="360" w:lineRule="auto"/>
        <w:rPr>
          <w:rFonts w:ascii="Arial" w:hAnsi="Arial" w:cs="Arial"/>
          <w:sz w:val="22"/>
          <w:szCs w:val="22"/>
        </w:rPr>
      </w:pPr>
      <w:r w:rsidRPr="00AA056F">
        <w:rPr>
          <w:rFonts w:ascii="Arial" w:hAnsi="Arial" w:cs="Arial"/>
          <w:sz w:val="22"/>
          <w:szCs w:val="22"/>
        </w:rPr>
        <w:t>Disponibilidad de muestras de alimentos</w:t>
      </w:r>
    </w:p>
    <w:p w14:paraId="2CC9537D"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Los brotes en los cuales se identificó el agente causal se muestran a continuación:</w:t>
      </w:r>
    </w:p>
    <w:p w14:paraId="4294BF19"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Gráfico 4.</w:t>
      </w:r>
    </w:p>
    <w:p w14:paraId="5F73F002" w14:textId="77777777" w:rsidR="00B3738B" w:rsidRPr="00AA056F" w:rsidRDefault="00B3738B" w:rsidP="003D707C">
      <w:pPr>
        <w:spacing w:line="360" w:lineRule="auto"/>
        <w:jc w:val="center"/>
        <w:rPr>
          <w:rFonts w:ascii="Arial" w:hAnsi="Arial" w:cs="Arial"/>
          <w:sz w:val="22"/>
          <w:szCs w:val="22"/>
        </w:rPr>
      </w:pPr>
      <w:r w:rsidRPr="00AA056F">
        <w:rPr>
          <w:rFonts w:ascii="Arial" w:hAnsi="Arial" w:cs="Arial"/>
          <w:sz w:val="22"/>
          <w:szCs w:val="22"/>
        </w:rPr>
        <w:t>Costa Rica. Principales agentes causales de brotes ETA–EDA, 2025</w:t>
      </w:r>
    </w:p>
    <w:p w14:paraId="7DCB52F7" w14:textId="77777777" w:rsidR="00B3738B" w:rsidRPr="00AA056F" w:rsidRDefault="00B3738B" w:rsidP="003D707C">
      <w:pPr>
        <w:spacing w:line="360" w:lineRule="auto"/>
        <w:jc w:val="center"/>
        <w:rPr>
          <w:rFonts w:ascii="Arial" w:hAnsi="Arial" w:cs="Arial"/>
          <w:sz w:val="22"/>
          <w:szCs w:val="22"/>
        </w:rPr>
      </w:pPr>
    </w:p>
    <w:p w14:paraId="7C3AD08D" w14:textId="77777777" w:rsidR="00B3738B" w:rsidRPr="00AA056F" w:rsidRDefault="00B3738B" w:rsidP="003D707C">
      <w:pPr>
        <w:spacing w:line="360" w:lineRule="auto"/>
        <w:jc w:val="center"/>
        <w:rPr>
          <w:rFonts w:ascii="Arial" w:hAnsi="Arial" w:cs="Arial"/>
          <w:sz w:val="22"/>
          <w:szCs w:val="22"/>
        </w:rPr>
      </w:pPr>
      <w:r w:rsidRPr="00AA056F">
        <w:rPr>
          <w:rFonts w:ascii="Arial" w:hAnsi="Arial" w:cs="Arial"/>
          <w:noProof/>
          <w:sz w:val="22"/>
          <w:szCs w:val="22"/>
        </w:rPr>
        <w:drawing>
          <wp:inline distT="0" distB="0" distL="0" distR="0" wp14:anchorId="276BB177" wp14:editId="6983D7CD">
            <wp:extent cx="4581525" cy="2752725"/>
            <wp:effectExtent l="0" t="0" r="0" b="0"/>
            <wp:docPr id="1335630972" name="Gráfico 1">
              <a:extLst xmlns:a="http://schemas.openxmlformats.org/drawingml/2006/main">
                <a:ext uri="{FF2B5EF4-FFF2-40B4-BE49-F238E27FC236}">
                  <a16:creationId xmlns:a16="http://schemas.microsoft.com/office/drawing/2014/main" id="{F6CA8E44-FD6E-B6A4-716B-A55B209DF1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75FB71E" w14:textId="77777777" w:rsidR="00B3738B" w:rsidRPr="00AA056F" w:rsidRDefault="00B3738B" w:rsidP="003D707C">
      <w:pPr>
        <w:spacing w:line="360" w:lineRule="auto"/>
        <w:jc w:val="center"/>
        <w:rPr>
          <w:rFonts w:ascii="Arial" w:hAnsi="Arial" w:cs="Arial"/>
          <w:sz w:val="22"/>
          <w:szCs w:val="22"/>
        </w:rPr>
      </w:pPr>
    </w:p>
    <w:p w14:paraId="2E00EA84" w14:textId="77777777" w:rsidR="00B3738B" w:rsidRPr="00AA056F" w:rsidRDefault="00B3738B" w:rsidP="003D707C">
      <w:pPr>
        <w:spacing w:line="360" w:lineRule="auto"/>
        <w:jc w:val="center"/>
        <w:rPr>
          <w:rFonts w:ascii="Arial" w:hAnsi="Arial" w:cs="Arial"/>
          <w:sz w:val="22"/>
          <w:szCs w:val="22"/>
        </w:rPr>
      </w:pPr>
      <w:r w:rsidRPr="00AA056F">
        <w:rPr>
          <w:rFonts w:ascii="Arial" w:hAnsi="Arial" w:cs="Arial"/>
          <w:sz w:val="22"/>
          <w:szCs w:val="22"/>
        </w:rPr>
        <w:t>Fuente: Dirección de Vigilancia de la Salud</w:t>
      </w:r>
    </w:p>
    <w:p w14:paraId="7431A417" w14:textId="77777777" w:rsidR="00B3738B" w:rsidRPr="00AA056F" w:rsidRDefault="00B3738B" w:rsidP="003D707C">
      <w:pPr>
        <w:spacing w:line="360" w:lineRule="auto"/>
        <w:jc w:val="center"/>
        <w:rPr>
          <w:rFonts w:ascii="Arial" w:hAnsi="Arial" w:cs="Arial"/>
          <w:sz w:val="22"/>
          <w:szCs w:val="22"/>
        </w:rPr>
      </w:pPr>
    </w:p>
    <w:p w14:paraId="2F70F3E7" w14:textId="77777777" w:rsidR="00B3738B" w:rsidRPr="00AA056F" w:rsidRDefault="00B3738B" w:rsidP="003D707C">
      <w:pPr>
        <w:spacing w:line="360" w:lineRule="auto"/>
        <w:jc w:val="center"/>
        <w:rPr>
          <w:rFonts w:ascii="Arial" w:hAnsi="Arial" w:cs="Arial"/>
          <w:sz w:val="22"/>
          <w:szCs w:val="22"/>
        </w:rPr>
      </w:pPr>
    </w:p>
    <w:p w14:paraId="1B49ADFA" w14:textId="77777777" w:rsidR="00B3738B" w:rsidRPr="00AA056F" w:rsidRDefault="00B3738B" w:rsidP="003D707C">
      <w:pPr>
        <w:spacing w:line="360" w:lineRule="auto"/>
        <w:jc w:val="center"/>
        <w:rPr>
          <w:rFonts w:ascii="Arial" w:hAnsi="Arial" w:cs="Arial"/>
          <w:sz w:val="22"/>
          <w:szCs w:val="22"/>
        </w:rPr>
      </w:pPr>
    </w:p>
    <w:p w14:paraId="74A4071D" w14:textId="77777777" w:rsidR="00B3738B" w:rsidRPr="00AA056F" w:rsidRDefault="00B3738B" w:rsidP="003D707C">
      <w:pPr>
        <w:spacing w:line="360" w:lineRule="auto"/>
        <w:jc w:val="center"/>
        <w:rPr>
          <w:rFonts w:ascii="Arial" w:hAnsi="Arial" w:cs="Arial"/>
          <w:sz w:val="22"/>
          <w:szCs w:val="22"/>
        </w:rPr>
      </w:pPr>
    </w:p>
    <w:p w14:paraId="53B1E5AF" w14:textId="77777777" w:rsidR="00B3738B" w:rsidRPr="00AA056F" w:rsidRDefault="00B3738B" w:rsidP="003D707C">
      <w:pPr>
        <w:spacing w:line="360" w:lineRule="auto"/>
        <w:jc w:val="center"/>
        <w:rPr>
          <w:rFonts w:ascii="Arial" w:hAnsi="Arial" w:cs="Arial"/>
          <w:sz w:val="22"/>
          <w:szCs w:val="22"/>
        </w:rPr>
      </w:pPr>
    </w:p>
    <w:p w14:paraId="6AC5580B" w14:textId="77777777" w:rsidR="00B3738B" w:rsidRPr="00AA056F" w:rsidRDefault="00B3738B" w:rsidP="003D707C">
      <w:pPr>
        <w:spacing w:line="360" w:lineRule="auto"/>
        <w:jc w:val="center"/>
        <w:rPr>
          <w:rFonts w:ascii="Arial" w:hAnsi="Arial" w:cs="Arial"/>
          <w:sz w:val="22"/>
          <w:szCs w:val="22"/>
        </w:rPr>
      </w:pPr>
      <w:r w:rsidRPr="00AA056F">
        <w:rPr>
          <w:rFonts w:ascii="Arial" w:hAnsi="Arial" w:cs="Arial"/>
          <w:sz w:val="22"/>
          <w:szCs w:val="22"/>
        </w:rPr>
        <w:lastRenderedPageBreak/>
        <w:br/>
        <w:t>Fuente: Dirección de Vigilancia de la Salud</w:t>
      </w:r>
    </w:p>
    <w:p w14:paraId="2FCF864C" w14:textId="77777777" w:rsidR="00B3738B" w:rsidRPr="00AA056F" w:rsidRDefault="00B3738B" w:rsidP="003D707C">
      <w:pPr>
        <w:pStyle w:val="Ttulo3"/>
        <w:rPr>
          <w:rFonts w:eastAsiaTheme="minorHAnsi"/>
        </w:rPr>
      </w:pPr>
      <w:bookmarkStart w:id="12" w:name="_Toc223014950"/>
      <w:r w:rsidRPr="00AA056F">
        <w:rPr>
          <w:rFonts w:eastAsiaTheme="minorHAnsi"/>
        </w:rPr>
        <w:t>Alimento implicado</w:t>
      </w:r>
      <w:bookmarkEnd w:id="12"/>
    </w:p>
    <w:p w14:paraId="090F15D1" w14:textId="77777777" w:rsidR="003D707C" w:rsidRDefault="003D707C" w:rsidP="003D707C">
      <w:pPr>
        <w:spacing w:line="360" w:lineRule="auto"/>
        <w:rPr>
          <w:rFonts w:ascii="Arial" w:hAnsi="Arial" w:cs="Arial"/>
          <w:sz w:val="22"/>
          <w:szCs w:val="22"/>
        </w:rPr>
      </w:pPr>
    </w:p>
    <w:p w14:paraId="475FE574" w14:textId="416CE161"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Los alimentos asociados a los brotes en los cuales se obtuvieron muestras de alimentos fueron:</w:t>
      </w:r>
    </w:p>
    <w:p w14:paraId="44F276CC"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 xml:space="preserve">Queso (en dos de los brotes); </w:t>
      </w:r>
      <w:proofErr w:type="spellStart"/>
      <w:r w:rsidRPr="00AA056F">
        <w:rPr>
          <w:rFonts w:ascii="Arial" w:hAnsi="Arial" w:cs="Arial"/>
          <w:sz w:val="22"/>
          <w:szCs w:val="22"/>
        </w:rPr>
        <w:t>Staphylococcus</w:t>
      </w:r>
      <w:proofErr w:type="spellEnd"/>
      <w:r w:rsidRPr="00AA056F">
        <w:rPr>
          <w:rFonts w:ascii="Arial" w:hAnsi="Arial" w:cs="Arial"/>
          <w:sz w:val="22"/>
          <w:szCs w:val="22"/>
        </w:rPr>
        <w:t xml:space="preserve"> </w:t>
      </w:r>
      <w:proofErr w:type="spellStart"/>
      <w:r w:rsidRPr="00AA056F">
        <w:rPr>
          <w:rFonts w:ascii="Arial" w:hAnsi="Arial" w:cs="Arial"/>
          <w:sz w:val="22"/>
          <w:szCs w:val="22"/>
        </w:rPr>
        <w:t>aureus</w:t>
      </w:r>
      <w:proofErr w:type="spellEnd"/>
      <w:r w:rsidRPr="00AA056F">
        <w:rPr>
          <w:rFonts w:ascii="Arial" w:hAnsi="Arial" w:cs="Arial"/>
          <w:sz w:val="22"/>
          <w:szCs w:val="22"/>
        </w:rPr>
        <w:t xml:space="preserve"> y E. </w:t>
      </w:r>
      <w:proofErr w:type="spellStart"/>
      <w:r w:rsidRPr="00AA056F">
        <w:rPr>
          <w:rFonts w:ascii="Arial" w:hAnsi="Arial" w:cs="Arial"/>
          <w:sz w:val="22"/>
          <w:szCs w:val="22"/>
        </w:rPr>
        <w:t>coli</w:t>
      </w:r>
      <w:proofErr w:type="spellEnd"/>
      <w:r w:rsidRPr="00AA056F">
        <w:rPr>
          <w:rFonts w:ascii="Arial" w:hAnsi="Arial" w:cs="Arial"/>
          <w:sz w:val="22"/>
          <w:szCs w:val="22"/>
        </w:rPr>
        <w:t xml:space="preserve"> en uno de los brotes y Salmonella </w:t>
      </w:r>
      <w:proofErr w:type="spellStart"/>
      <w:r w:rsidRPr="00AA056F">
        <w:rPr>
          <w:rFonts w:ascii="Arial" w:hAnsi="Arial" w:cs="Arial"/>
          <w:sz w:val="22"/>
          <w:szCs w:val="22"/>
        </w:rPr>
        <w:t>spp</w:t>
      </w:r>
      <w:proofErr w:type="spellEnd"/>
      <w:r w:rsidRPr="00AA056F">
        <w:rPr>
          <w:rFonts w:ascii="Arial" w:hAnsi="Arial" w:cs="Arial"/>
          <w:sz w:val="22"/>
          <w:szCs w:val="22"/>
        </w:rPr>
        <w:t xml:space="preserve">., </w:t>
      </w:r>
      <w:proofErr w:type="spellStart"/>
      <w:proofErr w:type="gramStart"/>
      <w:r w:rsidRPr="00AA056F">
        <w:rPr>
          <w:rFonts w:ascii="Arial" w:hAnsi="Arial" w:cs="Arial"/>
          <w:sz w:val="22"/>
          <w:szCs w:val="22"/>
        </w:rPr>
        <w:t>E.coli</w:t>
      </w:r>
      <w:proofErr w:type="spellEnd"/>
      <w:proofErr w:type="gramEnd"/>
      <w:r w:rsidRPr="00AA056F">
        <w:rPr>
          <w:rFonts w:ascii="Arial" w:hAnsi="Arial" w:cs="Arial"/>
          <w:sz w:val="22"/>
          <w:szCs w:val="22"/>
        </w:rPr>
        <w:t xml:space="preserve"> y S. </w:t>
      </w:r>
      <w:proofErr w:type="spellStart"/>
      <w:r w:rsidRPr="00AA056F">
        <w:rPr>
          <w:rFonts w:ascii="Arial" w:hAnsi="Arial" w:cs="Arial"/>
          <w:sz w:val="22"/>
          <w:szCs w:val="22"/>
        </w:rPr>
        <w:t>aureus</w:t>
      </w:r>
      <w:proofErr w:type="spellEnd"/>
      <w:r w:rsidRPr="00AA056F">
        <w:rPr>
          <w:rFonts w:ascii="Arial" w:hAnsi="Arial" w:cs="Arial"/>
          <w:sz w:val="22"/>
          <w:szCs w:val="22"/>
        </w:rPr>
        <w:t xml:space="preserve"> en otro de los brotes.</w:t>
      </w:r>
    </w:p>
    <w:p w14:paraId="24C439EA" w14:textId="77777777" w:rsidR="00B3738B" w:rsidRPr="00AA056F" w:rsidRDefault="00B3738B" w:rsidP="003D707C">
      <w:pPr>
        <w:spacing w:line="360" w:lineRule="auto"/>
        <w:rPr>
          <w:rFonts w:ascii="Arial" w:hAnsi="Arial" w:cs="Arial"/>
          <w:sz w:val="22"/>
          <w:szCs w:val="22"/>
        </w:rPr>
      </w:pPr>
      <w:r w:rsidRPr="00AA056F">
        <w:rPr>
          <w:rFonts w:ascii="Arial" w:hAnsi="Arial" w:cs="Arial"/>
          <w:sz w:val="22"/>
          <w:szCs w:val="22"/>
        </w:rPr>
        <w:t xml:space="preserve">Ensalada de papa con presencia de Salmonella </w:t>
      </w:r>
      <w:proofErr w:type="spellStart"/>
      <w:r w:rsidRPr="00AA056F">
        <w:rPr>
          <w:rFonts w:ascii="Arial" w:hAnsi="Arial" w:cs="Arial"/>
          <w:sz w:val="22"/>
          <w:szCs w:val="22"/>
        </w:rPr>
        <w:t>spp</w:t>
      </w:r>
      <w:proofErr w:type="spellEnd"/>
      <w:r w:rsidRPr="00AA056F">
        <w:rPr>
          <w:rFonts w:ascii="Arial" w:hAnsi="Arial" w:cs="Arial"/>
          <w:sz w:val="22"/>
          <w:szCs w:val="22"/>
        </w:rPr>
        <w:t>.</w:t>
      </w:r>
    </w:p>
    <w:p w14:paraId="16EE9CA1" w14:textId="77777777" w:rsidR="00B3738B" w:rsidRDefault="00B3738B" w:rsidP="003D707C">
      <w:pPr>
        <w:spacing w:line="360" w:lineRule="auto"/>
        <w:rPr>
          <w:rFonts w:ascii="Arial" w:hAnsi="Arial" w:cs="Arial"/>
          <w:sz w:val="22"/>
          <w:szCs w:val="22"/>
        </w:rPr>
      </w:pPr>
      <w:r w:rsidRPr="00AA056F">
        <w:rPr>
          <w:rFonts w:ascii="Arial" w:hAnsi="Arial" w:cs="Arial"/>
          <w:sz w:val="22"/>
          <w:szCs w:val="22"/>
        </w:rPr>
        <w:t xml:space="preserve">Carne molida con presencia de E. </w:t>
      </w:r>
      <w:proofErr w:type="spellStart"/>
      <w:r w:rsidRPr="00AA056F">
        <w:rPr>
          <w:rFonts w:ascii="Arial" w:hAnsi="Arial" w:cs="Arial"/>
          <w:sz w:val="22"/>
          <w:szCs w:val="22"/>
        </w:rPr>
        <w:t>coli</w:t>
      </w:r>
      <w:proofErr w:type="spellEnd"/>
      <w:r w:rsidRPr="00AA056F">
        <w:rPr>
          <w:rFonts w:ascii="Arial" w:hAnsi="Arial" w:cs="Arial"/>
          <w:sz w:val="22"/>
          <w:szCs w:val="22"/>
        </w:rPr>
        <w:t xml:space="preserve"> </w:t>
      </w:r>
      <w:proofErr w:type="spellStart"/>
      <w:r w:rsidRPr="00AA056F">
        <w:rPr>
          <w:rFonts w:ascii="Arial" w:hAnsi="Arial" w:cs="Arial"/>
          <w:sz w:val="22"/>
          <w:szCs w:val="22"/>
        </w:rPr>
        <w:t>enteropatógena</w:t>
      </w:r>
      <w:proofErr w:type="spellEnd"/>
    </w:p>
    <w:p w14:paraId="6CA0D58E" w14:textId="77777777" w:rsidR="003D707C" w:rsidRPr="00AA056F" w:rsidRDefault="003D707C" w:rsidP="003D707C">
      <w:pPr>
        <w:spacing w:line="360" w:lineRule="auto"/>
        <w:rPr>
          <w:rFonts w:ascii="Arial" w:hAnsi="Arial" w:cs="Arial"/>
          <w:sz w:val="22"/>
          <w:szCs w:val="22"/>
        </w:rPr>
      </w:pPr>
    </w:p>
    <w:p w14:paraId="5AFB7F10" w14:textId="5C113223" w:rsidR="00B3738B" w:rsidRDefault="00B3738B" w:rsidP="003D707C">
      <w:pPr>
        <w:pStyle w:val="Ttulo3"/>
        <w:numPr>
          <w:ilvl w:val="0"/>
          <w:numId w:val="10"/>
        </w:numPr>
        <w:rPr>
          <w:rFonts w:ascii="Arial" w:hAnsi="Arial"/>
          <w:color w:val="2F5496" w:themeColor="accent1" w:themeShade="BF"/>
          <w:sz w:val="28"/>
          <w:szCs w:val="26"/>
        </w:rPr>
      </w:pPr>
      <w:bookmarkStart w:id="13" w:name="_Toc223014951"/>
      <w:r w:rsidRPr="003D707C">
        <w:rPr>
          <w:rFonts w:ascii="Arial" w:hAnsi="Arial"/>
          <w:color w:val="2F5496" w:themeColor="accent1" w:themeShade="BF"/>
          <w:sz w:val="28"/>
          <w:szCs w:val="26"/>
        </w:rPr>
        <w:t>Síntomas</w:t>
      </w:r>
      <w:bookmarkEnd w:id="13"/>
    </w:p>
    <w:p w14:paraId="4630E014" w14:textId="77777777" w:rsidR="003D707C" w:rsidRPr="003D707C" w:rsidRDefault="003D707C" w:rsidP="003D707C">
      <w:pPr>
        <w:pStyle w:val="Prrafodelista"/>
      </w:pPr>
    </w:p>
    <w:p w14:paraId="7D4679F3"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Se evidencia un predominio claro de síntomas gastrointestinales, consistentes con cuadros de enfermedades transmitidas por alimentos (ETA) y enfermedades diarreicas agudas (EDA).</w:t>
      </w:r>
    </w:p>
    <w:p w14:paraId="13C16A1F"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El síntoma más frecuentemente reportado fue la diarrea, presente en la totalidad de los brotes, ya sea como manifestación única o en combinación con otros síntomas. En múltiples eventos, la diarrea se describió como abundante, líquida o acuosa, con tiempos de evolución cortos (8 a 12 horas), lo cual es compatible con infecciones de origen alimentario ya sea de etiología bacteriana o viral.</w:t>
      </w:r>
    </w:p>
    <w:p w14:paraId="7E10F110"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En segundo lugar, el vómito se reportó de forma recurrente, principalmente en combinación con diarrea, conformando cuadros de gastroenteritis aguda, característicos de agentes como norovirus y algunas bacterias entéricas.</w:t>
      </w:r>
    </w:p>
    <w:p w14:paraId="6AFCEFCA"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De manera adicional, se identificaron otros síntomas asociados, entre ellos:</w:t>
      </w:r>
    </w:p>
    <w:p w14:paraId="048817B1"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Dolor abdominal y gastralgia, frecuentemente vinculados a los episodios diarreicos.</w:t>
      </w:r>
    </w:p>
    <w:p w14:paraId="740185CA"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Náuseas, reportadas en varios brotes como síntoma concomitante.</w:t>
      </w:r>
    </w:p>
    <w:p w14:paraId="797681D4"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Fiebre, presente en algunos eventos, lo que sugiere una respuesta sistémica en ciertos casos.</w:t>
      </w:r>
    </w:p>
    <w:p w14:paraId="525F8E23" w14:textId="77777777" w:rsidR="00B3738B" w:rsidRPr="003D707C" w:rsidRDefault="00B3738B" w:rsidP="003D707C">
      <w:pPr>
        <w:spacing w:line="360" w:lineRule="auto"/>
        <w:jc w:val="both"/>
        <w:rPr>
          <w:rFonts w:ascii="Arial" w:hAnsi="Arial" w:cs="Arial"/>
          <w:sz w:val="22"/>
          <w:szCs w:val="22"/>
        </w:rPr>
      </w:pPr>
      <w:r w:rsidRPr="003D707C">
        <w:rPr>
          <w:rFonts w:ascii="Arial" w:hAnsi="Arial" w:cs="Arial"/>
          <w:sz w:val="22"/>
          <w:szCs w:val="22"/>
        </w:rPr>
        <w:t>Malestar general, debilidad, cefalea, mialgias y dolor articular, especialmente en brotes con cuadros más complejos.</w:t>
      </w:r>
    </w:p>
    <w:p w14:paraId="36DCB2C0" w14:textId="77777777" w:rsidR="00B3738B" w:rsidRPr="003D707C" w:rsidRDefault="00B3738B" w:rsidP="003D707C">
      <w:pPr>
        <w:spacing w:line="360" w:lineRule="auto"/>
        <w:rPr>
          <w:rFonts w:ascii="Arial" w:hAnsi="Arial" w:cs="Arial"/>
          <w:sz w:val="22"/>
          <w:szCs w:val="22"/>
        </w:rPr>
      </w:pPr>
      <w:r w:rsidRPr="003D707C">
        <w:rPr>
          <w:rFonts w:ascii="Arial" w:hAnsi="Arial" w:cs="Arial"/>
          <w:sz w:val="22"/>
          <w:szCs w:val="22"/>
        </w:rPr>
        <w:lastRenderedPageBreak/>
        <w:t>En un brote específico se reportaron síntomas respiratorios (flemas, tos, dolor de garganta, escalofríos), lo cual podría indicar una etiología viral concomitante o un evento no exclusivamente alimentario.</w:t>
      </w:r>
    </w:p>
    <w:p w14:paraId="4BC24804"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La mayoría de los brotes presentaron combinaciones de diarrea y vómito, con o sin dolor abdominal.</w:t>
      </w:r>
    </w:p>
    <w:p w14:paraId="77519A3D"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En algunos eventos se reportó diarrea como único síntoma, lo que podría asociarse a cuadros leves o de rápida resolución.</w:t>
      </w:r>
    </w:p>
    <w:p w14:paraId="10971FBB"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Se identificó al menos un brote con afectación diferenciada en población pediátrica, donde una menor presentó fiebre y diarrea, lo que resalta la vulnerabilidad de ciertos grupos.</w:t>
      </w:r>
    </w:p>
    <w:p w14:paraId="10A90F4B" w14:textId="77777777" w:rsidR="00B3738B" w:rsidRPr="00EE3E74" w:rsidRDefault="00B3738B" w:rsidP="00EE3E74">
      <w:pPr>
        <w:spacing w:line="360" w:lineRule="auto"/>
        <w:rPr>
          <w:rFonts w:ascii="Arial" w:hAnsi="Arial" w:cs="Arial"/>
          <w:sz w:val="22"/>
          <w:szCs w:val="22"/>
        </w:rPr>
      </w:pPr>
      <w:r w:rsidRPr="00EE3E74">
        <w:rPr>
          <w:rFonts w:ascii="Arial" w:hAnsi="Arial" w:cs="Arial"/>
          <w:sz w:val="22"/>
          <w:szCs w:val="22"/>
        </w:rPr>
        <w:t>El patrón clínico observado es compatible con brotes de origen alimentario y viral, predominando los cuadros de gastroenteritis aguda. La variabilidad en la sintomatología y la presencia ocasional de fiebre refuerzan la importancia de la confirmación etiológica por laboratorio, así como de una investigación epidemiológica oportuna que permita diferenciar entre agentes bacterianos y virales.</w:t>
      </w:r>
    </w:p>
    <w:p w14:paraId="40BC793A" w14:textId="77777777" w:rsidR="00B3738B" w:rsidRDefault="00B3738B" w:rsidP="00B3738B">
      <w:pPr>
        <w:rPr>
          <w:i/>
          <w:iCs/>
        </w:rPr>
      </w:pPr>
    </w:p>
    <w:p w14:paraId="19837CC4" w14:textId="2C54D6D7" w:rsidR="00B3738B" w:rsidRDefault="00B3738B" w:rsidP="00EE3E74">
      <w:pPr>
        <w:pStyle w:val="Ttulo3"/>
        <w:numPr>
          <w:ilvl w:val="0"/>
          <w:numId w:val="10"/>
        </w:numPr>
        <w:rPr>
          <w:rFonts w:ascii="Arial" w:hAnsi="Arial"/>
          <w:color w:val="2F5496" w:themeColor="accent1" w:themeShade="BF"/>
          <w:sz w:val="28"/>
          <w:szCs w:val="26"/>
        </w:rPr>
      </w:pPr>
      <w:bookmarkStart w:id="14" w:name="_Toc223014952"/>
      <w:r w:rsidRPr="00EE3E74">
        <w:rPr>
          <w:rFonts w:ascii="Arial" w:hAnsi="Arial"/>
          <w:color w:val="2F5496" w:themeColor="accent1" w:themeShade="BF"/>
          <w:sz w:val="28"/>
          <w:szCs w:val="26"/>
        </w:rPr>
        <w:t>Consideraciones epidemiológicas</w:t>
      </w:r>
      <w:bookmarkEnd w:id="14"/>
    </w:p>
    <w:p w14:paraId="7726F368" w14:textId="77777777" w:rsidR="00EE3E74" w:rsidRPr="00EE3E74" w:rsidRDefault="00EE3E74" w:rsidP="00EE3E74">
      <w:pPr>
        <w:pStyle w:val="Prrafodelista"/>
      </w:pPr>
    </w:p>
    <w:p w14:paraId="645624BF"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La mayoría de los brotes corresponden a eventos aislados, sin evidencia de propagación secundaria.</w:t>
      </w:r>
    </w:p>
    <w:p w14:paraId="57CCA068"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No se identifican eventos con impacto internacional ni que ameriten notificación al RSI.</w:t>
      </w:r>
    </w:p>
    <w:p w14:paraId="60329AA2" w14:textId="77777777" w:rsidR="00B3738B" w:rsidRPr="00EE3E74" w:rsidRDefault="00B3738B" w:rsidP="00EE3E74">
      <w:pPr>
        <w:numPr>
          <w:ilvl w:val="0"/>
          <w:numId w:val="5"/>
        </w:numPr>
        <w:suppressAutoHyphens/>
        <w:autoSpaceDN w:val="0"/>
        <w:spacing w:after="160" w:line="360" w:lineRule="auto"/>
        <w:rPr>
          <w:rFonts w:ascii="Arial" w:hAnsi="Arial" w:cs="Arial"/>
          <w:sz w:val="22"/>
          <w:szCs w:val="22"/>
        </w:rPr>
      </w:pPr>
      <w:r w:rsidRPr="00EE3E74">
        <w:rPr>
          <w:rFonts w:ascii="Arial" w:hAnsi="Arial" w:cs="Arial"/>
          <w:sz w:val="22"/>
          <w:szCs w:val="22"/>
        </w:rPr>
        <w:t>La información resalta la importancia de:</w:t>
      </w:r>
    </w:p>
    <w:p w14:paraId="1063256D" w14:textId="77777777" w:rsidR="00B3738B" w:rsidRPr="00EE3E74" w:rsidRDefault="00B3738B" w:rsidP="00B3738B">
      <w:pPr>
        <w:numPr>
          <w:ilvl w:val="1"/>
          <w:numId w:val="8"/>
        </w:numPr>
        <w:suppressAutoHyphens/>
        <w:autoSpaceDN w:val="0"/>
        <w:spacing w:after="160" w:line="276" w:lineRule="auto"/>
        <w:rPr>
          <w:rFonts w:ascii="Arial" w:hAnsi="Arial" w:cs="Arial"/>
          <w:sz w:val="22"/>
          <w:szCs w:val="22"/>
        </w:rPr>
      </w:pPr>
      <w:r w:rsidRPr="00EE3E74">
        <w:rPr>
          <w:rFonts w:ascii="Arial" w:hAnsi="Arial" w:cs="Arial"/>
          <w:sz w:val="22"/>
          <w:szCs w:val="22"/>
        </w:rPr>
        <w:t>Notificación oportuna</w:t>
      </w:r>
    </w:p>
    <w:p w14:paraId="469F81A4" w14:textId="77777777" w:rsidR="00B3738B" w:rsidRPr="00EE3E74" w:rsidRDefault="00B3738B" w:rsidP="00B3738B">
      <w:pPr>
        <w:numPr>
          <w:ilvl w:val="1"/>
          <w:numId w:val="8"/>
        </w:numPr>
        <w:suppressAutoHyphens/>
        <w:autoSpaceDN w:val="0"/>
        <w:spacing w:after="160" w:line="276" w:lineRule="auto"/>
        <w:rPr>
          <w:rFonts w:ascii="Arial" w:hAnsi="Arial" w:cs="Arial"/>
          <w:sz w:val="22"/>
          <w:szCs w:val="22"/>
        </w:rPr>
      </w:pPr>
      <w:r w:rsidRPr="00EE3E74">
        <w:rPr>
          <w:rFonts w:ascii="Arial" w:hAnsi="Arial" w:cs="Arial"/>
          <w:sz w:val="22"/>
          <w:szCs w:val="22"/>
        </w:rPr>
        <w:t>Fortalecer la toma de muestras clínicas y de alimentos</w:t>
      </w:r>
    </w:p>
    <w:p w14:paraId="703D4F82" w14:textId="77777777" w:rsidR="00B3738B" w:rsidRPr="00EE3E74" w:rsidRDefault="00B3738B" w:rsidP="00B3738B">
      <w:pPr>
        <w:numPr>
          <w:ilvl w:val="1"/>
          <w:numId w:val="8"/>
        </w:numPr>
        <w:suppressAutoHyphens/>
        <w:autoSpaceDN w:val="0"/>
        <w:spacing w:after="160" w:line="276" w:lineRule="auto"/>
        <w:rPr>
          <w:rFonts w:ascii="Arial" w:hAnsi="Arial" w:cs="Arial"/>
          <w:sz w:val="22"/>
          <w:szCs w:val="22"/>
        </w:rPr>
      </w:pPr>
      <w:r w:rsidRPr="00EE3E74">
        <w:rPr>
          <w:rFonts w:ascii="Arial" w:hAnsi="Arial" w:cs="Arial"/>
          <w:sz w:val="22"/>
          <w:szCs w:val="22"/>
        </w:rPr>
        <w:t>Mejorar el ingreso de la información en los registros, principalmente de variables clave</w:t>
      </w:r>
    </w:p>
    <w:p w14:paraId="12B31CCB" w14:textId="5CA46F15" w:rsidR="00731C82" w:rsidRDefault="00731C82" w:rsidP="00373F91">
      <w:pPr>
        <w:pStyle w:val="Ttulo3"/>
        <w:rPr>
          <w:rFonts w:ascii="Arial" w:hAnsi="Arial"/>
          <w:color w:val="2F5496" w:themeColor="accent1" w:themeShade="BF"/>
          <w:sz w:val="28"/>
          <w:szCs w:val="26"/>
          <w:lang w:val="es-ES_tradnl"/>
        </w:rPr>
      </w:pPr>
      <w:bookmarkStart w:id="15" w:name="_Toc223014953"/>
      <w:r>
        <w:rPr>
          <w:rFonts w:ascii="Arial" w:hAnsi="Arial"/>
          <w:color w:val="2F5496" w:themeColor="accent1" w:themeShade="BF"/>
          <w:sz w:val="28"/>
          <w:szCs w:val="26"/>
          <w:lang w:val="es-ES_tradnl"/>
        </w:rPr>
        <w:lastRenderedPageBreak/>
        <w:t>CONCLUSIONES</w:t>
      </w:r>
      <w:bookmarkEnd w:id="15"/>
    </w:p>
    <w:p w14:paraId="450FE92B" w14:textId="77777777" w:rsidR="00731C82" w:rsidRDefault="00731C82" w:rsidP="00731C82">
      <w:pPr>
        <w:rPr>
          <w:lang w:val="es-ES_tradnl"/>
        </w:rPr>
      </w:pPr>
    </w:p>
    <w:p w14:paraId="6B20EAE6"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Durante el año 2025, los brotes de enfermedades transmitidas por alimentos (ETA) y enfermedades diarreicas agudas (EDA) notificados en el país correspondieron, en su mayoría, a eventos localizados, con un número limitado de personas afectadas y sin evidencia de propagación secundaria significativa.</w:t>
      </w:r>
    </w:p>
    <w:p w14:paraId="68E066CC"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 xml:space="preserve">La distribución geográfica de los brotes evidencia una mayor notificación en regiones con mayor acceso a servicios de salud, lo que sugiere una vigilancia epidemiológica activa, pero también la posible </w:t>
      </w:r>
      <w:proofErr w:type="spellStart"/>
      <w:r w:rsidRPr="00731C82">
        <w:rPr>
          <w:rFonts w:ascii="Arial" w:hAnsi="Arial" w:cs="Arial"/>
          <w:sz w:val="22"/>
          <w:szCs w:val="22"/>
        </w:rPr>
        <w:t>subnotificación</w:t>
      </w:r>
      <w:proofErr w:type="spellEnd"/>
      <w:r w:rsidRPr="00731C82">
        <w:rPr>
          <w:rFonts w:ascii="Arial" w:hAnsi="Arial" w:cs="Arial"/>
          <w:sz w:val="22"/>
          <w:szCs w:val="22"/>
        </w:rPr>
        <w:t xml:space="preserve"> en otras zonas del territorio nacional.</w:t>
      </w:r>
    </w:p>
    <w:p w14:paraId="03D49A06"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En seis de los brotes analizados no se logró identificar el agente etiológico ni el alimento implicado, lo cual limita la caracterización epidemiológica completa de los eventos y la adopción de medidas preventivas específicas.</w:t>
      </w:r>
    </w:p>
    <w:p w14:paraId="0E25799A"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Se identificaron limitaciones en la notificación oportuna, así como en la recolección de muestras clínicas y de alimentos, lo que afecta la confirmación etiológica y el cierre adecuado de los brotes.</w:t>
      </w:r>
    </w:p>
    <w:p w14:paraId="4EB6BCDF"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Los brotes ocurridos en establecimientos institucionales (hospitales, centros educativos u otros) representan un riesgo particular por la posible exposición de poblaciones vulnerables, lo que refuerza la necesidad de fortalecer las medidas de prevención y control en estos entornos.</w:t>
      </w:r>
    </w:p>
    <w:p w14:paraId="53788C21" w14:textId="77777777" w:rsidR="00731C82" w:rsidRPr="00731C82" w:rsidRDefault="00731C82" w:rsidP="00731C82">
      <w:pPr>
        <w:spacing w:line="360" w:lineRule="auto"/>
        <w:jc w:val="both"/>
        <w:rPr>
          <w:rFonts w:ascii="Arial" w:hAnsi="Arial" w:cs="Arial"/>
          <w:sz w:val="22"/>
          <w:szCs w:val="22"/>
        </w:rPr>
      </w:pPr>
      <w:r w:rsidRPr="00731C82">
        <w:rPr>
          <w:rFonts w:ascii="Arial" w:hAnsi="Arial" w:cs="Arial"/>
          <w:sz w:val="22"/>
          <w:szCs w:val="22"/>
        </w:rPr>
        <w:t>Ninguno de los brotes analizados cumplió con los criterios para notificación al Reglamento Sanitario Internacional (RSI), al tratarse de eventos aislados, sin fuente común confirmada ni impacto en la salud pública internacional.</w:t>
      </w:r>
    </w:p>
    <w:p w14:paraId="52A4B504" w14:textId="77777777" w:rsidR="00731C82" w:rsidRDefault="00731C82" w:rsidP="00731C82"/>
    <w:p w14:paraId="1F60BE0C" w14:textId="77777777" w:rsidR="00731C82" w:rsidRPr="00731C82" w:rsidRDefault="00731C82" w:rsidP="00731C82"/>
    <w:p w14:paraId="7B2033BF" w14:textId="25F7137B" w:rsidR="00B3738B" w:rsidRPr="00CD4390" w:rsidRDefault="00373F91" w:rsidP="00373F91">
      <w:pPr>
        <w:pStyle w:val="Ttulo3"/>
        <w:rPr>
          <w:rFonts w:ascii="Arial" w:hAnsi="Arial"/>
          <w:color w:val="2F5496" w:themeColor="accent1" w:themeShade="BF"/>
          <w:sz w:val="28"/>
          <w:szCs w:val="26"/>
          <w:lang w:val="es-ES_tradnl"/>
        </w:rPr>
      </w:pPr>
      <w:bookmarkStart w:id="16" w:name="_Toc223014954"/>
      <w:r w:rsidRPr="00CD4390">
        <w:rPr>
          <w:rFonts w:ascii="Arial" w:hAnsi="Arial"/>
          <w:color w:val="2F5496" w:themeColor="accent1" w:themeShade="BF"/>
          <w:sz w:val="28"/>
          <w:szCs w:val="26"/>
          <w:lang w:val="es-ES_tradnl"/>
        </w:rPr>
        <w:t>RECOMENDACIONES</w:t>
      </w:r>
      <w:bookmarkEnd w:id="16"/>
    </w:p>
    <w:p w14:paraId="05F63282" w14:textId="77777777" w:rsidR="00EE3E74" w:rsidRPr="00CD4390" w:rsidRDefault="00EE3E74" w:rsidP="00EE3E74">
      <w:pPr>
        <w:pStyle w:val="Prrafodelista"/>
        <w:rPr>
          <w:rFonts w:ascii="Arial" w:eastAsiaTheme="majorEastAsia" w:hAnsi="Arial" w:cstheme="majorBidi"/>
          <w:color w:val="2F5496" w:themeColor="accent1" w:themeShade="BF"/>
          <w:sz w:val="28"/>
          <w:szCs w:val="26"/>
          <w:lang w:val="es-ES_tradnl"/>
        </w:rPr>
      </w:pPr>
    </w:p>
    <w:p w14:paraId="1D6E1A9A" w14:textId="77777777" w:rsidR="00B3738B" w:rsidRPr="00EE3E74" w:rsidRDefault="00B3738B" w:rsidP="00B3738B">
      <w:pPr>
        <w:numPr>
          <w:ilvl w:val="0"/>
          <w:numId w:val="9"/>
        </w:numPr>
        <w:suppressAutoHyphens/>
        <w:autoSpaceDN w:val="0"/>
        <w:spacing w:line="276" w:lineRule="auto"/>
        <w:jc w:val="both"/>
        <w:rPr>
          <w:rFonts w:ascii="Arial" w:hAnsi="Arial" w:cs="Arial"/>
        </w:rPr>
      </w:pPr>
      <w:r w:rsidRPr="00EE3E74">
        <w:rPr>
          <w:rFonts w:ascii="Arial" w:hAnsi="Arial" w:cs="Arial"/>
        </w:rPr>
        <w:t>Fortalecer la notificación oportuna de brotes de ETA y EDA por parte de los servicios de salud públicos y privados, conforme a los plazos establecidos en el Reglamento de Vigilancia de la Salud.</w:t>
      </w:r>
    </w:p>
    <w:p w14:paraId="23FF554C" w14:textId="77777777" w:rsidR="00B3738B" w:rsidRPr="00EE3E74" w:rsidRDefault="00B3738B" w:rsidP="00B3738B">
      <w:pPr>
        <w:numPr>
          <w:ilvl w:val="0"/>
          <w:numId w:val="9"/>
        </w:numPr>
        <w:suppressAutoHyphens/>
        <w:autoSpaceDN w:val="0"/>
        <w:spacing w:line="276" w:lineRule="auto"/>
        <w:jc w:val="both"/>
        <w:rPr>
          <w:rFonts w:ascii="Arial" w:hAnsi="Arial" w:cs="Arial"/>
        </w:rPr>
      </w:pPr>
      <w:r w:rsidRPr="00EE3E74">
        <w:rPr>
          <w:rFonts w:ascii="Arial" w:hAnsi="Arial" w:cs="Arial"/>
        </w:rPr>
        <w:t>Reforzar la capacitación del personal de salud en notificación oportuna de los eventos.</w:t>
      </w:r>
    </w:p>
    <w:p w14:paraId="157805CD" w14:textId="77777777" w:rsidR="00B3738B" w:rsidRPr="00EE3E74" w:rsidRDefault="00B3738B" w:rsidP="00B3738B">
      <w:pPr>
        <w:numPr>
          <w:ilvl w:val="0"/>
          <w:numId w:val="9"/>
        </w:numPr>
        <w:suppressAutoHyphens/>
        <w:autoSpaceDN w:val="0"/>
        <w:spacing w:line="276" w:lineRule="auto"/>
        <w:jc w:val="both"/>
        <w:rPr>
          <w:rFonts w:ascii="Arial" w:hAnsi="Arial" w:cs="Arial"/>
        </w:rPr>
      </w:pPr>
      <w:r w:rsidRPr="00EE3E74">
        <w:rPr>
          <w:rFonts w:ascii="Arial" w:hAnsi="Arial" w:cs="Arial"/>
        </w:rPr>
        <w:t xml:space="preserve">Reforzar la investigación epidemiológica integral de los brotes, promoviendo la recolección temprana de muestras clínicas y, cuando sea pertinente, de muestras </w:t>
      </w:r>
      <w:r w:rsidRPr="00EE3E74">
        <w:rPr>
          <w:rFonts w:ascii="Arial" w:hAnsi="Arial" w:cs="Arial"/>
        </w:rPr>
        <w:lastRenderedPageBreak/>
        <w:t>de alimentos, con el fin de mejorar la identificación del agente etiológico y la fuente de exposición.</w:t>
      </w:r>
    </w:p>
    <w:p w14:paraId="38833E00" w14:textId="77777777" w:rsidR="00B3738B" w:rsidRPr="00EE3E74" w:rsidRDefault="00B3738B" w:rsidP="00B3738B">
      <w:pPr>
        <w:numPr>
          <w:ilvl w:val="0"/>
          <w:numId w:val="9"/>
        </w:numPr>
        <w:suppressAutoHyphens/>
        <w:autoSpaceDN w:val="0"/>
        <w:spacing w:line="276" w:lineRule="auto"/>
        <w:jc w:val="both"/>
        <w:rPr>
          <w:rFonts w:ascii="Arial" w:hAnsi="Arial" w:cs="Arial"/>
        </w:rPr>
      </w:pPr>
      <w:r w:rsidRPr="00EE3E74">
        <w:rPr>
          <w:rFonts w:ascii="Arial" w:hAnsi="Arial" w:cs="Arial"/>
        </w:rPr>
        <w:t>Promover medidas de prevención e inocuidad alimentaria a nivel comunitario e institucional.</w:t>
      </w:r>
    </w:p>
    <w:p w14:paraId="1DEE4624" w14:textId="77777777" w:rsidR="00B3738B" w:rsidRPr="00EE3E74" w:rsidRDefault="00B3738B" w:rsidP="00B3738B">
      <w:pPr>
        <w:numPr>
          <w:ilvl w:val="0"/>
          <w:numId w:val="9"/>
        </w:numPr>
        <w:suppressAutoHyphens/>
        <w:autoSpaceDN w:val="0"/>
        <w:spacing w:line="276" w:lineRule="auto"/>
        <w:jc w:val="both"/>
        <w:rPr>
          <w:rFonts w:ascii="Arial" w:hAnsi="Arial" w:cs="Arial"/>
        </w:rPr>
      </w:pPr>
      <w:r w:rsidRPr="00EE3E74">
        <w:rPr>
          <w:rFonts w:ascii="Arial" w:hAnsi="Arial" w:cs="Arial"/>
        </w:rPr>
        <w:t>Intensificar las acciones de prevención y control en establecimientos de alto riesgo, especialmente en instituciones de salud y centros de preparación de alimentos, mediante supervisión sanitaria, capacitación y promoción de buenas prácticas de manipulación de alimentos.</w:t>
      </w:r>
    </w:p>
    <w:p w14:paraId="59059923" w14:textId="77777777" w:rsidR="00B3738B" w:rsidRPr="00EE3E74" w:rsidRDefault="00B3738B" w:rsidP="00B3738B">
      <w:pPr>
        <w:pStyle w:val="NormalWeb"/>
        <w:numPr>
          <w:ilvl w:val="0"/>
          <w:numId w:val="9"/>
        </w:numPr>
        <w:spacing w:after="0"/>
        <w:jc w:val="both"/>
        <w:rPr>
          <w:rFonts w:ascii="Arial" w:eastAsia="Aptos" w:hAnsi="Arial" w:cs="Arial"/>
          <w:kern w:val="3"/>
          <w:lang w:eastAsia="en-US"/>
        </w:rPr>
      </w:pPr>
      <w:r w:rsidRPr="00EE3E74">
        <w:rPr>
          <w:rFonts w:ascii="Arial" w:eastAsia="Aptos" w:hAnsi="Arial" w:cs="Arial"/>
          <w:kern w:val="3"/>
          <w:lang w:eastAsia="en-US"/>
        </w:rPr>
        <w:t>Mantener una vigilancia epidemiológica activa y continua ante la eventual aparición de nuevos casos asociados a brotes previamente notificados, aun cuando, por el tiempo transcurrido, no resulte procedente la recolección de muestras de alimentos.</w:t>
      </w:r>
    </w:p>
    <w:p w14:paraId="46D0A72F" w14:textId="77777777" w:rsidR="00B3738B" w:rsidRPr="00EE3E74" w:rsidRDefault="00B3738B" w:rsidP="00B3738B">
      <w:pPr>
        <w:pStyle w:val="NormalWeb"/>
        <w:numPr>
          <w:ilvl w:val="0"/>
          <w:numId w:val="9"/>
        </w:numPr>
        <w:spacing w:after="0"/>
        <w:jc w:val="both"/>
        <w:rPr>
          <w:rFonts w:ascii="Arial" w:eastAsia="Aptos" w:hAnsi="Arial" w:cs="Arial"/>
          <w:kern w:val="3"/>
          <w:lang w:eastAsia="en-US"/>
        </w:rPr>
      </w:pPr>
      <w:r w:rsidRPr="00EE3E74">
        <w:rPr>
          <w:rFonts w:ascii="Arial" w:eastAsia="Aptos" w:hAnsi="Arial" w:cs="Arial"/>
          <w:kern w:val="3"/>
          <w:lang w:eastAsia="en-US"/>
        </w:rPr>
        <w:t>Utilizar la información generada para orientar la toma de decisiones en salud pública, priorizar intervenciones y fortalecer las estrategias nacionales de prevención de las enfermedades transmitidas por alimentos.</w:t>
      </w:r>
    </w:p>
    <w:p w14:paraId="0B475695" w14:textId="77777777" w:rsidR="005A3B59" w:rsidRPr="00B3738B" w:rsidRDefault="005A3B59" w:rsidP="000D53AF">
      <w:pPr>
        <w:pStyle w:val="Textoindependiente"/>
        <w:spacing w:before="42" w:line="360" w:lineRule="auto"/>
        <w:rPr>
          <w:rFonts w:ascii="Arial" w:hAnsi="Arial" w:cs="Arial"/>
          <w:lang w:val="es-CR"/>
        </w:rPr>
      </w:pPr>
    </w:p>
    <w:p w14:paraId="77944560" w14:textId="77777777" w:rsidR="005A62F4" w:rsidRDefault="005A62F4" w:rsidP="000D53AF">
      <w:pPr>
        <w:spacing w:line="360" w:lineRule="auto"/>
        <w:rPr>
          <w:rFonts w:asciiTheme="minorBidi" w:hAnsiTheme="minorBidi"/>
          <w:sz w:val="22"/>
          <w:szCs w:val="22"/>
          <w:lang w:val="es-ES_tradnl"/>
        </w:rPr>
      </w:pPr>
    </w:p>
    <w:p w14:paraId="62F7D552" w14:textId="77777777" w:rsidR="004015E4" w:rsidRDefault="004015E4" w:rsidP="000D53AF">
      <w:pPr>
        <w:spacing w:line="360" w:lineRule="auto"/>
        <w:rPr>
          <w:rFonts w:asciiTheme="minorBidi" w:hAnsiTheme="minorBidi"/>
          <w:sz w:val="22"/>
          <w:szCs w:val="22"/>
          <w:lang w:val="es-ES_tradnl"/>
        </w:rPr>
      </w:pPr>
    </w:p>
    <w:p w14:paraId="56E9BCA4" w14:textId="4326D587" w:rsidR="00ED731A" w:rsidRPr="00912771" w:rsidRDefault="00ED731A" w:rsidP="000D53AF">
      <w:pPr>
        <w:spacing w:line="360" w:lineRule="auto"/>
        <w:rPr>
          <w:rFonts w:asciiTheme="minorBidi" w:hAnsiTheme="minorBidi"/>
          <w:b/>
          <w:bCs/>
          <w:sz w:val="22"/>
          <w:szCs w:val="22"/>
          <w:lang w:val="es-ES_tradnl"/>
        </w:rPr>
      </w:pPr>
      <w:r w:rsidRPr="00912771">
        <w:rPr>
          <w:rFonts w:asciiTheme="minorBidi" w:hAnsiTheme="minorBidi"/>
          <w:b/>
          <w:bCs/>
          <w:sz w:val="22"/>
          <w:szCs w:val="22"/>
          <w:lang w:val="es-ES_tradnl"/>
        </w:rPr>
        <w:t xml:space="preserve">UNIDAD </w:t>
      </w:r>
      <w:r w:rsidR="00144875">
        <w:rPr>
          <w:rFonts w:asciiTheme="minorBidi" w:hAnsiTheme="minorBidi"/>
          <w:b/>
          <w:bCs/>
          <w:sz w:val="22"/>
          <w:szCs w:val="22"/>
          <w:lang w:val="es-ES_tradnl"/>
        </w:rPr>
        <w:t>DE EPIDEMIOLOGIA</w:t>
      </w:r>
    </w:p>
    <w:p w14:paraId="5FF6CAE0" w14:textId="77777777" w:rsidR="00ED731A" w:rsidRDefault="00ED731A" w:rsidP="000D53AF">
      <w:pPr>
        <w:spacing w:line="360" w:lineRule="auto"/>
        <w:rPr>
          <w:rFonts w:asciiTheme="minorBidi" w:hAnsiTheme="minorBidi"/>
          <w:sz w:val="22"/>
          <w:szCs w:val="22"/>
          <w:lang w:val="es-ES_tradnl"/>
        </w:rPr>
      </w:pPr>
    </w:p>
    <w:p w14:paraId="19D1D16A" w14:textId="77777777" w:rsidR="00ED731A" w:rsidRDefault="00ED731A" w:rsidP="000D53AF">
      <w:pPr>
        <w:spacing w:line="360" w:lineRule="auto"/>
        <w:rPr>
          <w:rFonts w:asciiTheme="minorBidi" w:hAnsiTheme="minorBidi"/>
          <w:sz w:val="22"/>
          <w:szCs w:val="22"/>
          <w:lang w:val="es-ES_tradnl"/>
        </w:rPr>
      </w:pPr>
    </w:p>
    <w:p w14:paraId="2A6DE0FA" w14:textId="3202528E" w:rsidR="005A62F4" w:rsidRDefault="005A62F4" w:rsidP="000D53AF">
      <w:pPr>
        <w:spacing w:line="360" w:lineRule="auto"/>
        <w:rPr>
          <w:rFonts w:asciiTheme="minorBidi" w:hAnsiTheme="minorBidi"/>
          <w:sz w:val="22"/>
          <w:szCs w:val="22"/>
          <w:lang w:val="es-ES_tradnl"/>
        </w:rPr>
      </w:pPr>
    </w:p>
    <w:p w14:paraId="0F31C6AC" w14:textId="3FC5EF79" w:rsidR="00912771" w:rsidRPr="00EB085A" w:rsidRDefault="00912771" w:rsidP="000D53AF">
      <w:pPr>
        <w:spacing w:line="360" w:lineRule="auto"/>
        <w:rPr>
          <w:rFonts w:asciiTheme="minorBidi" w:hAnsiTheme="minorBidi"/>
          <w:sz w:val="22"/>
          <w:szCs w:val="22"/>
          <w:lang w:val="es-ES_tradnl"/>
        </w:rPr>
      </w:pPr>
    </w:p>
    <w:sectPr w:rsidR="00912771" w:rsidRPr="00EB085A" w:rsidSect="00217160">
      <w:footerReference w:type="default" r:id="rId19"/>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19241C" w14:textId="77777777" w:rsidR="00BA0E33" w:rsidRDefault="00BA0E33" w:rsidP="009314E6">
      <w:r>
        <w:separator/>
      </w:r>
    </w:p>
  </w:endnote>
  <w:endnote w:type="continuationSeparator" w:id="0">
    <w:p w14:paraId="7FD09F54" w14:textId="77777777" w:rsidR="00BA0E33" w:rsidRDefault="00BA0E33" w:rsidP="00931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2664937"/>
      <w:docPartObj>
        <w:docPartGallery w:val="Page Numbers (Bottom of Page)"/>
        <w:docPartUnique/>
      </w:docPartObj>
    </w:sdtPr>
    <w:sdtEndPr/>
    <w:sdtContent>
      <w:p w14:paraId="27EE0BEE" w14:textId="7899339B" w:rsidR="00E57A23" w:rsidRDefault="00092787">
        <w:pPr>
          <w:pStyle w:val="Piedepgina"/>
          <w:jc w:val="right"/>
        </w:pPr>
        <w:r>
          <w:ptab w:relativeTo="margin" w:alignment="center" w:leader="none"/>
        </w:r>
        <w:r w:rsidR="00E57A23">
          <w:fldChar w:fldCharType="begin"/>
        </w:r>
        <w:r w:rsidR="00E57A23">
          <w:instrText>PAGE   \* MERGEFORMAT</w:instrText>
        </w:r>
        <w:r w:rsidR="00E57A23">
          <w:fldChar w:fldCharType="separate"/>
        </w:r>
        <w:r w:rsidR="00E57A23">
          <w:rPr>
            <w:lang w:val="es-ES"/>
          </w:rPr>
          <w:t>2</w:t>
        </w:r>
        <w:r w:rsidR="00E57A23">
          <w:fldChar w:fldCharType="end"/>
        </w:r>
      </w:p>
    </w:sdtContent>
  </w:sdt>
  <w:p w14:paraId="26D5E1BC" w14:textId="77777777" w:rsidR="00E57A23" w:rsidRDefault="00E57A2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778531148"/>
      <w:docPartObj>
        <w:docPartGallery w:val="Page Numbers (Bottom of Page)"/>
        <w:docPartUnique/>
      </w:docPartObj>
    </w:sdtPr>
    <w:sdtEndPr>
      <w:rPr>
        <w:rStyle w:val="Nmerodepgina"/>
      </w:rPr>
    </w:sdtEndPr>
    <w:sdtContent>
      <w:p w14:paraId="0754C026" w14:textId="411D2C28" w:rsidR="00792207" w:rsidRDefault="00792207" w:rsidP="00583F46">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6E3777C" w14:textId="77777777" w:rsidR="00792207" w:rsidRDefault="0079220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0E26D" w14:textId="2D0E2AA2" w:rsidR="000227B6" w:rsidRDefault="000227B6">
    <w:pPr>
      <w:pStyle w:val="Piedepgina"/>
      <w:jc w:val="center"/>
    </w:pPr>
  </w:p>
  <w:p w14:paraId="657539CB" w14:textId="2C065C5D" w:rsidR="00792207" w:rsidRPr="008759C3" w:rsidRDefault="00294EDF" w:rsidP="00496C92">
    <w:pPr>
      <w:pStyle w:val="Piedepgina"/>
      <w:suppressLineNumbers/>
    </w:pPr>
    <w:r>
      <w:rPr>
        <w:noProof/>
      </w:rPr>
      <w:drawing>
        <wp:anchor distT="0" distB="0" distL="114300" distR="114300" simplePos="0" relativeHeight="251668480" behindDoc="0" locked="1" layoutInCell="1" allowOverlap="1" wp14:anchorId="0B121EC6" wp14:editId="40EBB901">
          <wp:simplePos x="0" y="0"/>
          <wp:positionH relativeFrom="column">
            <wp:posOffset>-937260</wp:posOffset>
          </wp:positionH>
          <wp:positionV relativeFrom="paragraph">
            <wp:posOffset>190500</wp:posOffset>
          </wp:positionV>
          <wp:extent cx="7804785" cy="546735"/>
          <wp:effectExtent l="0" t="0" r="0" b="5715"/>
          <wp:wrapSquare wrapText="bothSides"/>
          <wp:docPr id="15152776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1">
                    <a:extLst>
                      <a:ext uri="{28A0092B-C50C-407E-A947-70E740481C1C}">
                        <a14:useLocalDpi xmlns:a14="http://schemas.microsoft.com/office/drawing/2010/main" val="0"/>
                      </a:ext>
                    </a:extLst>
                  </a:blip>
                  <a:stretch>
                    <a:fillRect/>
                  </a:stretch>
                </pic:blipFill>
                <pic:spPr>
                  <a:xfrm>
                    <a:off x="0" y="0"/>
                    <a:ext cx="7804785" cy="546735"/>
                  </a:xfrm>
                  <a:prstGeom prst="rect">
                    <a:avLst/>
                  </a:prstGeom>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20F17" w14:textId="77777777" w:rsidR="00334FCA" w:rsidRDefault="00334FCA" w:rsidP="000D53AF">
    <w:pPr>
      <w:pStyle w:val="Piedepgina"/>
      <w:jc w:val="center"/>
    </w:pPr>
  </w:p>
  <w:p w14:paraId="28B21A15" w14:textId="539F6567" w:rsidR="00334FCA" w:rsidRDefault="00073AC3" w:rsidP="000D53AF">
    <w:pPr>
      <w:pStyle w:val="Piedepgina"/>
      <w:jc w:val="center"/>
    </w:pPr>
    <w:r>
      <w:fldChar w:fldCharType="begin"/>
    </w:r>
    <w:r>
      <w:instrText>PAGE   \* MERGEFORMAT</w:instrText>
    </w:r>
    <w:r>
      <w:fldChar w:fldCharType="separate"/>
    </w:r>
    <w:r>
      <w:rPr>
        <w:lang w:val="es-ES"/>
      </w:rPr>
      <w:t>1</w:t>
    </w:r>
    <w:r>
      <w:fldChar w:fldCharType="end"/>
    </w:r>
  </w:p>
  <w:p w14:paraId="3CDC2936" w14:textId="77777777" w:rsidR="00E45F74" w:rsidRDefault="00E45F74" w:rsidP="000D53AF">
    <w:pPr>
      <w:pStyle w:val="Piedepgina"/>
      <w:jc w:val="center"/>
    </w:pPr>
  </w:p>
  <w:tbl>
    <w:tblPr>
      <w:tblStyle w:val="Tablaconcuadrcula"/>
      <w:tblW w:w="887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2381"/>
      <w:gridCol w:w="2688"/>
      <w:gridCol w:w="3803"/>
    </w:tblGrid>
    <w:tr w:rsidR="00E45F74" w:rsidRPr="00385978" w14:paraId="2659EA17" w14:textId="77777777" w:rsidTr="00387D76">
      <w:trPr>
        <w:trHeight w:val="567"/>
      </w:trPr>
      <w:tc>
        <w:tcPr>
          <w:tcW w:w="2778" w:type="dxa"/>
        </w:tcPr>
        <w:p w14:paraId="3C9AF5D2" w14:textId="77777777" w:rsidR="00E45F74" w:rsidRPr="00385978" w:rsidRDefault="00E45F74" w:rsidP="00E45F74">
          <w:pPr>
            <w:jc w:val="both"/>
            <w:rPr>
              <w:rFonts w:ascii="Times New Roman" w:hAnsi="Times New Roman" w:cs="Times New Roman"/>
            </w:rPr>
          </w:pPr>
          <w:r w:rsidRPr="00B81061">
            <w:rPr>
              <w:rFonts w:ascii="Times New Roman" w:hAnsi="Times New Roman" w:cs="Times New Roman"/>
              <w:sz w:val="24"/>
              <w:szCs w:val="24"/>
            </w:rPr>
            <w:t>San José, calle 16 avenida 6 y 8</w:t>
          </w:r>
          <w:r>
            <w:rPr>
              <w:rFonts w:ascii="Times New Roman" w:hAnsi="Times New Roman" w:cs="Times New Roman"/>
              <w:sz w:val="24"/>
              <w:szCs w:val="24"/>
            </w:rPr>
            <w:t>. Edificio Central.</w:t>
          </w:r>
        </w:p>
      </w:tc>
      <w:tc>
        <w:tcPr>
          <w:tcW w:w="3119" w:type="dxa"/>
        </w:tcPr>
        <w:p w14:paraId="1FD55FF1" w14:textId="2DB5B11F" w:rsidR="00E45F74" w:rsidRPr="00B81061" w:rsidRDefault="00E45F74" w:rsidP="00E45F74">
          <w:pPr>
            <w:pStyle w:val="Piedepgina"/>
            <w:jc w:val="center"/>
            <w:rPr>
              <w:rFonts w:ascii="Times New Roman" w:hAnsi="Times New Roman" w:cs="Times New Roman"/>
              <w:sz w:val="24"/>
              <w:szCs w:val="24"/>
            </w:rPr>
          </w:pPr>
          <w:r w:rsidRPr="00B81061">
            <w:rPr>
              <w:rFonts w:ascii="Times New Roman" w:hAnsi="Times New Roman" w:cs="Times New Roman"/>
              <w:sz w:val="24"/>
              <w:szCs w:val="24"/>
            </w:rPr>
            <w:t xml:space="preserve">Tel. </w:t>
          </w:r>
          <w:r w:rsidR="00723E27">
            <w:rPr>
              <w:rFonts w:ascii="Times New Roman" w:hAnsi="Times New Roman" w:cs="Times New Roman"/>
              <w:sz w:val="24"/>
              <w:szCs w:val="24"/>
            </w:rPr>
            <w:t>40035600</w:t>
          </w:r>
        </w:p>
      </w:tc>
      <w:tc>
        <w:tcPr>
          <w:tcW w:w="2975" w:type="dxa"/>
        </w:tcPr>
        <w:p w14:paraId="57CE748B" w14:textId="34B76FA1" w:rsidR="00E45F74" w:rsidRPr="00B81061" w:rsidRDefault="005A4058" w:rsidP="00E45F74">
          <w:pPr>
            <w:pStyle w:val="Piedepgina"/>
            <w:jc w:val="both"/>
            <w:rPr>
              <w:rFonts w:ascii="Times New Roman" w:hAnsi="Times New Roman" w:cs="Times New Roman"/>
              <w:sz w:val="24"/>
              <w:szCs w:val="24"/>
            </w:rPr>
          </w:pPr>
          <w:r w:rsidRPr="00E126F1">
            <w:rPr>
              <w:rFonts w:ascii="Times New Roman" w:hAnsi="Times New Roman" w:cs="Times New Roman"/>
              <w:sz w:val="24"/>
              <w:szCs w:val="24"/>
            </w:rPr>
            <w:t>recepcion.vigilancia1@misalud.go.cr</w:t>
          </w:r>
        </w:p>
      </w:tc>
    </w:tr>
  </w:tbl>
  <w:p w14:paraId="2990E267" w14:textId="239510CC" w:rsidR="00294EDF" w:rsidRPr="008759C3" w:rsidRDefault="00294EDF" w:rsidP="00E45F74">
    <w:pPr>
      <w:pStyle w:val="Piedepgina"/>
      <w:rPr>
        <w:noProof/>
      </w:rPr>
    </w:pPr>
    <w:r>
      <w:rPr>
        <w:noProof/>
      </w:rPr>
      <w:drawing>
        <wp:anchor distT="0" distB="0" distL="114300" distR="114300" simplePos="0" relativeHeight="251670528" behindDoc="0" locked="1" layoutInCell="1" allowOverlap="1" wp14:anchorId="5ED18C84" wp14:editId="5F2DB650">
          <wp:simplePos x="0" y="0"/>
          <wp:positionH relativeFrom="column">
            <wp:posOffset>-942340</wp:posOffset>
          </wp:positionH>
          <wp:positionV relativeFrom="paragraph">
            <wp:posOffset>190500</wp:posOffset>
          </wp:positionV>
          <wp:extent cx="7804785" cy="546735"/>
          <wp:effectExtent l="0" t="0" r="0" b="5715"/>
          <wp:wrapSquare wrapText="bothSides"/>
          <wp:docPr id="2384704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1">
                    <a:extLst>
                      <a:ext uri="{28A0092B-C50C-407E-A947-70E740481C1C}">
                        <a14:useLocalDpi xmlns:a14="http://schemas.microsoft.com/office/drawing/2010/main" val="0"/>
                      </a:ext>
                    </a:extLst>
                  </a:blip>
                  <a:stretch>
                    <a:fillRect/>
                  </a:stretch>
                </pic:blipFill>
                <pic:spPr>
                  <a:xfrm>
                    <a:off x="0" y="0"/>
                    <a:ext cx="7804785" cy="54673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B69800" w14:textId="77777777" w:rsidR="00BA0E33" w:rsidRDefault="00BA0E33" w:rsidP="009314E6">
      <w:r>
        <w:separator/>
      </w:r>
    </w:p>
  </w:footnote>
  <w:footnote w:type="continuationSeparator" w:id="0">
    <w:p w14:paraId="6A2719E2" w14:textId="77777777" w:rsidR="00BA0E33" w:rsidRDefault="00BA0E33" w:rsidP="009314E6">
      <w:r>
        <w:continuationSeparator/>
      </w:r>
    </w:p>
  </w:footnote>
  <w:footnote w:id="1">
    <w:p w14:paraId="0DDC8DEE" w14:textId="77777777" w:rsidR="00B3738B" w:rsidRDefault="00B3738B" w:rsidP="00B3738B">
      <w:pPr>
        <w:pStyle w:val="Textonotapie"/>
      </w:pPr>
      <w:r>
        <w:rPr>
          <w:rStyle w:val="Refdenotaalpie"/>
        </w:rPr>
        <w:footnoteRef/>
      </w:r>
      <w:r>
        <w:t xml:space="preserve"> Se entenderá por establecimientos institucionales aquellos establecimientos públicos o privados que, bajo la responsabilidad de una institución, brindan servicios a poblaciones definidas y se encuentran sujetos a regulación, vigilancia y control sanitario.</w:t>
      </w:r>
    </w:p>
    <w:p w14:paraId="613D95D0" w14:textId="77777777" w:rsidR="00B3738B" w:rsidRDefault="00B3738B" w:rsidP="00B3738B"/>
    <w:p w14:paraId="12A93FCE" w14:textId="77777777" w:rsidR="00B3738B" w:rsidRDefault="00B3738B" w:rsidP="00B373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DDBF3" w14:textId="77777777" w:rsidR="00580EE2" w:rsidRDefault="00580EE2">
    <w:pPr>
      <w:pStyle w:val="Textoindependiente"/>
      <w:spacing w:line="14" w:lineRule="auto"/>
      <w:rPr>
        <w:sz w:val="20"/>
      </w:rPr>
    </w:pPr>
    <w:r>
      <w:rPr>
        <w:noProof/>
        <w:sz w:val="20"/>
      </w:rPr>
      <w:drawing>
        <wp:inline distT="0" distB="0" distL="0" distR="0" wp14:anchorId="3CC66EAA" wp14:editId="23904002">
          <wp:extent cx="6895465" cy="981075"/>
          <wp:effectExtent l="0" t="0" r="635" b="9525"/>
          <wp:docPr id="39131093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95465" cy="98107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A6B7E" w14:textId="48B8F277" w:rsidR="00792207" w:rsidRDefault="001140AC">
    <w:pPr>
      <w:pStyle w:val="Encabezado"/>
    </w:pPr>
    <w:r>
      <w:rPr>
        <w:noProof/>
      </w:rPr>
      <w:drawing>
        <wp:anchor distT="0" distB="0" distL="114300" distR="114300" simplePos="0" relativeHeight="251666432" behindDoc="0" locked="0" layoutInCell="1" allowOverlap="1" wp14:anchorId="7A3AAC19" wp14:editId="4A942EE3">
          <wp:simplePos x="0" y="0"/>
          <wp:positionH relativeFrom="column">
            <wp:posOffset>-990600</wp:posOffset>
          </wp:positionH>
          <wp:positionV relativeFrom="paragraph">
            <wp:posOffset>-449580</wp:posOffset>
          </wp:positionV>
          <wp:extent cx="7851140" cy="935990"/>
          <wp:effectExtent l="0" t="0" r="0" b="0"/>
          <wp:wrapSquare wrapText="bothSides"/>
          <wp:docPr id="4459026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902683" name="Picture 445902683"/>
                  <pic:cNvPicPr/>
                </pic:nvPicPr>
                <pic:blipFill>
                  <a:blip r:embed="rId1">
                    <a:extLst>
                      <a:ext uri="{28A0092B-C50C-407E-A947-70E740481C1C}">
                        <a14:useLocalDpi xmlns:a14="http://schemas.microsoft.com/office/drawing/2010/main" val="0"/>
                      </a:ext>
                    </a:extLst>
                  </a:blip>
                  <a:stretch>
                    <a:fillRect/>
                  </a:stretch>
                </pic:blipFill>
                <pic:spPr>
                  <a:xfrm>
                    <a:off x="0" y="0"/>
                    <a:ext cx="7851140" cy="9359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B45B1"/>
    <w:multiLevelType w:val="multilevel"/>
    <w:tmpl w:val="A1F8591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 w15:restartNumberingAfterBreak="0">
    <w:nsid w:val="10FD65B8"/>
    <w:multiLevelType w:val="hybridMultilevel"/>
    <w:tmpl w:val="1004B27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2D530BF"/>
    <w:multiLevelType w:val="multilevel"/>
    <w:tmpl w:val="BC02428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3" w15:restartNumberingAfterBreak="0">
    <w:nsid w:val="23DA26F9"/>
    <w:multiLevelType w:val="multilevel"/>
    <w:tmpl w:val="B6DEE5C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4" w15:restartNumberingAfterBreak="0">
    <w:nsid w:val="46AD16E9"/>
    <w:multiLevelType w:val="multilevel"/>
    <w:tmpl w:val="28DA840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5" w15:restartNumberingAfterBreak="0">
    <w:nsid w:val="50EE01C4"/>
    <w:multiLevelType w:val="hybridMultilevel"/>
    <w:tmpl w:val="FA8A1D74"/>
    <w:lvl w:ilvl="0" w:tplc="140A0001">
      <w:start w:val="1"/>
      <w:numFmt w:val="bullet"/>
      <w:lvlText w:val=""/>
      <w:lvlJc w:val="left"/>
      <w:pPr>
        <w:ind w:left="1080" w:hanging="360"/>
      </w:pPr>
      <w:rPr>
        <w:rFonts w:ascii="Symbol" w:hAnsi="Symbol" w:hint="default"/>
      </w:rPr>
    </w:lvl>
    <w:lvl w:ilvl="1" w:tplc="140A0003">
      <w:start w:val="1"/>
      <w:numFmt w:val="bullet"/>
      <w:lvlText w:val="o"/>
      <w:lvlJc w:val="left"/>
      <w:pPr>
        <w:ind w:left="1800" w:hanging="360"/>
      </w:pPr>
      <w:rPr>
        <w:rFonts w:ascii="Courier New" w:hAnsi="Courier New" w:cs="Courier New" w:hint="default"/>
      </w:rPr>
    </w:lvl>
    <w:lvl w:ilvl="2" w:tplc="140A0005">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 w15:restartNumberingAfterBreak="0">
    <w:nsid w:val="59880669"/>
    <w:multiLevelType w:val="multilevel"/>
    <w:tmpl w:val="1D70B530"/>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7" w15:restartNumberingAfterBreak="0">
    <w:nsid w:val="60EA4C5E"/>
    <w:multiLevelType w:val="multilevel"/>
    <w:tmpl w:val="EFD6AB10"/>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8" w15:restartNumberingAfterBreak="0">
    <w:nsid w:val="6148537E"/>
    <w:multiLevelType w:val="multilevel"/>
    <w:tmpl w:val="AF98F17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9" w15:restartNumberingAfterBreak="0">
    <w:nsid w:val="7FD15957"/>
    <w:multiLevelType w:val="multilevel"/>
    <w:tmpl w:val="507E6900"/>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num w:numId="1" w16cid:durableId="1460949032">
    <w:abstractNumId w:val="5"/>
  </w:num>
  <w:num w:numId="2" w16cid:durableId="1419255323">
    <w:abstractNumId w:val="2"/>
  </w:num>
  <w:num w:numId="3" w16cid:durableId="2056196572">
    <w:abstractNumId w:val="7"/>
  </w:num>
  <w:num w:numId="4" w16cid:durableId="1137995579">
    <w:abstractNumId w:val="6"/>
  </w:num>
  <w:num w:numId="5" w16cid:durableId="1421176079">
    <w:abstractNumId w:val="8"/>
  </w:num>
  <w:num w:numId="6" w16cid:durableId="1381511523">
    <w:abstractNumId w:val="3"/>
  </w:num>
  <w:num w:numId="7" w16cid:durableId="1376587607">
    <w:abstractNumId w:val="9"/>
  </w:num>
  <w:num w:numId="8" w16cid:durableId="1746684983">
    <w:abstractNumId w:val="0"/>
  </w:num>
  <w:num w:numId="9" w16cid:durableId="288823024">
    <w:abstractNumId w:val="4"/>
  </w:num>
  <w:num w:numId="10" w16cid:durableId="4468972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4E6"/>
    <w:rsid w:val="00006C14"/>
    <w:rsid w:val="000173D6"/>
    <w:rsid w:val="000227B6"/>
    <w:rsid w:val="00040B3F"/>
    <w:rsid w:val="000470F2"/>
    <w:rsid w:val="00062484"/>
    <w:rsid w:val="00067F4C"/>
    <w:rsid w:val="00073AC3"/>
    <w:rsid w:val="00084FA0"/>
    <w:rsid w:val="00092787"/>
    <w:rsid w:val="00096C99"/>
    <w:rsid w:val="000D2057"/>
    <w:rsid w:val="000D53AF"/>
    <w:rsid w:val="000F0954"/>
    <w:rsid w:val="001140AC"/>
    <w:rsid w:val="001435BB"/>
    <w:rsid w:val="00144875"/>
    <w:rsid w:val="00165FBB"/>
    <w:rsid w:val="00166BF3"/>
    <w:rsid w:val="0017156D"/>
    <w:rsid w:val="00184A81"/>
    <w:rsid w:val="00190C82"/>
    <w:rsid w:val="00192EE4"/>
    <w:rsid w:val="00194724"/>
    <w:rsid w:val="00195DB4"/>
    <w:rsid w:val="001A4891"/>
    <w:rsid w:val="001B350D"/>
    <w:rsid w:val="002002F7"/>
    <w:rsid w:val="00217160"/>
    <w:rsid w:val="00220FE9"/>
    <w:rsid w:val="00233AA7"/>
    <w:rsid w:val="00247EE9"/>
    <w:rsid w:val="0028471B"/>
    <w:rsid w:val="00286163"/>
    <w:rsid w:val="00294EDF"/>
    <w:rsid w:val="002951D0"/>
    <w:rsid w:val="002A0D48"/>
    <w:rsid w:val="002A15C0"/>
    <w:rsid w:val="002F53D9"/>
    <w:rsid w:val="0033374F"/>
    <w:rsid w:val="00334FCA"/>
    <w:rsid w:val="00341EDB"/>
    <w:rsid w:val="003534F3"/>
    <w:rsid w:val="00373F91"/>
    <w:rsid w:val="003A448E"/>
    <w:rsid w:val="003D0DB0"/>
    <w:rsid w:val="003D707C"/>
    <w:rsid w:val="003F566A"/>
    <w:rsid w:val="004015E4"/>
    <w:rsid w:val="00433AAF"/>
    <w:rsid w:val="00433B6D"/>
    <w:rsid w:val="00434124"/>
    <w:rsid w:val="00447684"/>
    <w:rsid w:val="00453DBF"/>
    <w:rsid w:val="00475ADF"/>
    <w:rsid w:val="00496C92"/>
    <w:rsid w:val="004A4005"/>
    <w:rsid w:val="004C28C0"/>
    <w:rsid w:val="004D05E8"/>
    <w:rsid w:val="004E2339"/>
    <w:rsid w:val="004E25A3"/>
    <w:rsid w:val="004E6493"/>
    <w:rsid w:val="005337AF"/>
    <w:rsid w:val="00551837"/>
    <w:rsid w:val="00580EE2"/>
    <w:rsid w:val="0058700E"/>
    <w:rsid w:val="005A1E40"/>
    <w:rsid w:val="005A3B59"/>
    <w:rsid w:val="005A4058"/>
    <w:rsid w:val="005A62F4"/>
    <w:rsid w:val="005B3499"/>
    <w:rsid w:val="005B4E15"/>
    <w:rsid w:val="005D11C6"/>
    <w:rsid w:val="005E7EDC"/>
    <w:rsid w:val="005F1D48"/>
    <w:rsid w:val="00616421"/>
    <w:rsid w:val="006174B6"/>
    <w:rsid w:val="00620FD1"/>
    <w:rsid w:val="00635761"/>
    <w:rsid w:val="00651F95"/>
    <w:rsid w:val="00674F13"/>
    <w:rsid w:val="006B6420"/>
    <w:rsid w:val="006C43F4"/>
    <w:rsid w:val="006E7102"/>
    <w:rsid w:val="00723E27"/>
    <w:rsid w:val="00731C82"/>
    <w:rsid w:val="00732028"/>
    <w:rsid w:val="0073674D"/>
    <w:rsid w:val="00750034"/>
    <w:rsid w:val="00757EFA"/>
    <w:rsid w:val="00760762"/>
    <w:rsid w:val="007715C5"/>
    <w:rsid w:val="00773B5A"/>
    <w:rsid w:val="00792207"/>
    <w:rsid w:val="007954B8"/>
    <w:rsid w:val="007D1033"/>
    <w:rsid w:val="007E3BC6"/>
    <w:rsid w:val="008002A2"/>
    <w:rsid w:val="0085314A"/>
    <w:rsid w:val="008759C3"/>
    <w:rsid w:val="00876C74"/>
    <w:rsid w:val="00890095"/>
    <w:rsid w:val="0089198F"/>
    <w:rsid w:val="008B0AB8"/>
    <w:rsid w:val="008B1F9D"/>
    <w:rsid w:val="008D36F2"/>
    <w:rsid w:val="008D3F8D"/>
    <w:rsid w:val="008D49A9"/>
    <w:rsid w:val="008F688B"/>
    <w:rsid w:val="00912771"/>
    <w:rsid w:val="00922DCD"/>
    <w:rsid w:val="009314E6"/>
    <w:rsid w:val="009468E8"/>
    <w:rsid w:val="0096098C"/>
    <w:rsid w:val="009824D3"/>
    <w:rsid w:val="009926EB"/>
    <w:rsid w:val="009A30F3"/>
    <w:rsid w:val="009B2A0C"/>
    <w:rsid w:val="009D4EA5"/>
    <w:rsid w:val="00A14B36"/>
    <w:rsid w:val="00A23430"/>
    <w:rsid w:val="00A46054"/>
    <w:rsid w:val="00A57E1C"/>
    <w:rsid w:val="00A651A2"/>
    <w:rsid w:val="00A747B6"/>
    <w:rsid w:val="00AA056F"/>
    <w:rsid w:val="00AA4BEF"/>
    <w:rsid w:val="00AD3D0D"/>
    <w:rsid w:val="00AE4E71"/>
    <w:rsid w:val="00AF11A0"/>
    <w:rsid w:val="00AF404E"/>
    <w:rsid w:val="00B036CF"/>
    <w:rsid w:val="00B20F59"/>
    <w:rsid w:val="00B26B08"/>
    <w:rsid w:val="00B31BB1"/>
    <w:rsid w:val="00B3738B"/>
    <w:rsid w:val="00B4789F"/>
    <w:rsid w:val="00B4793B"/>
    <w:rsid w:val="00B926AD"/>
    <w:rsid w:val="00B92AEA"/>
    <w:rsid w:val="00BA0E33"/>
    <w:rsid w:val="00BC6F73"/>
    <w:rsid w:val="00BC77AB"/>
    <w:rsid w:val="00BC7B16"/>
    <w:rsid w:val="00BE255C"/>
    <w:rsid w:val="00C03EF6"/>
    <w:rsid w:val="00C1082A"/>
    <w:rsid w:val="00C14F4A"/>
    <w:rsid w:val="00C17D63"/>
    <w:rsid w:val="00C34B23"/>
    <w:rsid w:val="00C453C3"/>
    <w:rsid w:val="00C50227"/>
    <w:rsid w:val="00C6415B"/>
    <w:rsid w:val="00C9356C"/>
    <w:rsid w:val="00CB130C"/>
    <w:rsid w:val="00CB7F5C"/>
    <w:rsid w:val="00CC4D28"/>
    <w:rsid w:val="00CD4390"/>
    <w:rsid w:val="00CE1D8B"/>
    <w:rsid w:val="00CE2CFF"/>
    <w:rsid w:val="00CE2EFA"/>
    <w:rsid w:val="00CF39EF"/>
    <w:rsid w:val="00D34CFC"/>
    <w:rsid w:val="00D3766F"/>
    <w:rsid w:val="00D60CBF"/>
    <w:rsid w:val="00D6204D"/>
    <w:rsid w:val="00DC23D9"/>
    <w:rsid w:val="00DC7936"/>
    <w:rsid w:val="00DD11B0"/>
    <w:rsid w:val="00E40501"/>
    <w:rsid w:val="00E45F74"/>
    <w:rsid w:val="00E53BCE"/>
    <w:rsid w:val="00E57551"/>
    <w:rsid w:val="00E57A23"/>
    <w:rsid w:val="00E86EA8"/>
    <w:rsid w:val="00E90138"/>
    <w:rsid w:val="00E92052"/>
    <w:rsid w:val="00EA45B7"/>
    <w:rsid w:val="00EA7065"/>
    <w:rsid w:val="00EB085A"/>
    <w:rsid w:val="00EB15B8"/>
    <w:rsid w:val="00EB1E28"/>
    <w:rsid w:val="00EC11A2"/>
    <w:rsid w:val="00EC7692"/>
    <w:rsid w:val="00ED5EE1"/>
    <w:rsid w:val="00ED720C"/>
    <w:rsid w:val="00ED731A"/>
    <w:rsid w:val="00EE3122"/>
    <w:rsid w:val="00EE3E74"/>
    <w:rsid w:val="00EF2C4C"/>
    <w:rsid w:val="00F03788"/>
    <w:rsid w:val="00F10109"/>
    <w:rsid w:val="00F118EB"/>
    <w:rsid w:val="00F219D6"/>
    <w:rsid w:val="00F25E73"/>
    <w:rsid w:val="00F55E18"/>
    <w:rsid w:val="00F823C2"/>
    <w:rsid w:val="00FA7ADF"/>
    <w:rsid w:val="00FE706A"/>
  </w:rsids>
  <m:mathPr>
    <m:mathFont m:val="Cambria Math"/>
    <m:brkBin m:val="before"/>
    <m:brkBinSub m:val="--"/>
    <m:smallFrac m:val="0"/>
    <m:dispDef/>
    <m:lMargin m:val="0"/>
    <m:rMargin m:val="0"/>
    <m:defJc m:val="centerGroup"/>
    <m:wrapIndent m:val="1440"/>
    <m:intLim m:val="subSup"/>
    <m:naryLim m:val="undOvr"/>
  </m:mathPr>
  <w:themeFontLang w:val="es-C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296F35"/>
  <w15:chartTrackingRefBased/>
  <w15:docId w15:val="{CAFB55A9-A447-814A-897A-87D321A24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7E3BC6"/>
    <w:pPr>
      <w:widowControl w:val="0"/>
      <w:autoSpaceDE w:val="0"/>
      <w:autoSpaceDN w:val="0"/>
      <w:ind w:left="721"/>
      <w:outlineLvl w:val="0"/>
    </w:pPr>
    <w:rPr>
      <w:rFonts w:ascii="Calibri" w:eastAsia="Calibri" w:hAnsi="Calibri" w:cs="Calibri"/>
      <w:b/>
      <w:bCs/>
      <w:sz w:val="22"/>
      <w:szCs w:val="22"/>
      <w:lang w:val="es-ES"/>
    </w:rPr>
  </w:style>
  <w:style w:type="paragraph" w:styleId="Ttulo2">
    <w:name w:val="heading 2"/>
    <w:basedOn w:val="Normal"/>
    <w:next w:val="Normal"/>
    <w:link w:val="Ttulo2Car"/>
    <w:uiPriority w:val="9"/>
    <w:unhideWhenUsed/>
    <w:qFormat/>
    <w:rsid w:val="00760762"/>
    <w:pPr>
      <w:keepNext/>
      <w:keepLines/>
      <w:spacing w:before="40"/>
      <w:outlineLvl w:val="1"/>
    </w:pPr>
    <w:rPr>
      <w:rFonts w:ascii="Arial" w:eastAsiaTheme="majorEastAsia" w:hAnsi="Arial" w:cstheme="majorBidi"/>
      <w:color w:val="2F5496" w:themeColor="accent1" w:themeShade="BF"/>
      <w:sz w:val="28"/>
      <w:szCs w:val="26"/>
    </w:rPr>
  </w:style>
  <w:style w:type="paragraph" w:styleId="Ttulo3">
    <w:name w:val="heading 3"/>
    <w:basedOn w:val="Normal"/>
    <w:next w:val="Normal"/>
    <w:link w:val="Ttulo3Car"/>
    <w:uiPriority w:val="9"/>
    <w:unhideWhenUsed/>
    <w:qFormat/>
    <w:rsid w:val="00B3738B"/>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semiHidden/>
    <w:unhideWhenUsed/>
    <w:qFormat/>
    <w:rsid w:val="00B3738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314E6"/>
    <w:pPr>
      <w:tabs>
        <w:tab w:val="center" w:pos="4680"/>
        <w:tab w:val="right" w:pos="9360"/>
      </w:tabs>
    </w:pPr>
  </w:style>
  <w:style w:type="character" w:customStyle="1" w:styleId="EncabezadoCar">
    <w:name w:val="Encabezado Car"/>
    <w:basedOn w:val="Fuentedeprrafopredeter"/>
    <w:link w:val="Encabezado"/>
    <w:uiPriority w:val="99"/>
    <w:rsid w:val="009314E6"/>
  </w:style>
  <w:style w:type="paragraph" w:styleId="Piedepgina">
    <w:name w:val="footer"/>
    <w:basedOn w:val="Normal"/>
    <w:link w:val="PiedepginaCar"/>
    <w:uiPriority w:val="99"/>
    <w:unhideWhenUsed/>
    <w:rsid w:val="009314E6"/>
    <w:pPr>
      <w:tabs>
        <w:tab w:val="center" w:pos="4680"/>
        <w:tab w:val="right" w:pos="9360"/>
      </w:tabs>
    </w:pPr>
  </w:style>
  <w:style w:type="character" w:customStyle="1" w:styleId="PiedepginaCar">
    <w:name w:val="Pie de página Car"/>
    <w:basedOn w:val="Fuentedeprrafopredeter"/>
    <w:link w:val="Piedepgina"/>
    <w:uiPriority w:val="99"/>
    <w:rsid w:val="009314E6"/>
  </w:style>
  <w:style w:type="character" w:styleId="Nmerodepgina">
    <w:name w:val="page number"/>
    <w:basedOn w:val="Fuentedeprrafopredeter"/>
    <w:uiPriority w:val="99"/>
    <w:semiHidden/>
    <w:unhideWhenUsed/>
    <w:rsid w:val="00792207"/>
  </w:style>
  <w:style w:type="paragraph" w:styleId="Textoindependiente">
    <w:name w:val="Body Text"/>
    <w:basedOn w:val="Normal"/>
    <w:link w:val="TextoindependienteCar"/>
    <w:uiPriority w:val="1"/>
    <w:qFormat/>
    <w:rsid w:val="00674F13"/>
    <w:pPr>
      <w:widowControl w:val="0"/>
      <w:autoSpaceDE w:val="0"/>
      <w:autoSpaceDN w:val="0"/>
    </w:pPr>
    <w:rPr>
      <w:rFonts w:ascii="Calibri" w:eastAsia="Calibri" w:hAnsi="Calibri" w:cs="Calibri"/>
      <w:sz w:val="22"/>
      <w:szCs w:val="22"/>
      <w:lang w:val="es-ES"/>
    </w:rPr>
  </w:style>
  <w:style w:type="character" w:customStyle="1" w:styleId="TextoindependienteCar">
    <w:name w:val="Texto independiente Car"/>
    <w:basedOn w:val="Fuentedeprrafopredeter"/>
    <w:link w:val="Textoindependiente"/>
    <w:uiPriority w:val="1"/>
    <w:rsid w:val="00674F13"/>
    <w:rPr>
      <w:rFonts w:ascii="Calibri" w:eastAsia="Calibri" w:hAnsi="Calibri" w:cs="Calibri"/>
      <w:sz w:val="22"/>
      <w:szCs w:val="22"/>
      <w:lang w:val="es-ES"/>
    </w:rPr>
  </w:style>
  <w:style w:type="character" w:customStyle="1" w:styleId="Ttulo1Car">
    <w:name w:val="Título 1 Car"/>
    <w:basedOn w:val="Fuentedeprrafopredeter"/>
    <w:link w:val="Ttulo1"/>
    <w:uiPriority w:val="9"/>
    <w:rsid w:val="007E3BC6"/>
    <w:rPr>
      <w:rFonts w:ascii="Calibri" w:eastAsia="Calibri" w:hAnsi="Calibri" w:cs="Calibri"/>
      <w:b/>
      <w:bCs/>
      <w:sz w:val="22"/>
      <w:szCs w:val="22"/>
      <w:lang w:val="es-ES"/>
    </w:rPr>
  </w:style>
  <w:style w:type="character" w:customStyle="1" w:styleId="Ttulo2Car">
    <w:name w:val="Título 2 Car"/>
    <w:basedOn w:val="Fuentedeprrafopredeter"/>
    <w:link w:val="Ttulo2"/>
    <w:uiPriority w:val="9"/>
    <w:rsid w:val="00760762"/>
    <w:rPr>
      <w:rFonts w:ascii="Arial" w:eastAsiaTheme="majorEastAsia" w:hAnsi="Arial" w:cstheme="majorBidi"/>
      <w:color w:val="2F5496" w:themeColor="accent1" w:themeShade="BF"/>
      <w:sz w:val="28"/>
      <w:szCs w:val="26"/>
    </w:rPr>
  </w:style>
  <w:style w:type="paragraph" w:styleId="TtuloTDC">
    <w:name w:val="TOC Heading"/>
    <w:basedOn w:val="Ttulo1"/>
    <w:next w:val="Normal"/>
    <w:uiPriority w:val="39"/>
    <w:unhideWhenUsed/>
    <w:qFormat/>
    <w:rsid w:val="00BC77AB"/>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F5496" w:themeColor="accent1" w:themeShade="BF"/>
      <w:sz w:val="32"/>
      <w:szCs w:val="32"/>
      <w:lang w:val="es-CR" w:eastAsia="es-CR"/>
    </w:rPr>
  </w:style>
  <w:style w:type="paragraph" w:styleId="TDC2">
    <w:name w:val="toc 2"/>
    <w:basedOn w:val="Normal"/>
    <w:next w:val="Normal"/>
    <w:autoRedefine/>
    <w:uiPriority w:val="39"/>
    <w:unhideWhenUsed/>
    <w:rsid w:val="00BC77AB"/>
    <w:pPr>
      <w:spacing w:after="100"/>
      <w:ind w:left="240"/>
    </w:pPr>
  </w:style>
  <w:style w:type="character" w:styleId="Hipervnculo">
    <w:name w:val="Hyperlink"/>
    <w:basedOn w:val="Fuentedeprrafopredeter"/>
    <w:uiPriority w:val="99"/>
    <w:unhideWhenUsed/>
    <w:rsid w:val="00BC77AB"/>
    <w:rPr>
      <w:color w:val="0563C1" w:themeColor="hyperlink"/>
      <w:u w:val="single"/>
    </w:rPr>
  </w:style>
  <w:style w:type="paragraph" w:styleId="Prrafodelista">
    <w:name w:val="List Paragraph"/>
    <w:aliases w:val="Flu 1"/>
    <w:basedOn w:val="Normal"/>
    <w:link w:val="PrrafodelistaCar"/>
    <w:uiPriority w:val="34"/>
    <w:qFormat/>
    <w:rsid w:val="004E25A3"/>
    <w:pPr>
      <w:ind w:left="720"/>
      <w:contextualSpacing/>
    </w:pPr>
  </w:style>
  <w:style w:type="table" w:styleId="Tablaconcuadrcula">
    <w:name w:val="Table Grid"/>
    <w:basedOn w:val="Tablanormal"/>
    <w:uiPriority w:val="39"/>
    <w:rsid w:val="00E45F74"/>
    <w:rPr>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B3738B"/>
    <w:rPr>
      <w:rFonts w:asciiTheme="majorHAnsi" w:eastAsiaTheme="majorEastAsia" w:hAnsiTheme="majorHAnsi" w:cstheme="majorBidi"/>
      <w:color w:val="1F3763" w:themeColor="accent1" w:themeShade="7F"/>
    </w:rPr>
  </w:style>
  <w:style w:type="character" w:customStyle="1" w:styleId="Ttulo4Car">
    <w:name w:val="Título 4 Car"/>
    <w:basedOn w:val="Fuentedeprrafopredeter"/>
    <w:link w:val="Ttulo4"/>
    <w:uiPriority w:val="9"/>
    <w:semiHidden/>
    <w:rsid w:val="00B3738B"/>
    <w:rPr>
      <w:rFonts w:asciiTheme="majorHAnsi" w:eastAsiaTheme="majorEastAsia" w:hAnsiTheme="majorHAnsi" w:cstheme="majorBidi"/>
      <w:i/>
      <w:iCs/>
      <w:color w:val="2F5496" w:themeColor="accent1" w:themeShade="BF"/>
    </w:rPr>
  </w:style>
  <w:style w:type="paragraph" w:styleId="NormalWeb">
    <w:name w:val="Normal (Web)"/>
    <w:basedOn w:val="Normal"/>
    <w:rsid w:val="00B3738B"/>
    <w:pPr>
      <w:suppressAutoHyphens/>
      <w:autoSpaceDN w:val="0"/>
      <w:spacing w:before="100" w:after="100"/>
    </w:pPr>
    <w:rPr>
      <w:rFonts w:ascii="Times New Roman" w:eastAsia="Times New Roman" w:hAnsi="Times New Roman" w:cs="Times New Roman"/>
      <w:lang w:eastAsia="es-CR"/>
    </w:rPr>
  </w:style>
  <w:style w:type="character" w:styleId="Refdecomentario">
    <w:name w:val="annotation reference"/>
    <w:basedOn w:val="Fuentedeprrafopredeter"/>
    <w:rsid w:val="00B3738B"/>
    <w:rPr>
      <w:sz w:val="16"/>
      <w:szCs w:val="16"/>
    </w:rPr>
  </w:style>
  <w:style w:type="paragraph" w:styleId="Textocomentario">
    <w:name w:val="annotation text"/>
    <w:basedOn w:val="Normal"/>
    <w:link w:val="TextocomentarioCar"/>
    <w:rsid w:val="00B3738B"/>
    <w:pPr>
      <w:suppressAutoHyphens/>
      <w:autoSpaceDN w:val="0"/>
      <w:spacing w:after="160"/>
    </w:pPr>
    <w:rPr>
      <w:rFonts w:ascii="Aptos" w:eastAsia="Aptos" w:hAnsi="Aptos" w:cs="Times New Roman"/>
      <w:kern w:val="3"/>
      <w:sz w:val="20"/>
      <w:szCs w:val="20"/>
    </w:rPr>
  </w:style>
  <w:style w:type="character" w:customStyle="1" w:styleId="TextocomentarioCar">
    <w:name w:val="Texto comentario Car"/>
    <w:basedOn w:val="Fuentedeprrafopredeter"/>
    <w:link w:val="Textocomentario"/>
    <w:rsid w:val="00B3738B"/>
    <w:rPr>
      <w:rFonts w:ascii="Aptos" w:eastAsia="Aptos" w:hAnsi="Aptos" w:cs="Times New Roman"/>
      <w:kern w:val="3"/>
      <w:sz w:val="20"/>
      <w:szCs w:val="20"/>
    </w:rPr>
  </w:style>
  <w:style w:type="paragraph" w:styleId="Textonotapie">
    <w:name w:val="footnote text"/>
    <w:basedOn w:val="Normal"/>
    <w:link w:val="TextonotapieCar"/>
    <w:rsid w:val="00B3738B"/>
    <w:pPr>
      <w:suppressAutoHyphens/>
      <w:autoSpaceDN w:val="0"/>
    </w:pPr>
    <w:rPr>
      <w:rFonts w:ascii="Aptos" w:eastAsia="Aptos" w:hAnsi="Aptos" w:cs="Times New Roman"/>
      <w:kern w:val="3"/>
      <w:sz w:val="20"/>
      <w:szCs w:val="20"/>
    </w:rPr>
  </w:style>
  <w:style w:type="character" w:customStyle="1" w:styleId="TextonotapieCar">
    <w:name w:val="Texto nota pie Car"/>
    <w:basedOn w:val="Fuentedeprrafopredeter"/>
    <w:link w:val="Textonotapie"/>
    <w:rsid w:val="00B3738B"/>
    <w:rPr>
      <w:rFonts w:ascii="Aptos" w:eastAsia="Aptos" w:hAnsi="Aptos" w:cs="Times New Roman"/>
      <w:kern w:val="3"/>
      <w:sz w:val="20"/>
      <w:szCs w:val="20"/>
    </w:rPr>
  </w:style>
  <w:style w:type="character" w:styleId="Refdenotaalpie">
    <w:name w:val="footnote reference"/>
    <w:basedOn w:val="Fuentedeprrafopredeter"/>
    <w:rsid w:val="00B3738B"/>
    <w:rPr>
      <w:position w:val="0"/>
      <w:vertAlign w:val="superscript"/>
    </w:rPr>
  </w:style>
  <w:style w:type="paragraph" w:styleId="TDC3">
    <w:name w:val="toc 3"/>
    <w:basedOn w:val="Normal"/>
    <w:next w:val="Normal"/>
    <w:autoRedefine/>
    <w:uiPriority w:val="39"/>
    <w:unhideWhenUsed/>
    <w:rsid w:val="00723E27"/>
    <w:pPr>
      <w:spacing w:after="100"/>
      <w:ind w:left="480"/>
    </w:pPr>
  </w:style>
  <w:style w:type="character" w:styleId="nfasissutil">
    <w:name w:val="Subtle Emphasis"/>
    <w:basedOn w:val="Fuentedeprrafopredeter"/>
    <w:uiPriority w:val="19"/>
    <w:qFormat/>
    <w:rsid w:val="009A30F3"/>
    <w:rPr>
      <w:i/>
      <w:iCs/>
      <w:color w:val="404040" w:themeColor="text1" w:themeTint="BF"/>
    </w:rPr>
  </w:style>
  <w:style w:type="character" w:styleId="nfasisintenso">
    <w:name w:val="Intense Emphasis"/>
    <w:basedOn w:val="Fuentedeprrafopredeter"/>
    <w:uiPriority w:val="21"/>
    <w:qFormat/>
    <w:rsid w:val="009A30F3"/>
    <w:rPr>
      <w:i/>
      <w:iCs/>
      <w:color w:val="4472C4" w:themeColor="accent1"/>
    </w:rPr>
  </w:style>
  <w:style w:type="character" w:customStyle="1" w:styleId="PrrafodelistaCar">
    <w:name w:val="Párrafo de lista Car"/>
    <w:aliases w:val="Flu 1 Car"/>
    <w:link w:val="Prrafodelista"/>
    <w:uiPriority w:val="34"/>
    <w:locked/>
    <w:rsid w:val="009A3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3.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 Type="http://schemas.openxmlformats.org/officeDocument/2006/relationships/numbering" Target="numbering.xml"/><Relationship Id="rId16" Type="http://schemas.microsoft.com/office/2014/relationships/chartEx" Target="charts/chartEx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IvanniaCaravacaRodr&#237;\Downloads\Analisis%20CONSOLIDADO%20BROTES%202025%20-%20Copia%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vanniaCaravacaRodr&#237;\Downloads\Analisis%20CONSOLIDADO%20BROTES%202025%20-%20Copia%20(1).xlsx" TargetMode="External"/><Relationship Id="rId2" Type="http://schemas.microsoft.com/office/2011/relationships/chartColorStyle" Target="colors3.xml"/><Relationship Id="rId1" Type="http://schemas.microsoft.com/office/2011/relationships/chartStyle" Target="style3.xml"/></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IvanniaCaravacaRodr&#237;\Downloads\Analisis%20CONSOLIDADO%20BROTES%202025%20-%20Copia%20(1).xlsx" TargetMode="External"/><Relationship Id="rId4"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Hoja1!$A$3:$A$11</c:f>
              <c:strCache>
                <c:ptCount val="9"/>
                <c:pt idx="0">
                  <c:v>R. CENTRAL NORTE</c:v>
                </c:pt>
                <c:pt idx="1">
                  <c:v>R. CENTRAL SUR</c:v>
                </c:pt>
                <c:pt idx="2">
                  <c:v>R. PACIFICO CENTRAL</c:v>
                </c:pt>
                <c:pt idx="3">
                  <c:v>R. HUETAR CARIBE</c:v>
                </c:pt>
                <c:pt idx="4">
                  <c:v>R. CENTRAL ESTE</c:v>
                </c:pt>
                <c:pt idx="5">
                  <c:v>R. CHOROTEGA</c:v>
                </c:pt>
                <c:pt idx="6">
                  <c:v>R. HUETAR NORTE</c:v>
                </c:pt>
                <c:pt idx="7">
                  <c:v>R. BRUNCA</c:v>
                </c:pt>
                <c:pt idx="8">
                  <c:v>R. OCCIDENTE</c:v>
                </c:pt>
              </c:strCache>
            </c:strRef>
          </c:cat>
          <c:val>
            <c:numRef>
              <c:f>Hoja1!$B$3:$B$11</c:f>
              <c:numCache>
                <c:formatCode>General</c:formatCode>
                <c:ptCount val="9"/>
                <c:pt idx="0">
                  <c:v>7</c:v>
                </c:pt>
                <c:pt idx="1">
                  <c:v>3</c:v>
                </c:pt>
                <c:pt idx="2">
                  <c:v>2</c:v>
                </c:pt>
                <c:pt idx="3">
                  <c:v>2</c:v>
                </c:pt>
                <c:pt idx="4">
                  <c:v>1</c:v>
                </c:pt>
                <c:pt idx="5">
                  <c:v>2</c:v>
                </c:pt>
                <c:pt idx="6">
                  <c:v>1</c:v>
                </c:pt>
                <c:pt idx="7">
                  <c:v>1</c:v>
                </c:pt>
                <c:pt idx="8">
                  <c:v>1</c:v>
                </c:pt>
              </c:numCache>
            </c:numRef>
          </c:val>
          <c:extLst>
            <c:ext xmlns:c16="http://schemas.microsoft.com/office/drawing/2014/chart" uri="{C3380CC4-5D6E-409C-BE32-E72D297353CC}">
              <c16:uniqueId val="{00000000-F35E-46BD-BB39-CBBF9B98F985}"/>
            </c:ext>
          </c:extLst>
        </c:ser>
        <c:dLbls>
          <c:showLegendKey val="0"/>
          <c:showVal val="0"/>
          <c:showCatName val="0"/>
          <c:showSerName val="0"/>
          <c:showPercent val="0"/>
          <c:showBubbleSize val="0"/>
        </c:dLbls>
        <c:gapWidth val="182"/>
        <c:axId val="1258257487"/>
        <c:axId val="1258264687"/>
      </c:barChart>
      <c:catAx>
        <c:axId val="125825748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Regiones rectoras de Salud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258264687"/>
        <c:crosses val="autoZero"/>
        <c:auto val="1"/>
        <c:lblAlgn val="ctr"/>
        <c:lblOffset val="100"/>
        <c:noMultiLvlLbl val="0"/>
      </c:catAx>
      <c:valAx>
        <c:axId val="125826468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Número</a:t>
                </a:r>
                <a:r>
                  <a:rPr lang="es-CR" baseline="0"/>
                  <a:t> de brotes</a:t>
                </a:r>
                <a:endParaRPr lang="es-CR"/>
              </a:p>
            </c:rich>
          </c:tx>
          <c:layout>
            <c:manualLayout>
              <c:xMode val="edge"/>
              <c:yMode val="edge"/>
              <c:x val="0.39531867891513561"/>
              <c:y val="0.9060524721859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25825748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Hoja3!$H$2:$H$9</c:f>
              <c:strCache>
                <c:ptCount val="8"/>
                <c:pt idx="0">
                  <c:v>Desconocidos</c:v>
                </c:pt>
                <c:pt idx="1">
                  <c:v>Escherichia coli </c:v>
                </c:pt>
                <c:pt idx="2">
                  <c:v>Salmonella spp</c:v>
                </c:pt>
                <c:pt idx="3">
                  <c:v>Staphylococcus aureus </c:v>
                </c:pt>
                <c:pt idx="4">
                  <c:v>Norovirus</c:v>
                </c:pt>
                <c:pt idx="5">
                  <c:v>Shigella spp</c:v>
                </c:pt>
                <c:pt idx="6">
                  <c:v>Astrovirus</c:v>
                </c:pt>
                <c:pt idx="7">
                  <c:v>Campilobacter</c:v>
                </c:pt>
              </c:strCache>
            </c:strRef>
          </c:cat>
          <c:val>
            <c:numRef>
              <c:f>Hoja3!$I$2:$I$9</c:f>
              <c:numCache>
                <c:formatCode>General</c:formatCode>
                <c:ptCount val="8"/>
                <c:pt idx="0">
                  <c:v>6</c:v>
                </c:pt>
                <c:pt idx="1">
                  <c:v>5</c:v>
                </c:pt>
                <c:pt idx="2">
                  <c:v>3</c:v>
                </c:pt>
                <c:pt idx="3">
                  <c:v>2</c:v>
                </c:pt>
                <c:pt idx="4">
                  <c:v>1</c:v>
                </c:pt>
                <c:pt idx="5">
                  <c:v>1</c:v>
                </c:pt>
                <c:pt idx="6">
                  <c:v>1</c:v>
                </c:pt>
                <c:pt idx="7">
                  <c:v>1</c:v>
                </c:pt>
              </c:numCache>
            </c:numRef>
          </c:val>
          <c:extLst>
            <c:ext xmlns:c16="http://schemas.microsoft.com/office/drawing/2014/chart" uri="{C3380CC4-5D6E-409C-BE32-E72D297353CC}">
              <c16:uniqueId val="{00000000-0594-402F-BC93-6AEB72C76418}"/>
            </c:ext>
          </c:extLst>
        </c:ser>
        <c:dLbls>
          <c:showLegendKey val="0"/>
          <c:showVal val="0"/>
          <c:showCatName val="0"/>
          <c:showSerName val="0"/>
          <c:showPercent val="0"/>
          <c:showBubbleSize val="0"/>
        </c:dLbls>
        <c:gapWidth val="182"/>
        <c:axId val="1617477967"/>
        <c:axId val="1617487087"/>
      </c:barChart>
      <c:catAx>
        <c:axId val="16174779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617487087"/>
        <c:crosses val="autoZero"/>
        <c:auto val="1"/>
        <c:lblAlgn val="ctr"/>
        <c:lblOffset val="100"/>
        <c:noMultiLvlLbl val="0"/>
      </c:catAx>
      <c:valAx>
        <c:axId val="161748708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61747796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Hoja1!$S$5:$S$11</cx:f>
        <cx:lvl ptCount="7">
          <cx:pt idx="0">SERVICIO DE SALUD (1)</cx:pt>
          <cx:pt idx="1">HOGAR DE LARGA ESTANCIA (4)</cx:pt>
          <cx:pt idx="2">INTRAFAMILIAR (2)</cx:pt>
          <cx:pt idx="3">CENTRO EDUCATIVO (3)</cx:pt>
          <cx:pt idx="4">COMUNITARIO (3)</cx:pt>
          <cx:pt idx="5">SERVICIO DE ALIMENTOS (5)</cx:pt>
          <cx:pt idx="6">CENTRO PENITENCIARIO (2)</cx:pt>
        </cx:lvl>
      </cx:strDim>
      <cx:numDim type="size">
        <cx:f>Hoja1!$T$5:$T$11</cx:f>
        <cx:lvl ptCount="7" formatCode="General">
          <cx:pt idx="0">1</cx:pt>
          <cx:pt idx="1">4</cx:pt>
          <cx:pt idx="2">2</cx:pt>
          <cx:pt idx="3">3</cx:pt>
          <cx:pt idx="4">3</cx:pt>
          <cx:pt idx="5">5</cx:pt>
          <cx:pt idx="6">2</cx:pt>
        </cx:lvl>
      </cx:numDim>
    </cx:data>
  </cx:chartData>
  <cx:chart>
    <cx:title pos="t" align="ctr" overlay="0">
      <cx:tx>
        <cx:txData>
          <cx:v/>
        </cx:txData>
      </cx:tx>
      <cx:txPr>
        <a:bodyPr spcFirstLastPara="1" vertOverflow="ellipsis" horzOverflow="overflow" wrap="square" lIns="0" tIns="0" rIns="0" bIns="0" anchor="ctr" anchorCtr="1"/>
        <a:lstStyle/>
        <a:p>
          <a:pPr algn="ctr" rtl="0">
            <a:defRPr/>
          </a:pPr>
          <a:endParaRPr lang="es-ES" sz="1400" b="0" i="0" u="none" strike="noStrike" baseline="0">
            <a:solidFill>
              <a:sysClr val="windowText" lastClr="000000">
                <a:lumMod val="65000"/>
                <a:lumOff val="35000"/>
              </a:sysClr>
            </a:solidFill>
            <a:latin typeface="Calibri" panose="020F0502020204030204"/>
          </a:endParaRPr>
        </a:p>
      </cx:txPr>
    </cx:title>
    <cx:plotArea>
      <cx:plotAreaRegion>
        <cx:series layoutId="treemap" uniqueId="{B581F6DB-F40F-4E13-A49D-3822327A1872}">
          <cx:tx>
            <cx:txData>
              <cx:f>Hoja1!$T$4</cx:f>
              <cx:v/>
            </cx:txData>
          </cx:tx>
          <cx:dataLabels>
            <cx:visibility seriesName="0" categoryName="1" value="0"/>
          </cx:dataLabels>
          <cx:dataId val="0"/>
          <cx:layoutPr>
            <cx:parentLabelLayout val="overlapping"/>
          </cx:layoutPr>
        </cx:series>
      </cx:plotAreaRegion>
    </cx:plotArea>
    <cx:legend pos="t" align="ctr" overlay="0"/>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410">
  <cs:axisTitle>
    <cs:lnRef idx="0"/>
    <cs:fillRef idx="0"/>
    <cs:effectRef idx="0"/>
    <cs:fontRef idx="minor">
      <a:schemeClr val="tx1">
        <a:lumMod val="65000"/>
        <a:lumOff val="35000"/>
      </a:schemeClr>
    </cs:fontRef>
    <cs:spPr>
      <a:solidFill>
        <a:schemeClr val="bg1">
          <a:lumMod val="65000"/>
        </a:schemeClr>
      </a:solidFill>
      <a:ln w="19050">
        <a:solidFill>
          <a:schemeClr val="bg1"/>
        </a:solidFill>
      </a:ln>
    </cs:spPr>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7A1B9-A56D-4C90-B465-48E871E55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2006</Words>
  <Characters>12280</Characters>
  <Application>Microsoft Office Word</Application>
  <DocSecurity>0</DocSecurity>
  <Lines>341</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Francine Rojas Hernández</dc:creator>
  <cp:keywords/>
  <dc:description/>
  <cp:lastModifiedBy>Ivannia Caravaca Rodríguez</cp:lastModifiedBy>
  <cp:revision>3</cp:revision>
  <cp:lastPrinted>2025-10-27T21:14:00Z</cp:lastPrinted>
  <dcterms:created xsi:type="dcterms:W3CDTF">2026-02-27T20:05:00Z</dcterms:created>
  <dcterms:modified xsi:type="dcterms:W3CDTF">2026-02-27T20:12:00Z</dcterms:modified>
</cp:coreProperties>
</file>