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70D69" w14:textId="6186D2E4" w:rsidR="003B20E4" w:rsidRPr="00C81813" w:rsidRDefault="00EC74ED" w:rsidP="00C81813">
      <w:pPr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0" w:name="_Toc211957978"/>
      <w:r w:rsidRPr="00C81813">
        <w:rPr>
          <w:rFonts w:ascii="Arial" w:hAnsi="Arial" w:cs="Arial"/>
          <w:b/>
          <w:bCs/>
          <w:color w:val="000000"/>
        </w:rPr>
        <w:t xml:space="preserve">Anexo </w:t>
      </w:r>
      <w:r w:rsidR="00C81813" w:rsidRPr="00C81813">
        <w:rPr>
          <w:rFonts w:ascii="Arial" w:hAnsi="Arial" w:cs="Arial"/>
          <w:b/>
          <w:bCs/>
          <w:color w:val="000000"/>
        </w:rPr>
        <w:t>7.</w:t>
      </w:r>
      <w:r w:rsidRPr="00C81813">
        <w:rPr>
          <w:rFonts w:ascii="Arial" w:hAnsi="Arial" w:cs="Arial"/>
          <w:b/>
          <w:bCs/>
          <w:color w:val="000000"/>
        </w:rPr>
        <w:t xml:space="preserve"> Instrumentos de Evaluación Temprana de la Acción mediante la métrica de puntualidad </w:t>
      </w:r>
      <w:bookmarkStart w:id="1" w:name="_Toc211957979"/>
      <w:bookmarkEnd w:id="0"/>
      <w:r w:rsidRPr="00C81813">
        <w:rPr>
          <w:rFonts w:ascii="Arial" w:hAnsi="Arial" w:cs="Arial"/>
          <w:b/>
          <w:bCs/>
          <w:color w:val="000000"/>
        </w:rPr>
        <w:t>7-1-7</w:t>
      </w:r>
    </w:p>
    <w:p w14:paraId="618DFF03" w14:textId="77777777" w:rsidR="00C81813" w:rsidRDefault="00C81813" w:rsidP="00C81813">
      <w:pPr>
        <w:spacing w:line="240" w:lineRule="auto"/>
        <w:rPr>
          <w:rFonts w:ascii="Arial" w:hAnsi="Arial" w:cs="Arial"/>
          <w:b/>
          <w:bCs/>
          <w:color w:val="000000"/>
        </w:rPr>
      </w:pPr>
    </w:p>
    <w:p w14:paraId="2ACA2F97" w14:textId="6B6A2157" w:rsidR="003B20E4" w:rsidRPr="00C81813" w:rsidRDefault="00EC74ED" w:rsidP="00C81813">
      <w:pPr>
        <w:spacing w:line="240" w:lineRule="auto"/>
        <w:rPr>
          <w:rFonts w:ascii="Arial" w:hAnsi="Arial" w:cs="Arial"/>
          <w:b/>
          <w:bCs/>
          <w:color w:val="000000"/>
        </w:rPr>
      </w:pPr>
      <w:r w:rsidRPr="00C81813">
        <w:rPr>
          <w:rFonts w:ascii="Arial" w:hAnsi="Arial" w:cs="Arial"/>
          <w:b/>
          <w:bCs/>
          <w:color w:val="000000"/>
        </w:rPr>
        <w:t>Anexo 7.1. Métrica para calcular la puntualidad en intervalos de 7-1-7</w:t>
      </w:r>
      <w:bookmarkEnd w:id="1"/>
    </w:p>
    <w:tbl>
      <w:tblPr>
        <w:tblW w:w="108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0"/>
        <w:gridCol w:w="3920"/>
        <w:gridCol w:w="2100"/>
        <w:gridCol w:w="1460"/>
        <w:gridCol w:w="1440"/>
      </w:tblGrid>
      <w:tr w:rsidR="003B20E4" w:rsidRPr="00C81813" w14:paraId="4A40654C" w14:textId="77777777">
        <w:trPr>
          <w:trHeight w:val="840"/>
        </w:trPr>
        <w:tc>
          <w:tcPr>
            <w:tcW w:w="1940" w:type="dxa"/>
            <w:tcBorders>
              <w:top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C14C8C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>Intervalo</w:t>
            </w:r>
          </w:p>
        </w:tc>
        <w:tc>
          <w:tcPr>
            <w:tcW w:w="3920" w:type="dxa"/>
            <w:tcBorders>
              <w:top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26190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 xml:space="preserve">Cálculo en días                               </w:t>
            </w:r>
          </w:p>
        </w:tc>
        <w:tc>
          <w:tcPr>
            <w:tcW w:w="2100" w:type="dxa"/>
            <w:tcBorders>
              <w:top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85AED3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>Puntualidad en días</w:t>
            </w:r>
          </w:p>
        </w:tc>
        <w:tc>
          <w:tcPr>
            <w:tcW w:w="1460" w:type="dxa"/>
            <w:tcBorders>
              <w:top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90A281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 xml:space="preserve">Objetivo                   en días </w:t>
            </w:r>
          </w:p>
        </w:tc>
        <w:tc>
          <w:tcPr>
            <w:tcW w:w="1440" w:type="dxa"/>
            <w:tcBorders>
              <w:top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B6FE24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>¿Objetivo cumplido? SI/NO</w:t>
            </w:r>
          </w:p>
        </w:tc>
      </w:tr>
      <w:tr w:rsidR="003B20E4" w:rsidRPr="00C81813" w14:paraId="46013204" w14:textId="77777777">
        <w:trPr>
          <w:trHeight w:val="500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7AF39F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Detección</w:t>
            </w:r>
          </w:p>
        </w:tc>
        <w:tc>
          <w:tcPr>
            <w:tcW w:w="3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E0DA87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 xml:space="preserve">Diferencias entre las fechas de aparición y detección </w:t>
            </w:r>
          </w:p>
        </w:tc>
        <w:tc>
          <w:tcPr>
            <w:tcW w:w="21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32C369F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</w:rPr>
              <w:t> 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3859D6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DB4C0C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</w:rPr>
              <w:t> </w:t>
            </w:r>
          </w:p>
        </w:tc>
      </w:tr>
      <w:tr w:rsidR="003B20E4" w:rsidRPr="00C81813" w14:paraId="36B8CDDD" w14:textId="77777777">
        <w:trPr>
          <w:trHeight w:val="500"/>
        </w:trPr>
        <w:tc>
          <w:tcPr>
            <w:tcW w:w="1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88C22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Notificación</w:t>
            </w:r>
          </w:p>
        </w:tc>
        <w:tc>
          <w:tcPr>
            <w:tcW w:w="39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54D589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 xml:space="preserve">Diferencias entre las fechas de detección y notificación </w:t>
            </w:r>
          </w:p>
        </w:tc>
        <w:tc>
          <w:tcPr>
            <w:tcW w:w="21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90B2CC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2827A1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53E6D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3B20E4" w:rsidRPr="00C81813" w14:paraId="1F4AB585" w14:textId="77777777">
        <w:trPr>
          <w:trHeight w:val="750"/>
        </w:trPr>
        <w:tc>
          <w:tcPr>
            <w:tcW w:w="1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BE7146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 xml:space="preserve">Respuesta </w:t>
            </w:r>
          </w:p>
        </w:tc>
        <w:tc>
          <w:tcPr>
            <w:tcW w:w="39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0C6A0A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Diferencias entre las fechas de notificación y finalización de la última acción de respuesta temprana</w:t>
            </w:r>
          </w:p>
        </w:tc>
        <w:tc>
          <w:tcPr>
            <w:tcW w:w="21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4CD2C8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F11A1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4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43890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</w:tbl>
    <w:p w14:paraId="1022748E" w14:textId="77777777" w:rsidR="003B20E4" w:rsidRPr="00C81813" w:rsidRDefault="00EC74ED">
      <w:pPr>
        <w:spacing w:line="240" w:lineRule="auto"/>
        <w:rPr>
          <w:rFonts w:ascii="Arial" w:hAnsi="Arial" w:cs="Arial"/>
        </w:rPr>
      </w:pPr>
      <w:r w:rsidRPr="00C81813">
        <w:rPr>
          <w:rFonts w:ascii="Arial" w:hAnsi="Arial" w:cs="Arial"/>
        </w:rPr>
        <w:t xml:space="preserve"> </w:t>
      </w:r>
      <w:r w:rsidRPr="00C81813">
        <w:rPr>
          <w:rFonts w:ascii="Arial" w:hAnsi="Arial" w:cs="Arial"/>
          <w:color w:val="000000"/>
        </w:rPr>
        <w:t>Fuente: 7-1-1 Alliance, Biblioteca de recursos. Obtenido 2025</w:t>
      </w:r>
    </w:p>
    <w:p w14:paraId="14DE18C5" w14:textId="77777777" w:rsidR="003B20E4" w:rsidRPr="00C81813" w:rsidRDefault="00EC74ED">
      <w:pPr>
        <w:spacing w:line="240" w:lineRule="auto"/>
        <w:rPr>
          <w:rFonts w:ascii="Arial" w:hAnsi="Arial" w:cs="Arial"/>
        </w:rPr>
      </w:pPr>
      <w:r w:rsidRPr="00C81813">
        <w:rPr>
          <w:rFonts w:ascii="Arial" w:hAnsi="Arial" w:cs="Arial"/>
          <w:color w:val="000000"/>
        </w:rPr>
        <w:t xml:space="preserve"> </w:t>
      </w:r>
      <w:hyperlink r:id="rId7" w:history="1">
        <w:r w:rsidRPr="00C81813">
          <w:rPr>
            <w:rStyle w:val="Hipervnculo"/>
            <w:rFonts w:ascii="Arial" w:hAnsi="Arial" w:cs="Arial"/>
          </w:rPr>
          <w:t>https://717alliance.org/resource-library/?category=guidance-tools-and-toolkit</w:t>
        </w:r>
      </w:hyperlink>
    </w:p>
    <w:p w14:paraId="09A9C71B" w14:textId="77777777" w:rsidR="00C81813" w:rsidRDefault="00C81813" w:rsidP="00C81813">
      <w:pPr>
        <w:spacing w:line="240" w:lineRule="auto"/>
        <w:rPr>
          <w:rFonts w:ascii="Arial" w:hAnsi="Arial" w:cs="Arial"/>
          <w:b/>
          <w:bCs/>
          <w:color w:val="000000"/>
        </w:rPr>
      </w:pPr>
      <w:bookmarkStart w:id="2" w:name="_Toc211957980"/>
    </w:p>
    <w:p w14:paraId="27690559" w14:textId="09547F71" w:rsidR="003B20E4" w:rsidRPr="00C81813" w:rsidRDefault="00EC74ED" w:rsidP="00C81813">
      <w:pPr>
        <w:spacing w:line="240" w:lineRule="auto"/>
        <w:rPr>
          <w:rFonts w:ascii="Arial" w:hAnsi="Arial" w:cs="Arial"/>
          <w:b/>
          <w:bCs/>
          <w:color w:val="000000"/>
        </w:rPr>
      </w:pPr>
      <w:r w:rsidRPr="00C81813">
        <w:rPr>
          <w:rFonts w:ascii="Arial" w:hAnsi="Arial" w:cs="Arial"/>
          <w:b/>
          <w:bCs/>
          <w:color w:val="000000"/>
        </w:rPr>
        <w:t>Anexo 7.2. Identificar cuellos de botella o dificultades y facilitadores</w:t>
      </w:r>
      <w:bookmarkEnd w:id="2"/>
      <w:r w:rsidRPr="00C81813">
        <w:rPr>
          <w:rFonts w:ascii="Arial" w:hAnsi="Arial" w:cs="Arial"/>
          <w:b/>
          <w:bCs/>
          <w:color w:val="000000"/>
        </w:rPr>
        <w:t xml:space="preserve"> </w:t>
      </w:r>
    </w:p>
    <w:tbl>
      <w:tblPr>
        <w:tblW w:w="103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3184"/>
        <w:gridCol w:w="4341"/>
      </w:tblGrid>
      <w:tr w:rsidR="00C81813" w:rsidRPr="00C81813" w14:paraId="392099AC" w14:textId="77777777">
        <w:trPr>
          <w:trHeight w:val="331"/>
        </w:trPr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C577FA" w14:textId="77777777" w:rsidR="00C81813" w:rsidRPr="00C81813" w:rsidRDefault="00C81813" w:rsidP="00C8181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>Intervalo</w:t>
            </w:r>
          </w:p>
          <w:p w14:paraId="5F494C03" w14:textId="77777777" w:rsidR="00C81813" w:rsidRPr="00C81813" w:rsidRDefault="00C81813" w:rsidP="00C8181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</w:p>
          <w:p w14:paraId="0A01439E" w14:textId="77777777" w:rsidR="00C81813" w:rsidRPr="00C81813" w:rsidRDefault="00C81813" w:rsidP="00C8181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</w:p>
          <w:p w14:paraId="274FF910" w14:textId="77777777" w:rsidR="00C81813" w:rsidRPr="00C81813" w:rsidRDefault="00C81813" w:rsidP="00C8181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</w:p>
          <w:p w14:paraId="5E706CF7" w14:textId="77777777" w:rsidR="00C81813" w:rsidRPr="00C81813" w:rsidRDefault="00C81813" w:rsidP="00C8181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</w:p>
          <w:p w14:paraId="02FF01A0" w14:textId="5B76F852" w:rsidR="00C81813" w:rsidRPr="00C81813" w:rsidRDefault="00C81813" w:rsidP="00C8181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E05E2" w14:textId="77777777" w:rsidR="00C81813" w:rsidRPr="00C81813" w:rsidRDefault="00C8181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>Cuellos de botellas</w:t>
            </w:r>
          </w:p>
        </w:tc>
        <w:tc>
          <w:tcPr>
            <w:tcW w:w="4341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646FC4" w14:textId="77777777" w:rsidR="00C81813" w:rsidRPr="00C81813" w:rsidRDefault="00C81813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>Facilitadores</w:t>
            </w:r>
          </w:p>
        </w:tc>
      </w:tr>
      <w:tr w:rsidR="00C81813" w:rsidRPr="00C81813" w14:paraId="4F6774D6" w14:textId="77777777">
        <w:trPr>
          <w:trHeight w:val="372"/>
        </w:trPr>
        <w:tc>
          <w:tcPr>
            <w:tcW w:w="2835" w:type="dxa"/>
            <w:vMerge/>
            <w:tcBorders>
              <w:lef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B4201F" w14:textId="69979B48" w:rsidR="00C81813" w:rsidRPr="00C81813" w:rsidRDefault="00C81813" w:rsidP="00C21E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</w:p>
        </w:tc>
        <w:tc>
          <w:tcPr>
            <w:tcW w:w="3184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15F680" w14:textId="77777777" w:rsidR="00C81813" w:rsidRPr="00C81813" w:rsidRDefault="00C8181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18"/>
                <w:szCs w:val="18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18"/>
                <w:szCs w:val="18"/>
              </w:rPr>
              <w:t>Factores que impidieron una acción oportuna</w:t>
            </w:r>
          </w:p>
          <w:p w14:paraId="359E57BB" w14:textId="77777777" w:rsidR="00C81813" w:rsidRPr="00C81813" w:rsidRDefault="00C8181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18"/>
                <w:szCs w:val="18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18"/>
                <w:szCs w:val="18"/>
              </w:rPr>
              <w:t>Identifique un máximo de 3, si corresponde</w:t>
            </w:r>
          </w:p>
          <w:p w14:paraId="4341076C" w14:textId="16986280" w:rsidR="00C81813" w:rsidRPr="00C81813" w:rsidRDefault="00C81813" w:rsidP="00645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18"/>
                <w:szCs w:val="18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341" w:type="dxa"/>
            <w:tcBorders>
              <w:righ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6A2FC" w14:textId="77777777" w:rsidR="00C81813" w:rsidRPr="00C81813" w:rsidRDefault="00C8181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18"/>
                <w:szCs w:val="18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18"/>
                <w:szCs w:val="18"/>
              </w:rPr>
              <w:t>Factores que posibilitaron una acción oportuna</w:t>
            </w:r>
          </w:p>
        </w:tc>
      </w:tr>
      <w:tr w:rsidR="00C81813" w:rsidRPr="00C81813" w14:paraId="19590121" w14:textId="77777777">
        <w:trPr>
          <w:trHeight w:val="234"/>
        </w:trPr>
        <w:tc>
          <w:tcPr>
            <w:tcW w:w="2835" w:type="dxa"/>
            <w:vMerge/>
            <w:tcBorders>
              <w:lef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A2708" w14:textId="22A2EEBD" w:rsidR="00C81813" w:rsidRPr="00C81813" w:rsidRDefault="00C81813" w:rsidP="00C21E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</w:p>
        </w:tc>
        <w:tc>
          <w:tcPr>
            <w:tcW w:w="318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B85052" w14:textId="0AE86276" w:rsidR="00C81813" w:rsidRPr="00C81813" w:rsidRDefault="00C81813" w:rsidP="006457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18"/>
                <w:szCs w:val="18"/>
              </w:rPr>
            </w:pPr>
          </w:p>
        </w:tc>
        <w:tc>
          <w:tcPr>
            <w:tcW w:w="4341" w:type="dxa"/>
            <w:tcBorders>
              <w:righ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EE41A4" w14:textId="77777777" w:rsidR="00C81813" w:rsidRPr="00C81813" w:rsidRDefault="00C8181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18"/>
                <w:szCs w:val="18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18"/>
                <w:szCs w:val="18"/>
              </w:rPr>
              <w:t>Identifique un máximo de 3, si corresponde</w:t>
            </w:r>
          </w:p>
        </w:tc>
      </w:tr>
      <w:tr w:rsidR="00C81813" w:rsidRPr="00C81813" w14:paraId="7A2E8B4B" w14:textId="77777777">
        <w:trPr>
          <w:trHeight w:val="242"/>
        </w:trPr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8D0C95" w14:textId="5E4F4852" w:rsidR="00C81813" w:rsidRPr="00C81813" w:rsidRDefault="00C8181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</w:p>
        </w:tc>
        <w:tc>
          <w:tcPr>
            <w:tcW w:w="318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286F71" w14:textId="1C629B6A" w:rsidR="00C81813" w:rsidRPr="00C81813" w:rsidRDefault="00C8181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3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482E8C" w14:textId="77777777" w:rsidR="00C81813" w:rsidRPr="00C81813" w:rsidRDefault="00C81813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18"/>
                <w:szCs w:val="18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18"/>
                <w:szCs w:val="18"/>
              </w:rPr>
              <w:t>Documente para la promoción y para demostrar el impacto</w:t>
            </w:r>
          </w:p>
        </w:tc>
      </w:tr>
      <w:tr w:rsidR="003B20E4" w:rsidRPr="00C81813" w14:paraId="23951E92" w14:textId="77777777">
        <w:trPr>
          <w:trHeight w:val="793"/>
        </w:trPr>
        <w:tc>
          <w:tcPr>
            <w:tcW w:w="2835" w:type="dxa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2C5AA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  <w:t>Detección</w:t>
            </w:r>
          </w:p>
        </w:tc>
        <w:tc>
          <w:tcPr>
            <w:tcW w:w="318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5E9B2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341" w:type="dxa"/>
            <w:tcBorders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30A75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3B20E4" w:rsidRPr="00C81813" w14:paraId="28A2B5B1" w14:textId="77777777">
        <w:trPr>
          <w:trHeight w:val="84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C28861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  <w:t>Notificación</w:t>
            </w:r>
          </w:p>
        </w:tc>
        <w:tc>
          <w:tcPr>
            <w:tcW w:w="3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6B3B4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3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58B84A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</w:tr>
      <w:tr w:rsidR="003B20E4" w:rsidRPr="00C81813" w14:paraId="0406ED03" w14:textId="77777777">
        <w:trPr>
          <w:trHeight w:val="802"/>
        </w:trPr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2113BB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  <w:t xml:space="preserve">Respuesta </w:t>
            </w:r>
          </w:p>
        </w:tc>
        <w:tc>
          <w:tcPr>
            <w:tcW w:w="31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FEAAE6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  <w:tc>
          <w:tcPr>
            <w:tcW w:w="434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EF1BB6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</w:rPr>
              <w:t> </w:t>
            </w:r>
          </w:p>
        </w:tc>
      </w:tr>
    </w:tbl>
    <w:p w14:paraId="18BF420A" w14:textId="77777777" w:rsidR="003B20E4" w:rsidRPr="00C81813" w:rsidRDefault="00EC74ED">
      <w:pPr>
        <w:spacing w:line="240" w:lineRule="auto"/>
        <w:rPr>
          <w:rFonts w:ascii="Arial" w:hAnsi="Arial" w:cs="Arial"/>
        </w:rPr>
      </w:pPr>
      <w:r w:rsidRPr="00C81813">
        <w:rPr>
          <w:rFonts w:ascii="Arial" w:hAnsi="Arial" w:cs="Arial"/>
        </w:rPr>
        <w:t>Fuente: 7-1-1 Alliance, Biblioteca de recursos. Obtenido 2025</w:t>
      </w:r>
    </w:p>
    <w:p w14:paraId="5EBC75BD" w14:textId="77777777" w:rsidR="00C81813" w:rsidRDefault="00C81813">
      <w:pPr>
        <w:suppressAutoHyphens w:val="0"/>
        <w:rPr>
          <w:rFonts w:ascii="Arial" w:hAnsi="Arial" w:cs="Arial"/>
          <w:b/>
          <w:bCs/>
          <w:color w:val="000000"/>
        </w:rPr>
      </w:pPr>
      <w:bookmarkStart w:id="3" w:name="_Toc211957981"/>
      <w:r>
        <w:rPr>
          <w:rFonts w:ascii="Arial" w:hAnsi="Arial" w:cs="Arial"/>
          <w:b/>
          <w:bCs/>
          <w:color w:val="000000"/>
        </w:rPr>
        <w:br w:type="page"/>
      </w:r>
    </w:p>
    <w:p w14:paraId="7C554B14" w14:textId="492655F5" w:rsidR="003B20E4" w:rsidRPr="00C81813" w:rsidRDefault="00EC74ED" w:rsidP="00C81813">
      <w:pPr>
        <w:spacing w:line="240" w:lineRule="auto"/>
        <w:rPr>
          <w:rFonts w:ascii="Arial" w:hAnsi="Arial" w:cs="Arial"/>
          <w:b/>
          <w:bCs/>
          <w:color w:val="000000"/>
        </w:rPr>
      </w:pPr>
      <w:r w:rsidRPr="00C81813">
        <w:rPr>
          <w:rFonts w:ascii="Arial" w:hAnsi="Arial" w:cs="Arial"/>
          <w:b/>
          <w:bCs/>
          <w:color w:val="000000"/>
        </w:rPr>
        <w:lastRenderedPageBreak/>
        <w:t>Anexo 7.3. Proponer medidas correctivas para abordar los cuellos de botella y acciones inmediatas</w:t>
      </w:r>
      <w:bookmarkEnd w:id="3"/>
    </w:p>
    <w:tbl>
      <w:tblPr>
        <w:tblW w:w="111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1"/>
        <w:gridCol w:w="2042"/>
        <w:gridCol w:w="1785"/>
        <w:gridCol w:w="1800"/>
        <w:gridCol w:w="2405"/>
      </w:tblGrid>
      <w:tr w:rsidR="003B20E4" w:rsidRPr="00C81813" w14:paraId="54FD9FAD" w14:textId="77777777">
        <w:trPr>
          <w:trHeight w:val="1133"/>
        </w:trPr>
        <w:tc>
          <w:tcPr>
            <w:tcW w:w="3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2E291C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>Medidas correctivas</w:t>
            </w:r>
          </w:p>
        </w:tc>
        <w:tc>
          <w:tcPr>
            <w:tcW w:w="2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EC1846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>Responsable</w:t>
            </w: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C0E11" w14:textId="77777777" w:rsidR="003B20E4" w:rsidRPr="00C81813" w:rsidRDefault="00EC74ED">
            <w:pPr>
              <w:suppressAutoHyphens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 xml:space="preserve"> Fecha de inicio </w:t>
            </w:r>
          </w:p>
        </w:tc>
        <w:tc>
          <w:tcPr>
            <w:tcW w:w="18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49DCE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 xml:space="preserve">Fecha de </w:t>
            </w:r>
          </w:p>
          <w:p w14:paraId="5F06DCF3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>finalización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572C86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 xml:space="preserve">Se solucionó el </w:t>
            </w:r>
          </w:p>
          <w:p w14:paraId="1C53C6C8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 xml:space="preserve">cuello de botella                               </w:t>
            </w:r>
          </w:p>
        </w:tc>
      </w:tr>
      <w:tr w:rsidR="003B20E4" w:rsidRPr="00C81813" w14:paraId="457C40FF" w14:textId="77777777">
        <w:trPr>
          <w:trHeight w:val="531"/>
        </w:trPr>
        <w:tc>
          <w:tcPr>
            <w:tcW w:w="31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39275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0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76477A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A0FD45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2113C2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FFF58F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3B20E4" w:rsidRPr="00C81813" w14:paraId="389E33E9" w14:textId="77777777">
        <w:trPr>
          <w:trHeight w:val="631"/>
        </w:trPr>
        <w:tc>
          <w:tcPr>
            <w:tcW w:w="31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64C81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0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1D0D9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F5E275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FD833D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A081BE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3B20E4" w:rsidRPr="00C81813" w14:paraId="2A5ACD2C" w14:textId="77777777">
        <w:trPr>
          <w:trHeight w:val="601"/>
        </w:trPr>
        <w:tc>
          <w:tcPr>
            <w:tcW w:w="31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3A3BFA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0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1BA07D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E8BDDF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C8BB0E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BCAD8C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3B20E4" w:rsidRPr="00C81813" w14:paraId="4F25FFCD" w14:textId="77777777">
        <w:trPr>
          <w:trHeight w:val="581"/>
        </w:trPr>
        <w:tc>
          <w:tcPr>
            <w:tcW w:w="31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7DC761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0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56CF80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630D54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359AE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946650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3B20E4" w:rsidRPr="00C81813" w14:paraId="4A9E8A41" w14:textId="77777777">
        <w:trPr>
          <w:trHeight w:val="581"/>
        </w:trPr>
        <w:tc>
          <w:tcPr>
            <w:tcW w:w="31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D33529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0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AB4FFE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7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28A4E8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4B25C3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40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45646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</w:tbl>
    <w:p w14:paraId="3F2AC837" w14:textId="77777777" w:rsidR="003B20E4" w:rsidRPr="00C81813" w:rsidRDefault="00EC74ED">
      <w:pPr>
        <w:spacing w:line="240" w:lineRule="auto"/>
        <w:rPr>
          <w:rFonts w:ascii="Arial" w:hAnsi="Arial" w:cs="Arial"/>
          <w:color w:val="000000"/>
        </w:rPr>
      </w:pPr>
      <w:bookmarkStart w:id="4" w:name="_Hlk216968602"/>
      <w:r w:rsidRPr="00C81813">
        <w:rPr>
          <w:rFonts w:ascii="Arial" w:hAnsi="Arial" w:cs="Arial"/>
          <w:color w:val="000000"/>
        </w:rPr>
        <w:t>Fuente: 7-1-1 Alliance, Biblioteca de recursos. Obtenido 2025</w:t>
      </w:r>
    </w:p>
    <w:p w14:paraId="664BE9C8" w14:textId="77777777" w:rsidR="00C81813" w:rsidRDefault="00C81813" w:rsidP="00C81813">
      <w:pPr>
        <w:spacing w:line="240" w:lineRule="auto"/>
        <w:rPr>
          <w:rFonts w:ascii="Arial" w:hAnsi="Arial" w:cs="Arial"/>
          <w:b/>
          <w:bCs/>
          <w:color w:val="000000"/>
        </w:rPr>
      </w:pPr>
      <w:bookmarkStart w:id="5" w:name="_Toc211957982"/>
      <w:bookmarkEnd w:id="4"/>
    </w:p>
    <w:p w14:paraId="674FAF55" w14:textId="7EFDB66A" w:rsidR="003B20E4" w:rsidRPr="00C81813" w:rsidRDefault="00EC74ED" w:rsidP="00C81813">
      <w:pPr>
        <w:spacing w:line="240" w:lineRule="auto"/>
        <w:rPr>
          <w:rFonts w:ascii="Arial" w:hAnsi="Arial" w:cs="Arial"/>
          <w:b/>
          <w:bCs/>
          <w:color w:val="000000"/>
        </w:rPr>
      </w:pPr>
      <w:r w:rsidRPr="00C81813">
        <w:rPr>
          <w:rFonts w:ascii="Arial" w:hAnsi="Arial" w:cs="Arial"/>
          <w:b/>
          <w:bCs/>
          <w:color w:val="000000"/>
        </w:rPr>
        <w:t>Anexo 7.4. Proponer acciones para la planificación y financiación a largo plazo</w:t>
      </w:r>
      <w:bookmarkEnd w:id="5"/>
    </w:p>
    <w:tbl>
      <w:tblPr>
        <w:tblW w:w="1066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6"/>
        <w:gridCol w:w="2219"/>
        <w:gridCol w:w="2383"/>
        <w:gridCol w:w="2630"/>
      </w:tblGrid>
      <w:tr w:rsidR="003B20E4" w:rsidRPr="00C81813" w14:paraId="7C2FACE4" w14:textId="77777777">
        <w:trPr>
          <w:trHeight w:val="817"/>
        </w:trPr>
        <w:tc>
          <w:tcPr>
            <w:tcW w:w="34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64969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>Acción propuesta</w:t>
            </w:r>
          </w:p>
        </w:tc>
        <w:tc>
          <w:tcPr>
            <w:tcW w:w="2219" w:type="dxa"/>
            <w:vMerge w:val="restart"/>
            <w:tcBorders>
              <w:top w:val="single" w:sz="8" w:space="0" w:color="000000"/>
              <w:bottom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B32D0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 xml:space="preserve">Responsable 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91E2B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>Oportunidades para planificación y financiación</w:t>
            </w:r>
          </w:p>
        </w:tc>
        <w:tc>
          <w:tcPr>
            <w:tcW w:w="2630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A731D5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  <w:t xml:space="preserve">Se solucionó el cuello de botella                               </w:t>
            </w:r>
          </w:p>
        </w:tc>
      </w:tr>
      <w:tr w:rsidR="003B20E4" w:rsidRPr="00C81813" w14:paraId="16FF64DB" w14:textId="77777777">
        <w:trPr>
          <w:trHeight w:val="457"/>
        </w:trPr>
        <w:tc>
          <w:tcPr>
            <w:tcW w:w="34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08920D" w14:textId="77777777" w:rsidR="003B20E4" w:rsidRPr="00C81813" w:rsidRDefault="003B20E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</w:p>
        </w:tc>
        <w:tc>
          <w:tcPr>
            <w:tcW w:w="2219" w:type="dxa"/>
            <w:vMerge/>
            <w:tcBorders>
              <w:top w:val="single" w:sz="8" w:space="0" w:color="000000"/>
              <w:bottom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D7D3DC" w14:textId="77777777" w:rsidR="003B20E4" w:rsidRPr="00C81813" w:rsidRDefault="003B20E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</w:p>
        </w:tc>
        <w:tc>
          <w:tcPr>
            <w:tcW w:w="2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E7A8A5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18"/>
                <w:szCs w:val="18"/>
              </w:rPr>
            </w:pPr>
            <w:r w:rsidRPr="00C81813"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18"/>
                <w:szCs w:val="18"/>
              </w:rPr>
              <w:t xml:space="preserve">(incorporar propuestas y financiación) </w:t>
            </w:r>
          </w:p>
        </w:tc>
        <w:tc>
          <w:tcPr>
            <w:tcW w:w="2630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D7005" w14:textId="77777777" w:rsidR="003B20E4" w:rsidRPr="00C81813" w:rsidRDefault="003B20E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F2F2F2"/>
                <w:kern w:val="0"/>
                <w:sz w:val="22"/>
                <w:szCs w:val="22"/>
              </w:rPr>
            </w:pPr>
          </w:p>
        </w:tc>
      </w:tr>
      <w:tr w:rsidR="003B20E4" w:rsidRPr="00C81813" w14:paraId="103FF330" w14:textId="77777777">
        <w:trPr>
          <w:trHeight w:val="544"/>
        </w:trPr>
        <w:tc>
          <w:tcPr>
            <w:tcW w:w="34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CCF4E8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219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DC4FD4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EF7944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6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0C0C47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3B20E4" w:rsidRPr="00C81813" w14:paraId="4CC66E3F" w14:textId="77777777">
        <w:trPr>
          <w:trHeight w:val="700"/>
        </w:trPr>
        <w:tc>
          <w:tcPr>
            <w:tcW w:w="34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61216D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219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C13C9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9FE0E8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6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84192C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3B20E4" w:rsidRPr="00C81813" w14:paraId="1DD46AED" w14:textId="77777777">
        <w:trPr>
          <w:trHeight w:val="797"/>
        </w:trPr>
        <w:tc>
          <w:tcPr>
            <w:tcW w:w="34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8048BE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219" w:type="dxa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738368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3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84F34A" w14:textId="77777777" w:rsidR="003B20E4" w:rsidRPr="00C81813" w:rsidRDefault="00EC74ED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263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7634CD" w14:textId="77777777" w:rsidR="003B20E4" w:rsidRPr="00C81813" w:rsidRDefault="00EC74ED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C8181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 </w:t>
            </w:r>
          </w:p>
        </w:tc>
      </w:tr>
    </w:tbl>
    <w:p w14:paraId="7916C064" w14:textId="77777777" w:rsidR="003B20E4" w:rsidRPr="00C81813" w:rsidRDefault="00EC74ED">
      <w:pPr>
        <w:rPr>
          <w:rFonts w:ascii="Arial" w:hAnsi="Arial" w:cs="Arial"/>
          <w:color w:val="000000"/>
        </w:rPr>
      </w:pPr>
      <w:r w:rsidRPr="00C81813">
        <w:rPr>
          <w:rFonts w:ascii="Arial" w:hAnsi="Arial" w:cs="Arial"/>
          <w:color w:val="000000"/>
        </w:rPr>
        <w:t>Fuente: 7-1-1 Alliance, Biblioteca de recursos. Obtenido 2025</w:t>
      </w:r>
    </w:p>
    <w:p w14:paraId="78DFA24D" w14:textId="77777777" w:rsidR="003B20E4" w:rsidRPr="00C81813" w:rsidRDefault="003B20E4">
      <w:pPr>
        <w:rPr>
          <w:rFonts w:ascii="Arial" w:hAnsi="Arial" w:cs="Arial"/>
          <w:color w:val="000000"/>
        </w:rPr>
      </w:pPr>
    </w:p>
    <w:p w14:paraId="36626C6B" w14:textId="77777777" w:rsidR="003B20E4" w:rsidRPr="00C81813" w:rsidRDefault="003B20E4">
      <w:pPr>
        <w:rPr>
          <w:rFonts w:ascii="Arial" w:hAnsi="Arial" w:cs="Arial"/>
          <w:color w:val="000000"/>
        </w:rPr>
      </w:pPr>
    </w:p>
    <w:sectPr w:rsidR="003B20E4" w:rsidRPr="00C81813">
      <w:headerReference w:type="default" r:id="rId8"/>
      <w:pgSz w:w="12240" w:h="15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53489" w14:textId="77777777" w:rsidR="00EC74ED" w:rsidRDefault="00EC74ED">
      <w:pPr>
        <w:spacing w:after="0" w:line="240" w:lineRule="auto"/>
      </w:pPr>
      <w:r>
        <w:separator/>
      </w:r>
    </w:p>
  </w:endnote>
  <w:endnote w:type="continuationSeparator" w:id="0">
    <w:p w14:paraId="3011277C" w14:textId="77777777" w:rsidR="00EC74ED" w:rsidRDefault="00EC7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1CD0D" w14:textId="77777777" w:rsidR="00EC74ED" w:rsidRDefault="00EC74E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D7F0D3A" w14:textId="77777777" w:rsidR="00EC74ED" w:rsidRDefault="00EC7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8" w:type="dxa"/>
      <w:jc w:val="center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681"/>
      <w:gridCol w:w="4789"/>
      <w:gridCol w:w="2588"/>
    </w:tblGrid>
    <w:tr w:rsidR="006F1A90" w14:paraId="25C0AEC0" w14:textId="77777777" w:rsidTr="00C81813">
      <w:trPr>
        <w:cantSplit/>
        <w:trHeight w:val="841"/>
        <w:jc w:val="center"/>
      </w:trPr>
      <w:tc>
        <w:tcPr>
          <w:tcW w:w="368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29DDEEF7" w14:textId="546501BC" w:rsidR="00EC74ED" w:rsidRDefault="00EC74ED">
          <w:pPr>
            <w:pStyle w:val="Encabezado"/>
          </w:pPr>
          <w:r>
            <w:rPr>
              <w:rFonts w:ascii="Verdana" w:hAnsi="Verdana"/>
              <w:b/>
              <w:smallCaps/>
              <w:noProof/>
              <w:sz w:val="20"/>
            </w:rPr>
            <w:drawing>
              <wp:anchor distT="0" distB="0" distL="114300" distR="114300" simplePos="0" relativeHeight="251657216" behindDoc="0" locked="0" layoutInCell="1" allowOverlap="1" wp14:anchorId="54D7F894" wp14:editId="7C681722">
                <wp:simplePos x="0" y="0"/>
                <wp:positionH relativeFrom="column">
                  <wp:posOffset>12289</wp:posOffset>
                </wp:positionH>
                <wp:positionV relativeFrom="paragraph">
                  <wp:posOffset>226195</wp:posOffset>
                </wp:positionV>
                <wp:extent cx="1766428" cy="659959"/>
                <wp:effectExtent l="0" t="0" r="5222" b="6791"/>
                <wp:wrapTight wrapText="bothSides">
                  <wp:wrapPolygon edited="0">
                    <wp:start x="0" y="0"/>
                    <wp:lineTo x="0" y="21199"/>
                    <wp:lineTo x="21431" y="21199"/>
                    <wp:lineTo x="21431" y="0"/>
                    <wp:lineTo x="0" y="0"/>
                  </wp:wrapPolygon>
                </wp:wrapTight>
                <wp:docPr id="1608649477" name="Imagen 3" descr="Imagen que contiene Interfaz de usuario gráfica&#10;&#10;El contenido generado por IA puede ser incorrec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6428" cy="6599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77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2254196" w14:textId="77777777" w:rsidR="00EC74ED" w:rsidRDefault="00EC74ED">
          <w:pPr>
            <w:pStyle w:val="Encabezado"/>
            <w:ind w:left="-1206"/>
            <w:jc w:val="center"/>
            <w:rPr>
              <w:rFonts w:ascii="Verdana" w:hAnsi="Verdana"/>
              <w:bCs/>
              <w:smallCaps/>
              <w:sz w:val="20"/>
            </w:rPr>
          </w:pPr>
          <w:r>
            <w:rPr>
              <w:rFonts w:ascii="Verdana" w:hAnsi="Verdana"/>
              <w:bCs/>
              <w:smallCaps/>
              <w:sz w:val="20"/>
            </w:rPr>
            <w:t>Ministerio de Salud de Costa Rica</w:t>
          </w:r>
        </w:p>
        <w:p w14:paraId="2A51F8C0" w14:textId="77777777" w:rsidR="00EC74ED" w:rsidRDefault="00EC74ED">
          <w:pPr>
            <w:pStyle w:val="Encabezado"/>
            <w:jc w:val="center"/>
          </w:pPr>
          <w:r>
            <w:rPr>
              <w:rFonts w:ascii="Verdana" w:hAnsi="Verdana"/>
              <w:bCs/>
              <w:smallCaps/>
              <w:sz w:val="20"/>
            </w:rPr>
            <w:t xml:space="preserve">Nivel Institucional </w:t>
          </w:r>
        </w:p>
      </w:tc>
    </w:tr>
    <w:tr w:rsidR="006F1A90" w14:paraId="54C78C4E" w14:textId="77777777" w:rsidTr="00C81813">
      <w:trPr>
        <w:trHeight w:val="217"/>
        <w:jc w:val="center"/>
      </w:trPr>
      <w:tc>
        <w:tcPr>
          <w:tcW w:w="368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6BFCBCC9" w14:textId="77777777" w:rsidR="00EC74ED" w:rsidRDefault="00EC74ED">
          <w:pPr>
            <w:pStyle w:val="Encabezado"/>
            <w:jc w:val="center"/>
            <w:rPr>
              <w:rFonts w:ascii="Verdana" w:hAnsi="Verdana"/>
              <w:b/>
              <w:i/>
              <w:smallCaps/>
              <w:sz w:val="20"/>
            </w:rPr>
          </w:pPr>
        </w:p>
      </w:tc>
      <w:tc>
        <w:tcPr>
          <w:tcW w:w="478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9E35E55" w14:textId="77777777" w:rsidR="00EC74ED" w:rsidRDefault="00EC74ED">
          <w:pPr>
            <w:pStyle w:val="Encabezado"/>
            <w:jc w:val="center"/>
            <w:rPr>
              <w:rFonts w:ascii="Verdana" w:hAnsi="Verdana"/>
              <w:bCs/>
              <w:i/>
              <w:smallCaps/>
              <w:sz w:val="20"/>
            </w:rPr>
          </w:pPr>
          <w:r>
            <w:rPr>
              <w:rFonts w:ascii="Verdana" w:hAnsi="Verdana"/>
              <w:bCs/>
              <w:i/>
              <w:smallCaps/>
              <w:sz w:val="20"/>
            </w:rPr>
            <w:t>Manual de Procedimientos y Protocolos</w:t>
          </w:r>
        </w:p>
      </w:tc>
      <w:tc>
        <w:tcPr>
          <w:tcW w:w="25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02A6D1B4" w14:textId="77777777" w:rsidR="00EC74ED" w:rsidRDefault="00EC74ED">
          <w:pPr>
            <w:pStyle w:val="Encabezado"/>
          </w:pPr>
          <w:r>
            <w:rPr>
              <w:rFonts w:ascii="Verdana" w:hAnsi="Verdana"/>
              <w:bCs/>
              <w:i/>
              <w:smallCaps/>
              <w:sz w:val="20"/>
            </w:rPr>
            <w:t>Página 1 de 5</w:t>
          </w:r>
        </w:p>
      </w:tc>
    </w:tr>
    <w:tr w:rsidR="006F1A90" w14:paraId="2FA9F5BD" w14:textId="77777777" w:rsidTr="00C81813">
      <w:trPr>
        <w:trHeight w:val="112"/>
        <w:jc w:val="center"/>
      </w:trPr>
      <w:tc>
        <w:tcPr>
          <w:tcW w:w="368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065E62BC" w14:textId="77777777" w:rsidR="00EC74ED" w:rsidRDefault="00EC74ED">
          <w:pPr>
            <w:pStyle w:val="Encabezado"/>
            <w:jc w:val="right"/>
            <w:rPr>
              <w:rFonts w:ascii="Verdana" w:hAnsi="Verdana"/>
              <w:b/>
              <w:i/>
              <w:smallCaps/>
              <w:sz w:val="20"/>
            </w:rPr>
          </w:pPr>
        </w:p>
      </w:tc>
      <w:tc>
        <w:tcPr>
          <w:tcW w:w="4789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6DFE7AF8" w14:textId="77777777" w:rsidR="00EC74ED" w:rsidRDefault="00EC74ED">
          <w:pPr>
            <w:pStyle w:val="Encabezado"/>
            <w:jc w:val="right"/>
            <w:rPr>
              <w:rFonts w:ascii="Verdana" w:hAnsi="Verdana"/>
              <w:bCs/>
              <w:i/>
              <w:smallCaps/>
              <w:sz w:val="20"/>
            </w:rPr>
          </w:pPr>
        </w:p>
      </w:tc>
      <w:tc>
        <w:tcPr>
          <w:tcW w:w="25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56C07088" w14:textId="77777777" w:rsidR="00EC74ED" w:rsidRDefault="00EC74ED">
          <w:pPr>
            <w:pStyle w:val="Encabezado"/>
            <w:rPr>
              <w:rFonts w:ascii="Verdana" w:hAnsi="Verdana"/>
              <w:bCs/>
              <w:i/>
              <w:smallCaps/>
              <w:sz w:val="20"/>
            </w:rPr>
          </w:pPr>
          <w:r>
            <w:rPr>
              <w:rFonts w:ascii="Verdana" w:hAnsi="Verdana"/>
              <w:bCs/>
              <w:i/>
              <w:smallCaps/>
              <w:sz w:val="20"/>
            </w:rPr>
            <w:t>Fecha de emisión: 2026</w:t>
          </w:r>
        </w:p>
      </w:tc>
    </w:tr>
    <w:tr w:rsidR="006F1A90" w14:paraId="77097DCA" w14:textId="77777777" w:rsidTr="00C81813">
      <w:trPr>
        <w:trHeight w:val="512"/>
        <w:jc w:val="center"/>
      </w:trPr>
      <w:tc>
        <w:tcPr>
          <w:tcW w:w="368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</w:tcPr>
        <w:p w14:paraId="26450F74" w14:textId="77777777" w:rsidR="00EC74ED" w:rsidRDefault="00EC74ED">
          <w:pPr>
            <w:pStyle w:val="Encabezado"/>
            <w:jc w:val="center"/>
            <w:rPr>
              <w:rFonts w:ascii="Verdana" w:hAnsi="Verdana"/>
              <w:b/>
              <w:i/>
              <w:smallCaps/>
              <w:sz w:val="20"/>
            </w:rPr>
          </w:pPr>
        </w:p>
      </w:tc>
      <w:tc>
        <w:tcPr>
          <w:tcW w:w="4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426EAD08" w14:textId="77777777" w:rsidR="00EC74ED" w:rsidRDefault="00EC74ED">
          <w:pPr>
            <w:pStyle w:val="Encabezado"/>
            <w:jc w:val="center"/>
            <w:rPr>
              <w:rFonts w:ascii="Verdana" w:hAnsi="Verdana"/>
              <w:bCs/>
              <w:i/>
              <w:smallCaps/>
              <w:sz w:val="20"/>
            </w:rPr>
          </w:pPr>
          <w:r>
            <w:rPr>
              <w:rFonts w:ascii="Verdana" w:hAnsi="Verdana"/>
              <w:bCs/>
              <w:i/>
              <w:smallCaps/>
              <w:sz w:val="20"/>
            </w:rPr>
            <w:t>VIGILANCIA EPIDEMIOLÓGICA Y RESPUESTA A BROTES</w:t>
          </w:r>
        </w:p>
      </w:tc>
      <w:tc>
        <w:tcPr>
          <w:tcW w:w="25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70" w:type="dxa"/>
            <w:bottom w:w="0" w:type="dxa"/>
            <w:right w:w="70" w:type="dxa"/>
          </w:tcMar>
          <w:vAlign w:val="center"/>
        </w:tcPr>
        <w:p w14:paraId="2AF0E838" w14:textId="77777777" w:rsidR="00EC74ED" w:rsidRDefault="00EC74ED">
          <w:pPr>
            <w:pStyle w:val="Encabezado"/>
            <w:rPr>
              <w:rFonts w:ascii="Verdana" w:hAnsi="Verdana"/>
              <w:bCs/>
              <w:i/>
              <w:smallCaps/>
              <w:sz w:val="20"/>
            </w:rPr>
          </w:pPr>
          <w:r>
            <w:rPr>
              <w:rFonts w:ascii="Verdana" w:hAnsi="Verdana"/>
              <w:bCs/>
              <w:i/>
              <w:smallCaps/>
              <w:sz w:val="20"/>
            </w:rPr>
            <w:t>Código: MS.NI.FINSR.03.01.02</w:t>
          </w:r>
        </w:p>
      </w:tc>
    </w:tr>
  </w:tbl>
  <w:p w14:paraId="422B993B" w14:textId="77777777" w:rsidR="00EC74ED" w:rsidRDefault="00EC74E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E625D"/>
    <w:multiLevelType w:val="multilevel"/>
    <w:tmpl w:val="B2E20A42"/>
    <w:lvl w:ilvl="0">
      <w:start w:val="8"/>
      <w:numFmt w:val="decimal"/>
      <w:lvlText w:val="%1."/>
      <w:lvlJc w:val="left"/>
      <w:pPr>
        <w:ind w:left="480" w:hanging="480"/>
      </w:pPr>
    </w:lvl>
    <w:lvl w:ilvl="1">
      <w:start w:val="6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1DEB7FB9"/>
    <w:multiLevelType w:val="multilevel"/>
    <w:tmpl w:val="7D6ADF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69497423">
    <w:abstractNumId w:val="0"/>
  </w:num>
  <w:num w:numId="2" w16cid:durableId="512571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0E4"/>
    <w:rsid w:val="00043940"/>
    <w:rsid w:val="003B20E4"/>
    <w:rsid w:val="00426E61"/>
    <w:rsid w:val="00480888"/>
    <w:rsid w:val="004A5CDD"/>
    <w:rsid w:val="005D4C02"/>
    <w:rsid w:val="006314FB"/>
    <w:rsid w:val="006922CD"/>
    <w:rsid w:val="008357B4"/>
    <w:rsid w:val="008B48F6"/>
    <w:rsid w:val="009A119F"/>
    <w:rsid w:val="00A43D4D"/>
    <w:rsid w:val="00AC01D9"/>
    <w:rsid w:val="00B83841"/>
    <w:rsid w:val="00C81813"/>
    <w:rsid w:val="00C86B95"/>
    <w:rsid w:val="00CC14B9"/>
    <w:rsid w:val="00DE5202"/>
    <w:rsid w:val="00EC74ED"/>
    <w:rsid w:val="00F1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B0F01"/>
  <w15:docId w15:val="{274A57E0-C8EA-4A90-B197-0DB08809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DengXian" w:hAnsi="Aptos" w:cs="Times New Roman"/>
        <w:kern w:val="3"/>
        <w:sz w:val="24"/>
        <w:szCs w:val="24"/>
        <w:lang w:val="es-CR" w:eastAsia="zh-CN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eastAsia="Apto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DengXian Light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DengXian Light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DengXian Light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DengXian Light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DengXian Light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DengXian Light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DengXian Light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DengXian Light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DengXian Light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Aptos Display" w:eastAsia="DengXian Light" w:hAnsi="Aptos Display" w:cs="Times New Roman"/>
      <w:color w:val="0F4761"/>
      <w:sz w:val="40"/>
      <w:szCs w:val="40"/>
    </w:rPr>
  </w:style>
  <w:style w:type="character" w:customStyle="1" w:styleId="Ttulo2Car">
    <w:name w:val="Título 2 Car"/>
    <w:basedOn w:val="Fuentedeprrafopredeter"/>
    <w:rPr>
      <w:rFonts w:ascii="Aptos Display" w:eastAsia="DengXian Light" w:hAnsi="Aptos Display" w:cs="Times New Roman"/>
      <w:color w:val="0F4761"/>
      <w:sz w:val="32"/>
      <w:szCs w:val="32"/>
    </w:rPr>
  </w:style>
  <w:style w:type="character" w:customStyle="1" w:styleId="Ttulo3Car">
    <w:name w:val="Título 3 Car"/>
    <w:basedOn w:val="Fuentedeprrafopredeter"/>
    <w:rPr>
      <w:rFonts w:eastAsia="DengXian Light" w:cs="Times New Roman"/>
      <w:color w:val="0F4761"/>
      <w:sz w:val="28"/>
      <w:szCs w:val="28"/>
    </w:rPr>
  </w:style>
  <w:style w:type="character" w:customStyle="1" w:styleId="Ttulo4Car">
    <w:name w:val="Título 4 Car"/>
    <w:basedOn w:val="Fuentedeprrafopredeter"/>
    <w:rPr>
      <w:rFonts w:eastAsia="DengXian Light" w:cs="Times New Roman"/>
      <w:i/>
      <w:iCs/>
      <w:color w:val="0F4761"/>
    </w:rPr>
  </w:style>
  <w:style w:type="character" w:customStyle="1" w:styleId="Ttulo5Car">
    <w:name w:val="Título 5 Car"/>
    <w:basedOn w:val="Fuentedeprrafopredeter"/>
    <w:rPr>
      <w:rFonts w:eastAsia="DengXian Light" w:cs="Times New Roman"/>
      <w:color w:val="0F4761"/>
    </w:rPr>
  </w:style>
  <w:style w:type="character" w:customStyle="1" w:styleId="Ttulo6Car">
    <w:name w:val="Título 6 Car"/>
    <w:basedOn w:val="Fuentedeprrafopredeter"/>
    <w:rPr>
      <w:rFonts w:eastAsia="DengXian Light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DengXian Light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DengXian Light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DengXian Light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DengXian Light" w:hAnsi="Aptos Display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Aptos Display" w:eastAsia="DengXian Light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DengXian Light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DengXian Light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rFonts w:eastAsia="DengXian"/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  <w:contextualSpacing/>
    </w:pPr>
    <w:rPr>
      <w:rFonts w:eastAsia="DengXian"/>
    </w:rPr>
  </w:style>
  <w:style w:type="character" w:styleId="nfasisintenso">
    <w:name w:val="Intense Emphasis"/>
    <w:basedOn w:val="Fuentedeprrafopredeter"/>
    <w:rPr>
      <w:i/>
      <w:iCs/>
      <w:color w:val="0F4761"/>
    </w:rPr>
  </w:style>
  <w:style w:type="paragraph" w:styleId="Citadestacad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eastAsia="DengXian"/>
      <w:i/>
      <w:iCs/>
      <w:color w:val="0F4761"/>
    </w:rPr>
  </w:style>
  <w:style w:type="character" w:customStyle="1" w:styleId="CitadestacadaCar">
    <w:name w:val="Cita destacada Car"/>
    <w:basedOn w:val="Fuentedeprrafopredeter"/>
    <w:rPr>
      <w:i/>
      <w:iCs/>
      <w:color w:val="0F4761"/>
    </w:rPr>
  </w:style>
  <w:style w:type="character" w:styleId="Referenciaintensa">
    <w:name w:val="Intense Reference"/>
    <w:basedOn w:val="Fuentedeprrafopredeter"/>
    <w:rPr>
      <w:b/>
      <w:bCs/>
      <w:smallCaps/>
      <w:color w:val="0F4761"/>
      <w:spacing w:val="5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rPr>
      <w:rFonts w:eastAsia="Aptos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rPr>
      <w:rFonts w:eastAsia="Aptos"/>
    </w:rPr>
  </w:style>
  <w:style w:type="paragraph" w:styleId="Sinespaciado">
    <w:name w:val="No Spacing"/>
    <w:pPr>
      <w:spacing w:after="0" w:line="240" w:lineRule="auto"/>
    </w:pPr>
    <w:rPr>
      <w:rFonts w:eastAsia="Aptos"/>
    </w:rPr>
  </w:style>
  <w:style w:type="character" w:styleId="Hipervnculo">
    <w:name w:val="Hyperlink"/>
    <w:basedOn w:val="Fuentedeprrafopredeter"/>
    <w:rPr>
      <w:color w:val="467886"/>
      <w:u w:val="single"/>
    </w:rPr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717alliance.org/resource-library/?category=guidance-tools-and-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Dominguez Saavedra</dc:creator>
  <dc:description/>
  <cp:lastModifiedBy>Pamela Dominguez Saavedra</cp:lastModifiedBy>
  <cp:revision>2</cp:revision>
  <dcterms:created xsi:type="dcterms:W3CDTF">2026-02-03T23:10:00Z</dcterms:created>
  <dcterms:modified xsi:type="dcterms:W3CDTF">2026-02-03T23:10:00Z</dcterms:modified>
</cp:coreProperties>
</file>